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40DB5" w14:textId="57807925" w:rsidR="00FF478D" w:rsidRPr="00FE1DDB" w:rsidRDefault="00532301" w:rsidP="00247379">
      <w:pPr>
        <w:pStyle w:val="Title"/>
        <w:outlineLvl w:val="0"/>
        <w:rPr>
          <w:rFonts w:ascii="Times New Roman" w:hAnsi="Times New Roman" w:cs="Times New Roman"/>
          <w:szCs w:val="24"/>
        </w:rPr>
      </w:pPr>
      <w:r w:rsidRPr="00FE1DDB">
        <w:rPr>
          <w:rFonts w:ascii="Times New Roman" w:hAnsi="Times New Roman" w:cs="Times New Roman"/>
          <w:szCs w:val="24"/>
        </w:rPr>
        <w:t xml:space="preserve">CHAPTER 4.5. </w:t>
      </w:r>
      <w:r w:rsidR="006A6A6E" w:rsidRPr="00FE1DDB">
        <w:rPr>
          <w:rFonts w:ascii="Times New Roman" w:hAnsi="Times New Roman" w:cs="Times New Roman"/>
          <w:szCs w:val="24"/>
        </w:rPr>
        <w:t>ESTUARINE PROBABILISTIC MONITORING RESULTS</w:t>
      </w:r>
    </w:p>
    <w:p w14:paraId="194E9F44" w14:textId="77777777" w:rsidR="00FF478D" w:rsidRPr="00FE1DDB" w:rsidRDefault="00FF478D" w:rsidP="00FE1DDB">
      <w:pPr>
        <w:spacing w:after="0" w:line="240" w:lineRule="auto"/>
        <w:jc w:val="both"/>
        <w:rPr>
          <w:rFonts w:ascii="Times New Roman" w:hAnsi="Times New Roman" w:cs="Times New Roman"/>
          <w:sz w:val="24"/>
          <w:szCs w:val="24"/>
        </w:rPr>
      </w:pPr>
    </w:p>
    <w:p w14:paraId="2BD5302C" w14:textId="77777777" w:rsidR="003C3520" w:rsidRPr="00FE1DDB" w:rsidRDefault="003C3520" w:rsidP="00FE1DDB">
      <w:pPr>
        <w:pStyle w:val="Heading1"/>
        <w:rPr>
          <w:rFonts w:ascii="Times New Roman" w:hAnsi="Times New Roman" w:cs="Times New Roman"/>
          <w:b/>
          <w:i w:val="0"/>
          <w:sz w:val="24"/>
          <w:szCs w:val="24"/>
        </w:rPr>
      </w:pPr>
      <w:r w:rsidRPr="00FE1DDB">
        <w:rPr>
          <w:rFonts w:ascii="Times New Roman" w:hAnsi="Times New Roman" w:cs="Times New Roman"/>
          <w:b/>
          <w:i w:val="0"/>
          <w:sz w:val="24"/>
          <w:szCs w:val="24"/>
        </w:rPr>
        <w:t>Introduction</w:t>
      </w:r>
    </w:p>
    <w:p w14:paraId="6E827F1D" w14:textId="77777777" w:rsidR="003C3520" w:rsidRPr="00FE1DDB" w:rsidRDefault="003C3520" w:rsidP="00FE1DDB">
      <w:pPr>
        <w:spacing w:after="0" w:line="240" w:lineRule="auto"/>
        <w:jc w:val="both"/>
        <w:rPr>
          <w:rFonts w:ascii="Times New Roman" w:hAnsi="Times New Roman" w:cs="Times New Roman"/>
          <w:sz w:val="24"/>
          <w:szCs w:val="24"/>
        </w:rPr>
      </w:pPr>
    </w:p>
    <w:p w14:paraId="7840A441" w14:textId="3363FB7B" w:rsidR="00CB55C9" w:rsidRDefault="002A42ED" w:rsidP="00C174DE">
      <w:pPr>
        <w:spacing w:after="0" w:line="240" w:lineRule="auto"/>
        <w:ind w:firstLine="720"/>
        <w:rPr>
          <w:rFonts w:ascii="Times New Roman" w:hAnsi="Times New Roman" w:cs="Times New Roman"/>
          <w:sz w:val="24"/>
          <w:szCs w:val="24"/>
        </w:rPr>
      </w:pPr>
      <w:r w:rsidRPr="00FE1DDB">
        <w:rPr>
          <w:rFonts w:ascii="Times New Roman" w:hAnsi="Times New Roman" w:cs="Times New Roman"/>
          <w:sz w:val="24"/>
          <w:szCs w:val="24"/>
        </w:rPr>
        <w:t>Between 20</w:t>
      </w:r>
      <w:r w:rsidR="00247379">
        <w:rPr>
          <w:rFonts w:ascii="Times New Roman" w:hAnsi="Times New Roman" w:cs="Times New Roman"/>
          <w:sz w:val="24"/>
          <w:szCs w:val="24"/>
        </w:rPr>
        <w:t>15</w:t>
      </w:r>
      <w:r w:rsidRPr="00FE1DDB">
        <w:rPr>
          <w:rFonts w:ascii="Times New Roman" w:hAnsi="Times New Roman" w:cs="Times New Roman"/>
          <w:sz w:val="24"/>
          <w:szCs w:val="24"/>
        </w:rPr>
        <w:t xml:space="preserve"> and 20</w:t>
      </w:r>
      <w:r w:rsidR="00247379">
        <w:rPr>
          <w:rFonts w:ascii="Times New Roman" w:hAnsi="Times New Roman" w:cs="Times New Roman"/>
          <w:sz w:val="24"/>
          <w:szCs w:val="24"/>
        </w:rPr>
        <w:t xml:space="preserve">20 </w:t>
      </w:r>
      <w:r w:rsidRPr="00FE1DDB">
        <w:rPr>
          <w:rFonts w:ascii="Times New Roman" w:hAnsi="Times New Roman" w:cs="Times New Roman"/>
          <w:sz w:val="24"/>
          <w:szCs w:val="24"/>
        </w:rPr>
        <w:t>DEQ</w:t>
      </w:r>
      <w:r w:rsidR="00B357AD" w:rsidRPr="00FE1DDB">
        <w:rPr>
          <w:rFonts w:ascii="Times New Roman" w:hAnsi="Times New Roman" w:cs="Times New Roman"/>
          <w:sz w:val="24"/>
          <w:szCs w:val="24"/>
        </w:rPr>
        <w:t>’s Estuarine Probabilistic Monitoring Program (ProbMon)</w:t>
      </w:r>
      <w:r w:rsidR="00247379" w:rsidRPr="00FE1DDB">
        <w:rPr>
          <w:rFonts w:ascii="Times New Roman" w:hAnsi="Times New Roman" w:cs="Times New Roman"/>
          <w:sz w:val="24"/>
          <w:szCs w:val="24"/>
        </w:rPr>
        <w:t xml:space="preserve"> </w:t>
      </w:r>
      <w:r w:rsidR="00C174DE">
        <w:rPr>
          <w:rFonts w:ascii="Times New Roman" w:hAnsi="Times New Roman" w:cs="Times New Roman"/>
          <w:sz w:val="24"/>
          <w:szCs w:val="24"/>
        </w:rPr>
        <w:t>collected</w:t>
      </w:r>
      <w:r w:rsidR="00DB3DF1" w:rsidRPr="00FE1DDB">
        <w:rPr>
          <w:rFonts w:ascii="Times New Roman" w:hAnsi="Times New Roman" w:cs="Times New Roman"/>
          <w:sz w:val="24"/>
          <w:szCs w:val="24"/>
        </w:rPr>
        <w:t xml:space="preserve"> </w:t>
      </w:r>
      <w:r w:rsidR="00C47A96" w:rsidRPr="00FE1DDB">
        <w:rPr>
          <w:rFonts w:ascii="Times New Roman" w:hAnsi="Times New Roman" w:cs="Times New Roman"/>
          <w:sz w:val="24"/>
          <w:szCs w:val="24"/>
        </w:rPr>
        <w:t xml:space="preserve">water quality, </w:t>
      </w:r>
      <w:r w:rsidR="00DB3DF1" w:rsidRPr="00FE1DDB">
        <w:rPr>
          <w:rFonts w:ascii="Times New Roman" w:hAnsi="Times New Roman" w:cs="Times New Roman"/>
          <w:sz w:val="24"/>
          <w:szCs w:val="24"/>
        </w:rPr>
        <w:t>sediment</w:t>
      </w:r>
      <w:r w:rsidR="00651681" w:rsidRPr="00FE1DDB">
        <w:rPr>
          <w:rFonts w:ascii="Times New Roman" w:hAnsi="Times New Roman" w:cs="Times New Roman"/>
          <w:sz w:val="24"/>
          <w:szCs w:val="24"/>
        </w:rPr>
        <w:t xml:space="preserve"> chemistry, sediment</w:t>
      </w:r>
      <w:r w:rsidR="00C47A96" w:rsidRPr="00FE1DDB">
        <w:rPr>
          <w:rFonts w:ascii="Times New Roman" w:hAnsi="Times New Roman" w:cs="Times New Roman"/>
          <w:sz w:val="24"/>
          <w:szCs w:val="24"/>
        </w:rPr>
        <w:t xml:space="preserve"> toxicity, </w:t>
      </w:r>
      <w:r w:rsidR="00C174DE">
        <w:rPr>
          <w:rFonts w:ascii="Times New Roman" w:hAnsi="Times New Roman" w:cs="Times New Roman"/>
          <w:sz w:val="24"/>
          <w:szCs w:val="24"/>
        </w:rPr>
        <w:t>and benthic community samples</w:t>
      </w:r>
      <w:r w:rsidRPr="00FE1DDB">
        <w:rPr>
          <w:rFonts w:ascii="Times New Roman" w:hAnsi="Times New Roman" w:cs="Times New Roman"/>
          <w:sz w:val="24"/>
          <w:szCs w:val="24"/>
        </w:rPr>
        <w:t xml:space="preserve"> at </w:t>
      </w:r>
      <w:r w:rsidR="00347A33" w:rsidRPr="00FE1DDB">
        <w:rPr>
          <w:rFonts w:ascii="Times New Roman" w:hAnsi="Times New Roman" w:cs="Times New Roman"/>
          <w:sz w:val="24"/>
          <w:szCs w:val="24"/>
        </w:rPr>
        <w:t xml:space="preserve">298 </w:t>
      </w:r>
      <w:r w:rsidR="00B731FC" w:rsidRPr="00FE1DDB">
        <w:rPr>
          <w:rFonts w:ascii="Times New Roman" w:hAnsi="Times New Roman" w:cs="Times New Roman"/>
          <w:sz w:val="24"/>
          <w:szCs w:val="24"/>
        </w:rPr>
        <w:t xml:space="preserve">probabilistic </w:t>
      </w:r>
      <w:r w:rsidR="00C174DE">
        <w:rPr>
          <w:rFonts w:ascii="Times New Roman" w:hAnsi="Times New Roman" w:cs="Times New Roman"/>
          <w:sz w:val="24"/>
          <w:szCs w:val="24"/>
        </w:rPr>
        <w:t>stations</w:t>
      </w:r>
      <w:r w:rsidR="00D45FE6">
        <w:rPr>
          <w:rFonts w:ascii="Times New Roman" w:hAnsi="Times New Roman" w:cs="Times New Roman"/>
          <w:sz w:val="24"/>
          <w:szCs w:val="24"/>
        </w:rPr>
        <w:t xml:space="preserve"> in tidal waters of the Commonwealth</w:t>
      </w:r>
      <w:r w:rsidR="00B731FC" w:rsidRPr="00FE1DDB">
        <w:rPr>
          <w:rFonts w:ascii="Times New Roman" w:hAnsi="Times New Roman" w:cs="Times New Roman"/>
          <w:sz w:val="24"/>
          <w:szCs w:val="24"/>
        </w:rPr>
        <w:t xml:space="preserve">. </w:t>
      </w:r>
      <w:r w:rsidR="008B0194">
        <w:rPr>
          <w:rFonts w:ascii="Times New Roman" w:hAnsi="Times New Roman" w:cs="Times New Roman"/>
          <w:sz w:val="24"/>
          <w:szCs w:val="24"/>
        </w:rPr>
        <w:t xml:space="preserve">The annual sampling window runs from July through September. </w:t>
      </w:r>
      <w:r w:rsidR="00B632EE">
        <w:rPr>
          <w:rFonts w:ascii="Times New Roman" w:hAnsi="Times New Roman" w:cs="Times New Roman"/>
          <w:sz w:val="24"/>
          <w:szCs w:val="24"/>
        </w:rPr>
        <w:t>Estuarine ProbMon s</w:t>
      </w:r>
      <w:r w:rsidR="00D45FE6">
        <w:rPr>
          <w:rFonts w:ascii="Times New Roman" w:hAnsi="Times New Roman" w:cs="Times New Roman"/>
          <w:sz w:val="24"/>
          <w:szCs w:val="24"/>
        </w:rPr>
        <w:t xml:space="preserve">tations located in the </w:t>
      </w:r>
      <w:r w:rsidR="00C174DE" w:rsidRPr="00C174DE">
        <w:rPr>
          <w:rFonts w:ascii="Times New Roman" w:hAnsi="Times New Roman" w:cs="Times New Roman"/>
          <w:sz w:val="24"/>
          <w:szCs w:val="24"/>
        </w:rPr>
        <w:t xml:space="preserve">Chesapeake Bay </w:t>
      </w:r>
      <w:r w:rsidR="00B632EE">
        <w:rPr>
          <w:rFonts w:ascii="Times New Roman" w:hAnsi="Times New Roman" w:cs="Times New Roman"/>
          <w:sz w:val="24"/>
          <w:szCs w:val="24"/>
        </w:rPr>
        <w:t>w</w:t>
      </w:r>
      <w:r w:rsidR="00C174DE" w:rsidRPr="00C174DE">
        <w:rPr>
          <w:rFonts w:ascii="Times New Roman" w:hAnsi="Times New Roman" w:cs="Times New Roman"/>
          <w:sz w:val="24"/>
          <w:szCs w:val="24"/>
        </w:rPr>
        <w:t>atershed were distributed among the upper tidal reaches of the mainstem James, York,</w:t>
      </w:r>
      <w:r w:rsidR="00C174DE">
        <w:rPr>
          <w:rFonts w:ascii="Times New Roman" w:hAnsi="Times New Roman" w:cs="Times New Roman"/>
          <w:sz w:val="24"/>
          <w:szCs w:val="24"/>
        </w:rPr>
        <w:t xml:space="preserve"> </w:t>
      </w:r>
      <w:r w:rsidR="00C174DE" w:rsidRPr="00C174DE">
        <w:rPr>
          <w:rFonts w:ascii="Times New Roman" w:hAnsi="Times New Roman" w:cs="Times New Roman"/>
          <w:sz w:val="24"/>
          <w:szCs w:val="24"/>
        </w:rPr>
        <w:t>Potomac, and</w:t>
      </w:r>
      <w:r w:rsidR="00C174DE">
        <w:rPr>
          <w:rFonts w:ascii="Times New Roman" w:hAnsi="Times New Roman" w:cs="Times New Roman"/>
          <w:sz w:val="24"/>
          <w:szCs w:val="24"/>
        </w:rPr>
        <w:t xml:space="preserve"> Rappahannock rivers including </w:t>
      </w:r>
      <w:r w:rsidR="00C174DE" w:rsidRPr="00C174DE">
        <w:rPr>
          <w:rFonts w:ascii="Times New Roman" w:hAnsi="Times New Roman" w:cs="Times New Roman"/>
          <w:sz w:val="24"/>
          <w:szCs w:val="24"/>
        </w:rPr>
        <w:t>tidal tributaries and embayments. Sites that were not within the Chesapeake Bay watershed include Atlantic Ocean coastal bays</w:t>
      </w:r>
      <w:r w:rsidR="00C174DE">
        <w:rPr>
          <w:rFonts w:ascii="Times New Roman" w:hAnsi="Times New Roman" w:cs="Times New Roman"/>
          <w:sz w:val="24"/>
          <w:szCs w:val="24"/>
        </w:rPr>
        <w:t xml:space="preserve"> on the Eastern Shore</w:t>
      </w:r>
      <w:r w:rsidR="00C174DE" w:rsidRPr="00C174DE">
        <w:rPr>
          <w:rFonts w:ascii="Times New Roman" w:hAnsi="Times New Roman" w:cs="Times New Roman"/>
          <w:sz w:val="24"/>
          <w:szCs w:val="24"/>
        </w:rPr>
        <w:t>, and Albemarle Sound drainages such as Back Bay and the North Landing River</w:t>
      </w:r>
      <w:r w:rsidR="00C174DE">
        <w:rPr>
          <w:rFonts w:ascii="Times New Roman" w:hAnsi="Times New Roman" w:cs="Times New Roman"/>
          <w:sz w:val="24"/>
          <w:szCs w:val="24"/>
        </w:rPr>
        <w:t xml:space="preserve"> </w:t>
      </w:r>
      <w:r w:rsidR="00463E56">
        <w:rPr>
          <w:rFonts w:ascii="Times New Roman" w:hAnsi="Times New Roman" w:cs="Times New Roman"/>
          <w:sz w:val="24"/>
          <w:szCs w:val="24"/>
        </w:rPr>
        <w:t>(</w:t>
      </w:r>
      <w:r w:rsidR="00247379">
        <w:rPr>
          <w:rFonts w:ascii="Times New Roman" w:hAnsi="Times New Roman" w:cs="Times New Roman"/>
          <w:sz w:val="24"/>
          <w:szCs w:val="24"/>
        </w:rPr>
        <w:t>Table 4.5-1</w:t>
      </w:r>
      <w:r w:rsidR="00010D9B" w:rsidRPr="00FE1DDB">
        <w:rPr>
          <w:rFonts w:ascii="Times New Roman" w:hAnsi="Times New Roman" w:cs="Times New Roman"/>
          <w:sz w:val="24"/>
          <w:szCs w:val="24"/>
        </w:rPr>
        <w:t>.</w:t>
      </w:r>
      <w:r w:rsidR="00463E56">
        <w:rPr>
          <w:rFonts w:ascii="Times New Roman" w:hAnsi="Times New Roman" w:cs="Times New Roman"/>
          <w:sz w:val="24"/>
          <w:szCs w:val="24"/>
        </w:rPr>
        <w:t>)</w:t>
      </w:r>
    </w:p>
    <w:p w14:paraId="5CBC2959" w14:textId="77777777" w:rsidR="00247379" w:rsidRDefault="00247379" w:rsidP="00FE1DDB">
      <w:pPr>
        <w:spacing w:after="0" w:line="240" w:lineRule="auto"/>
        <w:ind w:firstLine="720"/>
        <w:rPr>
          <w:rFonts w:ascii="Times New Roman" w:hAnsi="Times New Roman" w:cs="Times New Roman"/>
          <w:sz w:val="24"/>
          <w:szCs w:val="24"/>
        </w:rPr>
      </w:pPr>
    </w:p>
    <w:p w14:paraId="671B49F8" w14:textId="7DAA27BD" w:rsidR="00247379" w:rsidRPr="00247379" w:rsidRDefault="00247379" w:rsidP="00447BF3">
      <w:pPr>
        <w:pStyle w:val="Caption"/>
        <w:keepNext/>
        <w:rPr>
          <w:rFonts w:ascii="Times New Roman" w:hAnsi="Times New Roman" w:cs="Times New Roman"/>
          <w:i w:val="0"/>
          <w:color w:val="000000" w:themeColor="text1"/>
          <w:sz w:val="20"/>
          <w:szCs w:val="20"/>
        </w:rPr>
      </w:pPr>
      <w:r>
        <w:rPr>
          <w:rFonts w:ascii="Times New Roman" w:hAnsi="Times New Roman" w:cs="Times New Roman"/>
          <w:i w:val="0"/>
          <w:color w:val="000000" w:themeColor="text1"/>
          <w:sz w:val="20"/>
          <w:szCs w:val="20"/>
        </w:rPr>
        <w:t>Table 4.5-</w:t>
      </w:r>
      <w:r w:rsidRPr="00247379">
        <w:rPr>
          <w:rFonts w:ascii="Times New Roman" w:hAnsi="Times New Roman" w:cs="Times New Roman"/>
          <w:i w:val="0"/>
          <w:color w:val="000000" w:themeColor="text1"/>
          <w:sz w:val="20"/>
          <w:szCs w:val="20"/>
        </w:rPr>
        <w:fldChar w:fldCharType="begin"/>
      </w:r>
      <w:r w:rsidRPr="00247379">
        <w:rPr>
          <w:rFonts w:ascii="Times New Roman" w:hAnsi="Times New Roman" w:cs="Times New Roman"/>
          <w:i w:val="0"/>
          <w:color w:val="000000" w:themeColor="text1"/>
          <w:sz w:val="20"/>
          <w:szCs w:val="20"/>
        </w:rPr>
        <w:instrText xml:space="preserve"> SEQ Table_4.5- \* ARABIC </w:instrText>
      </w:r>
      <w:r w:rsidRPr="00247379">
        <w:rPr>
          <w:rFonts w:ascii="Times New Roman" w:hAnsi="Times New Roman" w:cs="Times New Roman"/>
          <w:i w:val="0"/>
          <w:color w:val="000000" w:themeColor="text1"/>
          <w:sz w:val="20"/>
          <w:szCs w:val="20"/>
        </w:rPr>
        <w:fldChar w:fldCharType="separate"/>
      </w:r>
      <w:r w:rsidR="00FD11B1">
        <w:rPr>
          <w:rFonts w:ascii="Times New Roman" w:hAnsi="Times New Roman" w:cs="Times New Roman"/>
          <w:i w:val="0"/>
          <w:noProof/>
          <w:color w:val="000000" w:themeColor="text1"/>
          <w:sz w:val="20"/>
          <w:szCs w:val="20"/>
        </w:rPr>
        <w:t>1</w:t>
      </w:r>
      <w:r w:rsidRPr="00247379">
        <w:rPr>
          <w:rFonts w:ascii="Times New Roman" w:hAnsi="Times New Roman" w:cs="Times New Roman"/>
          <w:i w:val="0"/>
          <w:color w:val="000000" w:themeColor="text1"/>
          <w:sz w:val="20"/>
          <w:szCs w:val="20"/>
        </w:rPr>
        <w:fldChar w:fldCharType="end"/>
      </w:r>
      <w:r w:rsidRPr="00247379">
        <w:rPr>
          <w:rFonts w:ascii="Times New Roman" w:hAnsi="Times New Roman" w:cs="Times New Roman"/>
          <w:i w:val="0"/>
          <w:color w:val="000000" w:themeColor="text1"/>
          <w:sz w:val="20"/>
          <w:szCs w:val="20"/>
        </w:rPr>
        <w:t xml:space="preserve"> Distribution of Pro</w:t>
      </w:r>
      <w:r>
        <w:rPr>
          <w:rFonts w:ascii="Times New Roman" w:hAnsi="Times New Roman" w:cs="Times New Roman"/>
          <w:i w:val="0"/>
          <w:color w:val="000000" w:themeColor="text1"/>
          <w:sz w:val="20"/>
          <w:szCs w:val="20"/>
        </w:rPr>
        <w:t>b</w:t>
      </w:r>
      <w:r w:rsidRPr="00247379">
        <w:rPr>
          <w:rFonts w:ascii="Times New Roman" w:hAnsi="Times New Roman" w:cs="Times New Roman"/>
          <w:i w:val="0"/>
          <w:color w:val="000000" w:themeColor="text1"/>
          <w:sz w:val="20"/>
          <w:szCs w:val="20"/>
        </w:rPr>
        <w:t>Mon monitoring stations 2015-2020</w:t>
      </w:r>
    </w:p>
    <w:tbl>
      <w:tblPr>
        <w:tblW w:w="4860" w:type="dxa"/>
        <w:tblLook w:val="04A0" w:firstRow="1" w:lastRow="0" w:firstColumn="1" w:lastColumn="0" w:noHBand="0" w:noVBand="1"/>
        <w:tblCaption w:val="Table 4.5-1 Distribution of ProbMon monitoring stations 2015-2020"/>
        <w:tblDescription w:val="Table 4.5-1 Distribution of ProbMon monitoring stations 2015-2020"/>
      </w:tblPr>
      <w:tblGrid>
        <w:gridCol w:w="1946"/>
        <w:gridCol w:w="1480"/>
        <w:gridCol w:w="1434"/>
      </w:tblGrid>
      <w:tr w:rsidR="00C174DE" w:rsidRPr="00C174DE" w14:paraId="1F5976E8" w14:textId="77777777" w:rsidTr="00447BF3">
        <w:trPr>
          <w:trHeight w:val="288"/>
        </w:trPr>
        <w:tc>
          <w:tcPr>
            <w:tcW w:w="1946" w:type="dxa"/>
            <w:tcBorders>
              <w:top w:val="nil"/>
              <w:left w:val="nil"/>
              <w:bottom w:val="single" w:sz="12" w:space="0" w:color="111111"/>
              <w:right w:val="nil"/>
            </w:tcBorders>
            <w:shd w:val="clear" w:color="auto" w:fill="auto"/>
            <w:vAlign w:val="center"/>
            <w:hideMark/>
          </w:tcPr>
          <w:p w14:paraId="21E256DA" w14:textId="77777777" w:rsidR="00C174DE" w:rsidRPr="00C174DE" w:rsidRDefault="00C174DE" w:rsidP="00C174DE">
            <w:pPr>
              <w:spacing w:after="0" w:line="240" w:lineRule="auto"/>
              <w:jc w:val="center"/>
              <w:rPr>
                <w:rFonts w:ascii="Times New Roman" w:eastAsia="Times New Roman" w:hAnsi="Times New Roman" w:cs="Times New Roman"/>
                <w:b/>
                <w:color w:val="222222"/>
                <w:sz w:val="20"/>
                <w:szCs w:val="20"/>
              </w:rPr>
            </w:pPr>
            <w:r w:rsidRPr="00C174DE">
              <w:rPr>
                <w:rFonts w:ascii="Times New Roman" w:eastAsia="Times New Roman" w:hAnsi="Times New Roman" w:cs="Times New Roman"/>
                <w:b/>
                <w:color w:val="222222"/>
                <w:sz w:val="20"/>
                <w:szCs w:val="20"/>
              </w:rPr>
              <w:t>Drainage</w:t>
            </w:r>
          </w:p>
        </w:tc>
        <w:tc>
          <w:tcPr>
            <w:tcW w:w="1480" w:type="dxa"/>
            <w:tcBorders>
              <w:top w:val="nil"/>
              <w:left w:val="nil"/>
              <w:bottom w:val="single" w:sz="12" w:space="0" w:color="111111"/>
              <w:right w:val="nil"/>
            </w:tcBorders>
            <w:shd w:val="clear" w:color="auto" w:fill="auto"/>
            <w:vAlign w:val="center"/>
            <w:hideMark/>
          </w:tcPr>
          <w:p w14:paraId="032AB34E" w14:textId="77777777" w:rsidR="00C174DE" w:rsidRPr="00C174DE" w:rsidRDefault="00C174DE" w:rsidP="00C174DE">
            <w:pPr>
              <w:spacing w:after="0" w:line="240" w:lineRule="auto"/>
              <w:jc w:val="center"/>
              <w:rPr>
                <w:rFonts w:ascii="Times New Roman" w:eastAsia="Times New Roman" w:hAnsi="Times New Roman" w:cs="Times New Roman"/>
                <w:b/>
                <w:color w:val="222222"/>
                <w:sz w:val="20"/>
                <w:szCs w:val="20"/>
              </w:rPr>
            </w:pPr>
            <w:r w:rsidRPr="00C174DE">
              <w:rPr>
                <w:rFonts w:ascii="Times New Roman" w:eastAsia="Times New Roman" w:hAnsi="Times New Roman" w:cs="Times New Roman"/>
                <w:b/>
                <w:color w:val="222222"/>
                <w:sz w:val="20"/>
                <w:szCs w:val="20"/>
              </w:rPr>
              <w:t>Stations</w:t>
            </w:r>
          </w:p>
        </w:tc>
        <w:tc>
          <w:tcPr>
            <w:tcW w:w="1434" w:type="dxa"/>
            <w:tcBorders>
              <w:top w:val="nil"/>
              <w:left w:val="nil"/>
              <w:bottom w:val="single" w:sz="12" w:space="0" w:color="111111"/>
              <w:right w:val="nil"/>
            </w:tcBorders>
            <w:shd w:val="clear" w:color="auto" w:fill="auto"/>
            <w:vAlign w:val="center"/>
            <w:hideMark/>
          </w:tcPr>
          <w:p w14:paraId="182D5D1A" w14:textId="77777777" w:rsidR="00C174DE" w:rsidRPr="00C174DE" w:rsidRDefault="00C174DE" w:rsidP="00C174DE">
            <w:pPr>
              <w:spacing w:after="0" w:line="240" w:lineRule="auto"/>
              <w:jc w:val="center"/>
              <w:rPr>
                <w:rFonts w:ascii="Times New Roman" w:eastAsia="Times New Roman" w:hAnsi="Times New Roman" w:cs="Times New Roman"/>
                <w:b/>
                <w:color w:val="222222"/>
                <w:sz w:val="20"/>
                <w:szCs w:val="20"/>
              </w:rPr>
            </w:pPr>
            <w:r w:rsidRPr="00C174DE">
              <w:rPr>
                <w:rFonts w:ascii="Times New Roman" w:eastAsia="Times New Roman" w:hAnsi="Times New Roman" w:cs="Times New Roman"/>
                <w:b/>
                <w:color w:val="222222"/>
                <w:sz w:val="20"/>
                <w:szCs w:val="20"/>
              </w:rPr>
              <w:t>Percentage</w:t>
            </w:r>
          </w:p>
        </w:tc>
      </w:tr>
      <w:tr w:rsidR="00C174DE" w:rsidRPr="00C174DE" w14:paraId="36A2F1F0" w14:textId="77777777" w:rsidTr="00447BF3">
        <w:trPr>
          <w:trHeight w:val="288"/>
        </w:trPr>
        <w:tc>
          <w:tcPr>
            <w:tcW w:w="1946" w:type="dxa"/>
            <w:tcBorders>
              <w:top w:val="nil"/>
              <w:left w:val="nil"/>
              <w:bottom w:val="nil"/>
              <w:right w:val="nil"/>
            </w:tcBorders>
            <w:shd w:val="clear" w:color="auto" w:fill="auto"/>
            <w:vAlign w:val="center"/>
            <w:hideMark/>
          </w:tcPr>
          <w:p w14:paraId="46335F33"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Atlantic Bays</w:t>
            </w:r>
          </w:p>
        </w:tc>
        <w:tc>
          <w:tcPr>
            <w:tcW w:w="1480" w:type="dxa"/>
            <w:tcBorders>
              <w:top w:val="nil"/>
              <w:left w:val="nil"/>
              <w:bottom w:val="nil"/>
              <w:right w:val="nil"/>
            </w:tcBorders>
            <w:shd w:val="clear" w:color="auto" w:fill="auto"/>
            <w:vAlign w:val="center"/>
            <w:hideMark/>
          </w:tcPr>
          <w:p w14:paraId="3BD7F4DB"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56</w:t>
            </w:r>
          </w:p>
        </w:tc>
        <w:tc>
          <w:tcPr>
            <w:tcW w:w="1434" w:type="dxa"/>
            <w:tcBorders>
              <w:top w:val="nil"/>
              <w:left w:val="nil"/>
              <w:bottom w:val="nil"/>
              <w:right w:val="nil"/>
            </w:tcBorders>
            <w:shd w:val="clear" w:color="auto" w:fill="auto"/>
            <w:vAlign w:val="center"/>
            <w:hideMark/>
          </w:tcPr>
          <w:p w14:paraId="66D93A6A"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18.79 ± 4.45</w:t>
            </w:r>
          </w:p>
        </w:tc>
      </w:tr>
      <w:tr w:rsidR="00C174DE" w:rsidRPr="00C174DE" w14:paraId="585430A1" w14:textId="77777777" w:rsidTr="00447BF3">
        <w:trPr>
          <w:trHeight w:val="288"/>
        </w:trPr>
        <w:tc>
          <w:tcPr>
            <w:tcW w:w="1946" w:type="dxa"/>
            <w:tcBorders>
              <w:top w:val="single" w:sz="8" w:space="0" w:color="DDDDDD"/>
              <w:left w:val="nil"/>
              <w:bottom w:val="nil"/>
              <w:right w:val="nil"/>
            </w:tcBorders>
            <w:shd w:val="clear" w:color="auto" w:fill="auto"/>
            <w:vAlign w:val="center"/>
            <w:hideMark/>
          </w:tcPr>
          <w:p w14:paraId="24286093"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Chesapeake Bay</w:t>
            </w:r>
          </w:p>
        </w:tc>
        <w:tc>
          <w:tcPr>
            <w:tcW w:w="1480" w:type="dxa"/>
            <w:tcBorders>
              <w:top w:val="single" w:sz="8" w:space="0" w:color="DDDDDD"/>
              <w:left w:val="nil"/>
              <w:bottom w:val="nil"/>
              <w:right w:val="nil"/>
            </w:tcBorders>
            <w:shd w:val="clear" w:color="auto" w:fill="auto"/>
            <w:vAlign w:val="center"/>
            <w:hideMark/>
          </w:tcPr>
          <w:p w14:paraId="3C0DBFD1"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219</w:t>
            </w:r>
          </w:p>
        </w:tc>
        <w:tc>
          <w:tcPr>
            <w:tcW w:w="1434" w:type="dxa"/>
            <w:tcBorders>
              <w:top w:val="single" w:sz="8" w:space="0" w:color="DDDDDD"/>
              <w:left w:val="nil"/>
              <w:bottom w:val="nil"/>
              <w:right w:val="nil"/>
            </w:tcBorders>
            <w:shd w:val="clear" w:color="auto" w:fill="auto"/>
            <w:vAlign w:val="center"/>
            <w:hideMark/>
          </w:tcPr>
          <w:p w14:paraId="76849BA6"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73.49 ± 5.03</w:t>
            </w:r>
          </w:p>
        </w:tc>
      </w:tr>
      <w:tr w:rsidR="00C174DE" w:rsidRPr="00C174DE" w14:paraId="6771A4C5" w14:textId="77777777" w:rsidTr="00447BF3">
        <w:trPr>
          <w:trHeight w:val="288"/>
        </w:trPr>
        <w:tc>
          <w:tcPr>
            <w:tcW w:w="1946" w:type="dxa"/>
            <w:tcBorders>
              <w:top w:val="single" w:sz="8" w:space="0" w:color="DDDDDD"/>
              <w:left w:val="nil"/>
              <w:bottom w:val="single" w:sz="8" w:space="0" w:color="auto"/>
              <w:right w:val="nil"/>
            </w:tcBorders>
            <w:shd w:val="clear" w:color="auto" w:fill="auto"/>
            <w:vAlign w:val="center"/>
            <w:hideMark/>
          </w:tcPr>
          <w:p w14:paraId="30DA7E1C"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North Landing-Back Bay</w:t>
            </w:r>
          </w:p>
        </w:tc>
        <w:tc>
          <w:tcPr>
            <w:tcW w:w="1480" w:type="dxa"/>
            <w:tcBorders>
              <w:top w:val="single" w:sz="8" w:space="0" w:color="DDDDDD"/>
              <w:left w:val="nil"/>
              <w:bottom w:val="single" w:sz="8" w:space="0" w:color="auto"/>
              <w:right w:val="nil"/>
            </w:tcBorders>
            <w:shd w:val="clear" w:color="auto" w:fill="auto"/>
            <w:vAlign w:val="center"/>
            <w:hideMark/>
          </w:tcPr>
          <w:p w14:paraId="4924C80C"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23</w:t>
            </w:r>
          </w:p>
        </w:tc>
        <w:tc>
          <w:tcPr>
            <w:tcW w:w="1434" w:type="dxa"/>
            <w:tcBorders>
              <w:top w:val="single" w:sz="8" w:space="0" w:color="DDDDDD"/>
              <w:left w:val="nil"/>
              <w:bottom w:val="single" w:sz="8" w:space="0" w:color="auto"/>
              <w:right w:val="nil"/>
            </w:tcBorders>
            <w:shd w:val="clear" w:color="auto" w:fill="auto"/>
            <w:vAlign w:val="center"/>
            <w:hideMark/>
          </w:tcPr>
          <w:p w14:paraId="231B3FF7" w14:textId="77777777" w:rsidR="00C174DE" w:rsidRPr="00C174DE" w:rsidRDefault="00C174DE" w:rsidP="00C174DE">
            <w:pPr>
              <w:spacing w:after="0" w:line="240" w:lineRule="auto"/>
              <w:jc w:val="cente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7.72 ± 3.04</w:t>
            </w:r>
          </w:p>
        </w:tc>
      </w:tr>
      <w:tr w:rsidR="00C174DE" w:rsidRPr="00C174DE" w14:paraId="48D525FF" w14:textId="77777777" w:rsidTr="00447BF3">
        <w:trPr>
          <w:trHeight w:val="288"/>
        </w:trPr>
        <w:tc>
          <w:tcPr>
            <w:tcW w:w="1946" w:type="dxa"/>
            <w:tcBorders>
              <w:top w:val="nil"/>
              <w:left w:val="nil"/>
              <w:bottom w:val="single" w:sz="8" w:space="0" w:color="auto"/>
              <w:right w:val="nil"/>
            </w:tcBorders>
            <w:shd w:val="clear" w:color="auto" w:fill="auto"/>
            <w:vAlign w:val="center"/>
            <w:hideMark/>
          </w:tcPr>
          <w:p w14:paraId="0DCB02B2" w14:textId="77777777" w:rsidR="00C174DE" w:rsidRPr="00C174DE" w:rsidRDefault="00C174DE" w:rsidP="00C174DE">
            <w:pPr>
              <w:spacing w:after="0" w:line="240" w:lineRule="auto"/>
              <w:jc w:val="center"/>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Total</w:t>
            </w:r>
          </w:p>
        </w:tc>
        <w:tc>
          <w:tcPr>
            <w:tcW w:w="1480" w:type="dxa"/>
            <w:tcBorders>
              <w:top w:val="nil"/>
              <w:left w:val="nil"/>
              <w:bottom w:val="single" w:sz="8" w:space="0" w:color="auto"/>
              <w:right w:val="nil"/>
            </w:tcBorders>
            <w:shd w:val="clear" w:color="auto" w:fill="auto"/>
            <w:vAlign w:val="center"/>
            <w:hideMark/>
          </w:tcPr>
          <w:p w14:paraId="40331412" w14:textId="77777777" w:rsidR="00C174DE" w:rsidRPr="00C174DE" w:rsidRDefault="00C174DE" w:rsidP="00C174DE">
            <w:pPr>
              <w:spacing w:after="0" w:line="240" w:lineRule="auto"/>
              <w:jc w:val="center"/>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298</w:t>
            </w:r>
          </w:p>
        </w:tc>
        <w:tc>
          <w:tcPr>
            <w:tcW w:w="1434" w:type="dxa"/>
            <w:tcBorders>
              <w:top w:val="nil"/>
              <w:left w:val="nil"/>
              <w:bottom w:val="single" w:sz="8" w:space="0" w:color="auto"/>
              <w:right w:val="nil"/>
            </w:tcBorders>
            <w:shd w:val="clear" w:color="auto" w:fill="auto"/>
            <w:vAlign w:val="center"/>
            <w:hideMark/>
          </w:tcPr>
          <w:p w14:paraId="0295D33B" w14:textId="77777777" w:rsidR="00C174DE" w:rsidRPr="00C174DE" w:rsidRDefault="00C174DE" w:rsidP="00C174DE">
            <w:pPr>
              <w:spacing w:after="0" w:line="240" w:lineRule="auto"/>
              <w:rPr>
                <w:rFonts w:ascii="Calibri" w:eastAsia="Times New Roman" w:hAnsi="Calibri" w:cs="Calibri"/>
                <w:color w:val="000000"/>
              </w:rPr>
            </w:pPr>
            <w:r w:rsidRPr="00C174DE">
              <w:rPr>
                <w:rFonts w:ascii="Calibri" w:eastAsia="Times New Roman" w:hAnsi="Calibri" w:cs="Calibri"/>
                <w:color w:val="000000"/>
              </w:rPr>
              <w:t> </w:t>
            </w:r>
          </w:p>
        </w:tc>
      </w:tr>
    </w:tbl>
    <w:p w14:paraId="62EA466D" w14:textId="77777777" w:rsidR="00FB27C8" w:rsidRPr="00FE1DDB" w:rsidRDefault="00FB27C8" w:rsidP="00FE1DDB">
      <w:pPr>
        <w:spacing w:after="0" w:line="240" w:lineRule="auto"/>
        <w:rPr>
          <w:rFonts w:ascii="Times New Roman" w:hAnsi="Times New Roman" w:cs="Times New Roman"/>
          <w:sz w:val="24"/>
          <w:szCs w:val="24"/>
        </w:rPr>
      </w:pPr>
    </w:p>
    <w:p w14:paraId="509CA454" w14:textId="602A9902" w:rsidR="00FB27C8" w:rsidRPr="00FE1DDB" w:rsidRDefault="00247379" w:rsidP="00FE1D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duplicate samples were collected for Quality Assurance (QA) </w:t>
      </w:r>
      <w:r w:rsidR="00FB27C8" w:rsidRPr="00FE1DDB">
        <w:rPr>
          <w:rFonts w:ascii="Times New Roman" w:hAnsi="Times New Roman" w:cs="Times New Roman"/>
          <w:sz w:val="24"/>
          <w:szCs w:val="24"/>
        </w:rPr>
        <w:t xml:space="preserve">only </w:t>
      </w:r>
      <w:r w:rsidR="00010D9B" w:rsidRPr="00FE1DDB">
        <w:rPr>
          <w:rFonts w:ascii="Times New Roman" w:hAnsi="Times New Roman" w:cs="Times New Roman"/>
          <w:sz w:val="24"/>
          <w:szCs w:val="24"/>
        </w:rPr>
        <w:t xml:space="preserve">the </w:t>
      </w:r>
      <w:r w:rsidR="008B0194">
        <w:rPr>
          <w:rFonts w:ascii="Times New Roman" w:hAnsi="Times New Roman" w:cs="Times New Roman"/>
          <w:sz w:val="24"/>
          <w:szCs w:val="24"/>
        </w:rPr>
        <w:t>primary samples (S1)</w:t>
      </w:r>
      <w:r w:rsidR="00D53ABF" w:rsidRPr="00FE1DDB">
        <w:rPr>
          <w:rFonts w:ascii="Times New Roman" w:hAnsi="Times New Roman" w:cs="Times New Roman"/>
          <w:sz w:val="24"/>
          <w:szCs w:val="24"/>
        </w:rPr>
        <w:t xml:space="preserve"> </w:t>
      </w:r>
      <w:r w:rsidR="00010D9B" w:rsidRPr="00FE1DDB">
        <w:rPr>
          <w:rFonts w:ascii="Times New Roman" w:hAnsi="Times New Roman" w:cs="Times New Roman"/>
          <w:sz w:val="24"/>
          <w:szCs w:val="24"/>
        </w:rPr>
        <w:t xml:space="preserve">were </w:t>
      </w:r>
      <w:r w:rsidR="00FB27C8" w:rsidRPr="00FE1DDB">
        <w:rPr>
          <w:rFonts w:ascii="Times New Roman" w:hAnsi="Times New Roman" w:cs="Times New Roman"/>
          <w:sz w:val="24"/>
          <w:szCs w:val="24"/>
        </w:rPr>
        <w:t xml:space="preserve">included </w:t>
      </w:r>
      <w:r>
        <w:rPr>
          <w:rFonts w:ascii="Times New Roman" w:hAnsi="Times New Roman" w:cs="Times New Roman"/>
          <w:sz w:val="24"/>
          <w:szCs w:val="24"/>
        </w:rPr>
        <w:t>in this report</w:t>
      </w:r>
      <w:r w:rsidR="00010D9B" w:rsidRPr="00FE1DDB">
        <w:rPr>
          <w:rFonts w:ascii="Times New Roman" w:hAnsi="Times New Roman" w:cs="Times New Roman"/>
          <w:sz w:val="24"/>
          <w:szCs w:val="24"/>
        </w:rPr>
        <w:t>.</w:t>
      </w:r>
      <w:r>
        <w:rPr>
          <w:rFonts w:ascii="Times New Roman" w:hAnsi="Times New Roman" w:cs="Times New Roman"/>
          <w:sz w:val="24"/>
          <w:szCs w:val="24"/>
        </w:rPr>
        <w:t xml:space="preserve"> Likewise, monitoring stations that were sampled more than once per season on different days (i.e. National Coastal Condition Assessment revisit sites </w:t>
      </w:r>
      <w:r w:rsidRPr="00247379">
        <w:rPr>
          <w:rFonts w:ascii="Times New Roman" w:hAnsi="Times New Roman" w:cs="Times New Roman"/>
          <w:i/>
          <w:sz w:val="24"/>
          <w:szCs w:val="24"/>
        </w:rPr>
        <w:t>n</w:t>
      </w:r>
      <w:r>
        <w:rPr>
          <w:rFonts w:ascii="Times New Roman" w:hAnsi="Times New Roman" w:cs="Times New Roman"/>
          <w:sz w:val="24"/>
          <w:szCs w:val="24"/>
        </w:rPr>
        <w:t xml:space="preserve">=4) include only </w:t>
      </w:r>
      <w:r w:rsidR="00C174DE">
        <w:rPr>
          <w:rFonts w:ascii="Times New Roman" w:hAnsi="Times New Roman" w:cs="Times New Roman"/>
          <w:sz w:val="24"/>
          <w:szCs w:val="24"/>
        </w:rPr>
        <w:t xml:space="preserve">data from the </w:t>
      </w:r>
      <w:r>
        <w:rPr>
          <w:rFonts w:ascii="Times New Roman" w:hAnsi="Times New Roman" w:cs="Times New Roman"/>
          <w:sz w:val="24"/>
          <w:szCs w:val="24"/>
        </w:rPr>
        <w:t>first visit. Targeted</w:t>
      </w:r>
      <w:r w:rsidR="00010D9B" w:rsidRPr="00FE1DDB">
        <w:rPr>
          <w:rFonts w:ascii="Times New Roman" w:hAnsi="Times New Roman" w:cs="Times New Roman"/>
          <w:sz w:val="24"/>
          <w:szCs w:val="24"/>
        </w:rPr>
        <w:t xml:space="preserve"> </w:t>
      </w:r>
      <w:r>
        <w:rPr>
          <w:rFonts w:ascii="Times New Roman" w:hAnsi="Times New Roman" w:cs="Times New Roman"/>
          <w:sz w:val="24"/>
          <w:szCs w:val="24"/>
        </w:rPr>
        <w:t xml:space="preserve">sites </w:t>
      </w:r>
      <w:r w:rsidR="00FB27C8" w:rsidRPr="00FE1DDB">
        <w:rPr>
          <w:rFonts w:ascii="Times New Roman" w:hAnsi="Times New Roman" w:cs="Times New Roman"/>
          <w:sz w:val="24"/>
          <w:szCs w:val="24"/>
        </w:rPr>
        <w:t xml:space="preserve">revisited </w:t>
      </w:r>
      <w:r w:rsidR="00010D9B" w:rsidRPr="00FE1DDB">
        <w:rPr>
          <w:rFonts w:ascii="Times New Roman" w:hAnsi="Times New Roman" w:cs="Times New Roman"/>
          <w:sz w:val="24"/>
          <w:szCs w:val="24"/>
        </w:rPr>
        <w:t>during the assessment window,</w:t>
      </w:r>
      <w:r w:rsidR="00FB27C8" w:rsidRPr="00FE1DDB">
        <w:rPr>
          <w:rFonts w:ascii="Times New Roman" w:hAnsi="Times New Roman" w:cs="Times New Roman"/>
          <w:sz w:val="24"/>
          <w:szCs w:val="24"/>
        </w:rPr>
        <w:t xml:space="preserve"> as follow</w:t>
      </w:r>
      <w:r w:rsidR="00010D9B" w:rsidRPr="00FE1DDB">
        <w:rPr>
          <w:rFonts w:ascii="Times New Roman" w:hAnsi="Times New Roman" w:cs="Times New Roman"/>
          <w:sz w:val="24"/>
          <w:szCs w:val="24"/>
        </w:rPr>
        <w:t>-</w:t>
      </w:r>
      <w:r w:rsidR="00FB27C8" w:rsidRPr="00FE1DDB">
        <w:rPr>
          <w:rFonts w:ascii="Times New Roman" w:hAnsi="Times New Roman" w:cs="Times New Roman"/>
          <w:sz w:val="24"/>
          <w:szCs w:val="24"/>
        </w:rPr>
        <w:t>up</w:t>
      </w:r>
      <w:r w:rsidR="00010D9B" w:rsidRPr="00FE1DDB">
        <w:rPr>
          <w:rFonts w:ascii="Times New Roman" w:hAnsi="Times New Roman" w:cs="Times New Roman"/>
          <w:sz w:val="24"/>
          <w:szCs w:val="24"/>
        </w:rPr>
        <w:t>s</w:t>
      </w:r>
      <w:r w:rsidR="00FB27C8" w:rsidRPr="00FE1DDB">
        <w:rPr>
          <w:rFonts w:ascii="Times New Roman" w:hAnsi="Times New Roman" w:cs="Times New Roman"/>
          <w:sz w:val="24"/>
          <w:szCs w:val="24"/>
        </w:rPr>
        <w:t xml:space="preserve"> to </w:t>
      </w:r>
      <w:r w:rsidR="00010D9B" w:rsidRPr="00FE1DDB">
        <w:rPr>
          <w:rFonts w:ascii="Times New Roman" w:hAnsi="Times New Roman" w:cs="Times New Roman"/>
          <w:sz w:val="24"/>
          <w:szCs w:val="24"/>
        </w:rPr>
        <w:t xml:space="preserve">previously observed </w:t>
      </w:r>
      <w:r w:rsidR="00EE0A4D" w:rsidRPr="00FE1DDB">
        <w:rPr>
          <w:rFonts w:ascii="Times New Roman" w:hAnsi="Times New Roman" w:cs="Times New Roman"/>
          <w:sz w:val="24"/>
          <w:szCs w:val="24"/>
        </w:rPr>
        <w:t xml:space="preserve">sediment </w:t>
      </w:r>
      <w:r w:rsidR="00FB27C8" w:rsidRPr="00FE1DDB">
        <w:rPr>
          <w:rFonts w:ascii="Times New Roman" w:hAnsi="Times New Roman" w:cs="Times New Roman"/>
          <w:sz w:val="24"/>
          <w:szCs w:val="24"/>
        </w:rPr>
        <w:t>contamination</w:t>
      </w:r>
      <w:r w:rsidR="00C47A96" w:rsidRPr="00FE1DDB">
        <w:rPr>
          <w:rFonts w:ascii="Times New Roman" w:hAnsi="Times New Roman" w:cs="Times New Roman"/>
          <w:sz w:val="24"/>
          <w:szCs w:val="24"/>
        </w:rPr>
        <w:t xml:space="preserve"> </w:t>
      </w:r>
      <w:r>
        <w:rPr>
          <w:rFonts w:ascii="Times New Roman" w:hAnsi="Times New Roman" w:cs="Times New Roman"/>
          <w:sz w:val="24"/>
          <w:szCs w:val="24"/>
        </w:rPr>
        <w:t xml:space="preserve">were also excluded. </w:t>
      </w:r>
      <w:r w:rsidR="00FB27C8" w:rsidRPr="00FE1DDB">
        <w:rPr>
          <w:rFonts w:ascii="Times New Roman" w:hAnsi="Times New Roman" w:cs="Times New Roman"/>
          <w:sz w:val="24"/>
          <w:szCs w:val="24"/>
        </w:rPr>
        <w:t xml:space="preserve">Two </w:t>
      </w:r>
      <w:r w:rsidR="00C47A96" w:rsidRPr="00FE1DDB">
        <w:rPr>
          <w:rFonts w:ascii="Times New Roman" w:hAnsi="Times New Roman" w:cs="Times New Roman"/>
          <w:sz w:val="24"/>
          <w:szCs w:val="24"/>
        </w:rPr>
        <w:t xml:space="preserve">probabilistic </w:t>
      </w:r>
      <w:r w:rsidR="00FB27C8" w:rsidRPr="00FE1DDB">
        <w:rPr>
          <w:rFonts w:ascii="Times New Roman" w:hAnsi="Times New Roman" w:cs="Times New Roman"/>
          <w:sz w:val="24"/>
          <w:szCs w:val="24"/>
        </w:rPr>
        <w:t xml:space="preserve">sites in 2016 </w:t>
      </w:r>
      <w:r w:rsidR="00C47A96" w:rsidRPr="00FE1DDB">
        <w:rPr>
          <w:rFonts w:ascii="Times New Roman" w:hAnsi="Times New Roman" w:cs="Times New Roman"/>
          <w:sz w:val="24"/>
          <w:szCs w:val="24"/>
        </w:rPr>
        <w:t xml:space="preserve">were </w:t>
      </w:r>
      <w:r w:rsidR="00FB27C8" w:rsidRPr="00FE1DDB">
        <w:rPr>
          <w:rFonts w:ascii="Times New Roman" w:hAnsi="Times New Roman" w:cs="Times New Roman"/>
          <w:sz w:val="24"/>
          <w:szCs w:val="24"/>
        </w:rPr>
        <w:t>not sample</w:t>
      </w:r>
      <w:r w:rsidR="00C47A96" w:rsidRPr="00FE1DDB">
        <w:rPr>
          <w:rFonts w:ascii="Times New Roman" w:hAnsi="Times New Roman" w:cs="Times New Roman"/>
          <w:sz w:val="24"/>
          <w:szCs w:val="24"/>
        </w:rPr>
        <w:t>d</w:t>
      </w:r>
      <w:r w:rsidR="00FB27C8" w:rsidRPr="00FE1DDB">
        <w:rPr>
          <w:rFonts w:ascii="Times New Roman" w:hAnsi="Times New Roman" w:cs="Times New Roman"/>
          <w:sz w:val="24"/>
          <w:szCs w:val="24"/>
        </w:rPr>
        <w:t xml:space="preserve"> because of </w:t>
      </w:r>
      <w:r w:rsidR="00C47A96" w:rsidRPr="00FE1DDB">
        <w:rPr>
          <w:rFonts w:ascii="Times New Roman" w:hAnsi="Times New Roman" w:cs="Times New Roman"/>
          <w:sz w:val="24"/>
          <w:szCs w:val="24"/>
        </w:rPr>
        <w:t xml:space="preserve">late season </w:t>
      </w:r>
      <w:r w:rsidR="00FB27C8" w:rsidRPr="00FE1DDB">
        <w:rPr>
          <w:rFonts w:ascii="Times New Roman" w:hAnsi="Times New Roman" w:cs="Times New Roman"/>
          <w:sz w:val="24"/>
          <w:szCs w:val="24"/>
        </w:rPr>
        <w:t>weather and time restrictions</w:t>
      </w:r>
      <w:r w:rsidR="00C47A96" w:rsidRPr="00FE1DDB">
        <w:rPr>
          <w:rFonts w:ascii="Times New Roman" w:hAnsi="Times New Roman" w:cs="Times New Roman"/>
          <w:sz w:val="24"/>
          <w:szCs w:val="24"/>
        </w:rPr>
        <w:t xml:space="preserve">; the </w:t>
      </w:r>
      <w:r w:rsidR="00B357AD" w:rsidRPr="00FE1DDB">
        <w:rPr>
          <w:rFonts w:ascii="Times New Roman" w:hAnsi="Times New Roman" w:cs="Times New Roman"/>
          <w:sz w:val="24"/>
          <w:szCs w:val="24"/>
        </w:rPr>
        <w:t xml:space="preserve">defined sampling window for benthic index calculation had expired. </w:t>
      </w:r>
      <w:r w:rsidR="00FB27C8" w:rsidRPr="00FE1DDB">
        <w:rPr>
          <w:rFonts w:ascii="Times New Roman" w:hAnsi="Times New Roman" w:cs="Times New Roman"/>
          <w:sz w:val="24"/>
          <w:szCs w:val="24"/>
        </w:rPr>
        <w:t xml:space="preserve">One </w:t>
      </w:r>
      <w:r w:rsidR="00B357AD" w:rsidRPr="00FE1DDB">
        <w:rPr>
          <w:rFonts w:ascii="Times New Roman" w:hAnsi="Times New Roman" w:cs="Times New Roman"/>
          <w:sz w:val="24"/>
          <w:szCs w:val="24"/>
        </w:rPr>
        <w:t xml:space="preserve">additional </w:t>
      </w:r>
      <w:r w:rsidR="00FB27C8" w:rsidRPr="00FE1DDB">
        <w:rPr>
          <w:rFonts w:ascii="Times New Roman" w:hAnsi="Times New Roman" w:cs="Times New Roman"/>
          <w:sz w:val="24"/>
          <w:szCs w:val="24"/>
        </w:rPr>
        <w:t xml:space="preserve">site in 2016 </w:t>
      </w:r>
      <w:r w:rsidR="00C47A96" w:rsidRPr="00FE1DDB">
        <w:rPr>
          <w:rFonts w:ascii="Times New Roman" w:hAnsi="Times New Roman" w:cs="Times New Roman"/>
          <w:sz w:val="24"/>
          <w:szCs w:val="24"/>
        </w:rPr>
        <w:t xml:space="preserve">could </w:t>
      </w:r>
      <w:r w:rsidR="00FB27C8" w:rsidRPr="00FE1DDB">
        <w:rPr>
          <w:rFonts w:ascii="Times New Roman" w:hAnsi="Times New Roman" w:cs="Times New Roman"/>
          <w:sz w:val="24"/>
          <w:szCs w:val="24"/>
        </w:rPr>
        <w:t xml:space="preserve">not </w:t>
      </w:r>
      <w:r w:rsidR="00C47A96" w:rsidRPr="00FE1DDB">
        <w:rPr>
          <w:rFonts w:ascii="Times New Roman" w:hAnsi="Times New Roman" w:cs="Times New Roman"/>
          <w:sz w:val="24"/>
          <w:szCs w:val="24"/>
        </w:rPr>
        <w:t xml:space="preserve">be </w:t>
      </w:r>
      <w:r w:rsidR="00FB27C8" w:rsidRPr="00FE1DDB">
        <w:rPr>
          <w:rFonts w:ascii="Times New Roman" w:hAnsi="Times New Roman" w:cs="Times New Roman"/>
          <w:sz w:val="24"/>
          <w:szCs w:val="24"/>
        </w:rPr>
        <w:t>sample</w:t>
      </w:r>
      <w:r w:rsidR="00350D42" w:rsidRPr="00FE1DDB">
        <w:rPr>
          <w:rFonts w:ascii="Times New Roman" w:hAnsi="Times New Roman" w:cs="Times New Roman"/>
          <w:sz w:val="24"/>
          <w:szCs w:val="24"/>
        </w:rPr>
        <w:t>d</w:t>
      </w:r>
      <w:r w:rsidR="00FB27C8" w:rsidRPr="00FE1DDB">
        <w:rPr>
          <w:rFonts w:ascii="Times New Roman" w:hAnsi="Times New Roman" w:cs="Times New Roman"/>
          <w:sz w:val="24"/>
          <w:szCs w:val="24"/>
        </w:rPr>
        <w:t xml:space="preserve"> for sediment and benthics because </w:t>
      </w:r>
      <w:r w:rsidR="00C47A96" w:rsidRPr="00FE1DDB">
        <w:rPr>
          <w:rFonts w:ascii="Times New Roman" w:hAnsi="Times New Roman" w:cs="Times New Roman"/>
          <w:sz w:val="24"/>
          <w:szCs w:val="24"/>
        </w:rPr>
        <w:t xml:space="preserve">the bottom of the entire site consisted of a continuous </w:t>
      </w:r>
      <w:r w:rsidR="008174C1" w:rsidRPr="00FE1DDB">
        <w:rPr>
          <w:rFonts w:ascii="Times New Roman" w:hAnsi="Times New Roman" w:cs="Times New Roman"/>
          <w:sz w:val="24"/>
          <w:szCs w:val="24"/>
        </w:rPr>
        <w:t>oyster reef.</w:t>
      </w:r>
      <w:r w:rsidR="006C780C" w:rsidRPr="00FE1DDB">
        <w:rPr>
          <w:rFonts w:ascii="Times New Roman" w:hAnsi="Times New Roman" w:cs="Times New Roman"/>
          <w:sz w:val="24"/>
          <w:szCs w:val="24"/>
        </w:rPr>
        <w:t xml:space="preserve"> Water column samples and hydrographic profiles</w:t>
      </w:r>
      <w:r w:rsidR="00742EF4" w:rsidRPr="00FE1DDB">
        <w:rPr>
          <w:rFonts w:ascii="Times New Roman" w:hAnsi="Times New Roman" w:cs="Times New Roman"/>
          <w:sz w:val="24"/>
          <w:szCs w:val="24"/>
        </w:rPr>
        <w:t>, however,</w:t>
      </w:r>
      <w:r w:rsidR="006C780C" w:rsidRPr="00FE1DDB">
        <w:rPr>
          <w:rFonts w:ascii="Times New Roman" w:hAnsi="Times New Roman" w:cs="Times New Roman"/>
          <w:sz w:val="24"/>
          <w:szCs w:val="24"/>
        </w:rPr>
        <w:t xml:space="preserve"> were collected at the site. Consequently, in the following characterizations, 298 </w:t>
      </w:r>
      <w:r w:rsidR="00F35410" w:rsidRPr="00FE1DDB">
        <w:rPr>
          <w:rFonts w:ascii="Times New Roman" w:hAnsi="Times New Roman" w:cs="Times New Roman"/>
          <w:sz w:val="24"/>
          <w:szCs w:val="24"/>
        </w:rPr>
        <w:t xml:space="preserve">sites </w:t>
      </w:r>
      <w:r w:rsidR="006C780C" w:rsidRPr="00FE1DDB">
        <w:rPr>
          <w:rFonts w:ascii="Times New Roman" w:hAnsi="Times New Roman" w:cs="Times New Roman"/>
          <w:sz w:val="24"/>
          <w:szCs w:val="24"/>
        </w:rPr>
        <w:t>were evaluated for water column attributes</w:t>
      </w:r>
      <w:r w:rsidR="00EC4E53" w:rsidRPr="00FE1DDB">
        <w:rPr>
          <w:rFonts w:ascii="Times New Roman" w:hAnsi="Times New Roman" w:cs="Times New Roman"/>
          <w:sz w:val="24"/>
          <w:szCs w:val="24"/>
        </w:rPr>
        <w:t xml:space="preserve"> and </w:t>
      </w:r>
      <w:r w:rsidR="00742EF4" w:rsidRPr="00FE1DDB">
        <w:rPr>
          <w:rFonts w:ascii="Times New Roman" w:hAnsi="Times New Roman" w:cs="Times New Roman"/>
          <w:sz w:val="24"/>
          <w:szCs w:val="24"/>
        </w:rPr>
        <w:t xml:space="preserve">only </w:t>
      </w:r>
      <w:r w:rsidR="00EC4E53" w:rsidRPr="00FE1DDB">
        <w:rPr>
          <w:rFonts w:ascii="Times New Roman" w:hAnsi="Times New Roman" w:cs="Times New Roman"/>
          <w:sz w:val="24"/>
          <w:szCs w:val="24"/>
        </w:rPr>
        <w:t>297 sites were evaluated for sediment and benthic attributes</w:t>
      </w:r>
      <w:r w:rsidR="006C780C" w:rsidRPr="00FE1DDB">
        <w:rPr>
          <w:rFonts w:ascii="Times New Roman" w:hAnsi="Times New Roman" w:cs="Times New Roman"/>
          <w:sz w:val="24"/>
          <w:szCs w:val="24"/>
        </w:rPr>
        <w:t>.</w:t>
      </w:r>
    </w:p>
    <w:p w14:paraId="24591777" w14:textId="77777777" w:rsidR="00B357AD" w:rsidRPr="00FE1DDB" w:rsidRDefault="00B357AD" w:rsidP="00FE1DDB">
      <w:pPr>
        <w:spacing w:after="0" w:line="240" w:lineRule="auto"/>
        <w:rPr>
          <w:rFonts w:ascii="Times New Roman" w:hAnsi="Times New Roman" w:cs="Times New Roman"/>
          <w:sz w:val="24"/>
          <w:szCs w:val="24"/>
        </w:rPr>
      </w:pPr>
    </w:p>
    <w:p w14:paraId="727A4081" w14:textId="3C11BF4F" w:rsidR="00EE7D1D" w:rsidRDefault="00EC4E53"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The salinity regimes at estuarine ProbMon sites are characterized by near-bottom salinities</w:t>
      </w:r>
      <w:r w:rsidR="009B434E" w:rsidRPr="00FE1DDB">
        <w:rPr>
          <w:rFonts w:ascii="Times New Roman" w:hAnsi="Times New Roman" w:cs="Times New Roman"/>
          <w:sz w:val="24"/>
          <w:szCs w:val="24"/>
        </w:rPr>
        <w:t xml:space="preserve"> at the time of sampling</w:t>
      </w:r>
      <w:r w:rsidRPr="00FE1DDB">
        <w:rPr>
          <w:rFonts w:ascii="Times New Roman" w:hAnsi="Times New Roman" w:cs="Times New Roman"/>
          <w:sz w:val="24"/>
          <w:szCs w:val="24"/>
        </w:rPr>
        <w:t xml:space="preserve">, because </w:t>
      </w:r>
      <w:r w:rsidR="003127C6" w:rsidRPr="00FE1DDB">
        <w:rPr>
          <w:rFonts w:ascii="Times New Roman" w:hAnsi="Times New Roman" w:cs="Times New Roman"/>
          <w:sz w:val="24"/>
          <w:szCs w:val="24"/>
        </w:rPr>
        <w:t>bottom salinity</w:t>
      </w:r>
      <w:r w:rsidRPr="00FE1DDB">
        <w:rPr>
          <w:rFonts w:ascii="Times New Roman" w:hAnsi="Times New Roman" w:cs="Times New Roman"/>
          <w:sz w:val="24"/>
          <w:szCs w:val="24"/>
        </w:rPr>
        <w:t xml:space="preserve"> define</w:t>
      </w:r>
      <w:r w:rsidR="003127C6" w:rsidRPr="00FE1DDB">
        <w:rPr>
          <w:rFonts w:ascii="Times New Roman" w:hAnsi="Times New Roman" w:cs="Times New Roman"/>
          <w:sz w:val="24"/>
          <w:szCs w:val="24"/>
        </w:rPr>
        <w:t>s</w:t>
      </w:r>
      <w:r w:rsidRPr="00FE1DDB">
        <w:rPr>
          <w:rFonts w:ascii="Times New Roman" w:hAnsi="Times New Roman" w:cs="Times New Roman"/>
          <w:sz w:val="24"/>
          <w:szCs w:val="24"/>
        </w:rPr>
        <w:t xml:space="preserve"> habitat type</w:t>
      </w:r>
      <w:r w:rsidR="009B434E" w:rsidRPr="00FE1DDB">
        <w:rPr>
          <w:rFonts w:ascii="Times New Roman" w:hAnsi="Times New Roman" w:cs="Times New Roman"/>
          <w:sz w:val="24"/>
          <w:szCs w:val="24"/>
        </w:rPr>
        <w:t xml:space="preserve">s for benthic communities. </w:t>
      </w:r>
      <w:r w:rsidR="00F35410" w:rsidRPr="00FE1DDB">
        <w:rPr>
          <w:rFonts w:ascii="Times New Roman" w:hAnsi="Times New Roman" w:cs="Times New Roman"/>
          <w:sz w:val="24"/>
          <w:szCs w:val="24"/>
        </w:rPr>
        <w:t xml:space="preserve">Table </w:t>
      </w:r>
      <w:r w:rsidR="00914143" w:rsidRPr="00FE1DDB">
        <w:rPr>
          <w:rFonts w:ascii="Times New Roman" w:hAnsi="Times New Roman" w:cs="Times New Roman"/>
          <w:sz w:val="24"/>
          <w:szCs w:val="24"/>
        </w:rPr>
        <w:t>4.5</w:t>
      </w:r>
      <w:r w:rsidR="00C174DE">
        <w:rPr>
          <w:rFonts w:ascii="Times New Roman" w:hAnsi="Times New Roman" w:cs="Times New Roman"/>
          <w:sz w:val="24"/>
          <w:szCs w:val="24"/>
        </w:rPr>
        <w:t>-2</w:t>
      </w:r>
      <w:r w:rsidR="00F35410" w:rsidRPr="00FE1DDB">
        <w:rPr>
          <w:rFonts w:ascii="Times New Roman" w:hAnsi="Times New Roman" w:cs="Times New Roman"/>
          <w:sz w:val="24"/>
          <w:szCs w:val="24"/>
        </w:rPr>
        <w:t xml:space="preserve"> summarizes the salinity ranges and </w:t>
      </w:r>
      <w:r w:rsidR="00406C8F" w:rsidRPr="00FE1DDB">
        <w:rPr>
          <w:rFonts w:ascii="Times New Roman" w:hAnsi="Times New Roman" w:cs="Times New Roman"/>
          <w:sz w:val="24"/>
          <w:szCs w:val="24"/>
        </w:rPr>
        <w:t>percentage distributions</w:t>
      </w:r>
      <w:r w:rsidR="00C174DE">
        <w:rPr>
          <w:rFonts w:ascii="Times New Roman" w:hAnsi="Times New Roman" w:cs="Times New Roman"/>
          <w:sz w:val="24"/>
          <w:szCs w:val="24"/>
        </w:rPr>
        <w:t xml:space="preserve">. </w:t>
      </w:r>
      <w:r w:rsidR="003127C6" w:rsidRPr="00FE1DDB">
        <w:rPr>
          <w:rFonts w:ascii="Times New Roman" w:hAnsi="Times New Roman" w:cs="Times New Roman"/>
          <w:sz w:val="24"/>
          <w:szCs w:val="24"/>
        </w:rPr>
        <w:t xml:space="preserve">The relative frequencies (proportions) of sites in the various </w:t>
      </w:r>
      <w:r w:rsidR="00E1596F" w:rsidRPr="00FE1DDB">
        <w:rPr>
          <w:rFonts w:ascii="Times New Roman" w:hAnsi="Times New Roman" w:cs="Times New Roman"/>
          <w:sz w:val="24"/>
          <w:szCs w:val="24"/>
        </w:rPr>
        <w:t xml:space="preserve">salinity </w:t>
      </w:r>
      <w:r w:rsidR="003127C6" w:rsidRPr="00FE1DDB">
        <w:rPr>
          <w:rFonts w:ascii="Times New Roman" w:hAnsi="Times New Roman" w:cs="Times New Roman"/>
          <w:sz w:val="24"/>
          <w:szCs w:val="24"/>
        </w:rPr>
        <w:t>classes</w:t>
      </w:r>
      <w:r w:rsidR="00E1596F" w:rsidRPr="00FE1DDB">
        <w:rPr>
          <w:rFonts w:ascii="Times New Roman" w:hAnsi="Times New Roman" w:cs="Times New Roman"/>
          <w:sz w:val="24"/>
          <w:szCs w:val="24"/>
        </w:rPr>
        <w:t xml:space="preserve"> do not represent Virginia’s estuarin</w:t>
      </w:r>
      <w:r w:rsidR="002D26C7" w:rsidRPr="00FE1DDB">
        <w:rPr>
          <w:rFonts w:ascii="Times New Roman" w:hAnsi="Times New Roman" w:cs="Times New Roman"/>
          <w:sz w:val="24"/>
          <w:szCs w:val="24"/>
        </w:rPr>
        <w:t xml:space="preserve">e waters as a whole, since the </w:t>
      </w:r>
      <w:r w:rsidR="00E9074E">
        <w:rPr>
          <w:rFonts w:ascii="Times New Roman" w:hAnsi="Times New Roman" w:cs="Times New Roman"/>
          <w:sz w:val="24"/>
          <w:szCs w:val="24"/>
        </w:rPr>
        <w:t>C</w:t>
      </w:r>
      <w:r w:rsidR="00E1596F" w:rsidRPr="00FE1DDB">
        <w:rPr>
          <w:rFonts w:ascii="Times New Roman" w:hAnsi="Times New Roman" w:cs="Times New Roman"/>
          <w:sz w:val="24"/>
          <w:szCs w:val="24"/>
        </w:rPr>
        <w:t>ommonwealth’s survey design does not include the Chesapeake Bay mainstem</w:t>
      </w:r>
      <w:r w:rsidR="00406C8F" w:rsidRPr="00FE1DDB">
        <w:rPr>
          <w:rFonts w:ascii="Times New Roman" w:hAnsi="Times New Roman" w:cs="Times New Roman"/>
          <w:sz w:val="24"/>
          <w:szCs w:val="24"/>
        </w:rPr>
        <w:t xml:space="preserve"> or the lower </w:t>
      </w:r>
      <w:r w:rsidR="00742EF4" w:rsidRPr="00FE1DDB">
        <w:rPr>
          <w:rFonts w:ascii="Times New Roman" w:hAnsi="Times New Roman" w:cs="Times New Roman"/>
          <w:sz w:val="24"/>
          <w:szCs w:val="24"/>
        </w:rPr>
        <w:t xml:space="preserve">tidal </w:t>
      </w:r>
      <w:r w:rsidR="00406C8F" w:rsidRPr="00FE1DDB">
        <w:rPr>
          <w:rFonts w:ascii="Times New Roman" w:hAnsi="Times New Roman" w:cs="Times New Roman"/>
          <w:sz w:val="24"/>
          <w:szCs w:val="24"/>
        </w:rPr>
        <w:t>mainstems of major tributaries</w:t>
      </w:r>
      <w:r w:rsidR="00E1596F" w:rsidRPr="00FE1DDB">
        <w:rPr>
          <w:rFonts w:ascii="Times New Roman" w:hAnsi="Times New Roman" w:cs="Times New Roman"/>
          <w:sz w:val="24"/>
          <w:szCs w:val="24"/>
        </w:rPr>
        <w:t xml:space="preserve">. The </w:t>
      </w:r>
      <w:r w:rsidR="00C174DE">
        <w:rPr>
          <w:rFonts w:ascii="Times New Roman" w:hAnsi="Times New Roman" w:cs="Times New Roman"/>
          <w:sz w:val="24"/>
          <w:szCs w:val="24"/>
        </w:rPr>
        <w:t xml:space="preserve">Chesapeake </w:t>
      </w:r>
      <w:r w:rsidR="00E1596F" w:rsidRPr="00FE1DDB">
        <w:rPr>
          <w:rFonts w:ascii="Times New Roman" w:hAnsi="Times New Roman" w:cs="Times New Roman"/>
          <w:sz w:val="24"/>
          <w:szCs w:val="24"/>
        </w:rPr>
        <w:t xml:space="preserve">Bay </w:t>
      </w:r>
      <w:r w:rsidR="00406C8F" w:rsidRPr="00FE1DDB">
        <w:rPr>
          <w:rFonts w:ascii="Times New Roman" w:hAnsi="Times New Roman" w:cs="Times New Roman"/>
          <w:sz w:val="24"/>
          <w:szCs w:val="24"/>
        </w:rPr>
        <w:t xml:space="preserve">and major tributary </w:t>
      </w:r>
      <w:r w:rsidR="00E1596F" w:rsidRPr="00FE1DDB">
        <w:rPr>
          <w:rFonts w:ascii="Times New Roman" w:hAnsi="Times New Roman" w:cs="Times New Roman"/>
          <w:sz w:val="24"/>
          <w:szCs w:val="24"/>
        </w:rPr>
        <w:t>mainstem</w:t>
      </w:r>
      <w:r w:rsidR="00406C8F" w:rsidRPr="00FE1DDB">
        <w:rPr>
          <w:rFonts w:ascii="Times New Roman" w:hAnsi="Times New Roman" w:cs="Times New Roman"/>
          <w:sz w:val="24"/>
          <w:szCs w:val="24"/>
        </w:rPr>
        <w:t>s</w:t>
      </w:r>
      <w:r w:rsidR="00E1596F" w:rsidRPr="00FE1DDB">
        <w:rPr>
          <w:rFonts w:ascii="Times New Roman" w:hAnsi="Times New Roman" w:cs="Times New Roman"/>
          <w:sz w:val="24"/>
          <w:szCs w:val="24"/>
        </w:rPr>
        <w:t xml:space="preserve"> </w:t>
      </w:r>
      <w:r w:rsidR="00C174DE">
        <w:rPr>
          <w:rFonts w:ascii="Times New Roman" w:hAnsi="Times New Roman" w:cs="Times New Roman"/>
          <w:sz w:val="24"/>
          <w:szCs w:val="24"/>
        </w:rPr>
        <w:t>are</w:t>
      </w:r>
      <w:r w:rsidR="00E9074E">
        <w:rPr>
          <w:rFonts w:ascii="Times New Roman" w:hAnsi="Times New Roman" w:cs="Times New Roman"/>
          <w:sz w:val="24"/>
          <w:szCs w:val="24"/>
        </w:rPr>
        <w:t>,</w:t>
      </w:r>
      <w:r w:rsidR="00C174DE">
        <w:rPr>
          <w:rFonts w:ascii="Times New Roman" w:hAnsi="Times New Roman" w:cs="Times New Roman"/>
          <w:sz w:val="24"/>
          <w:szCs w:val="24"/>
        </w:rPr>
        <w:t xml:space="preserve"> however</w:t>
      </w:r>
      <w:r w:rsidR="00E9074E">
        <w:rPr>
          <w:rFonts w:ascii="Times New Roman" w:hAnsi="Times New Roman" w:cs="Times New Roman"/>
          <w:sz w:val="24"/>
          <w:szCs w:val="24"/>
        </w:rPr>
        <w:t>,</w:t>
      </w:r>
      <w:r w:rsidR="00C174DE">
        <w:rPr>
          <w:rFonts w:ascii="Times New Roman" w:hAnsi="Times New Roman" w:cs="Times New Roman"/>
          <w:sz w:val="24"/>
          <w:szCs w:val="24"/>
        </w:rPr>
        <w:t xml:space="preserve"> </w:t>
      </w:r>
      <w:r w:rsidR="00E1596F" w:rsidRPr="00FE1DDB">
        <w:rPr>
          <w:rFonts w:ascii="Times New Roman" w:hAnsi="Times New Roman" w:cs="Times New Roman"/>
          <w:sz w:val="24"/>
          <w:szCs w:val="24"/>
        </w:rPr>
        <w:t xml:space="preserve">included in the NCCA design, which was integrated into the overall sampling in 2015 </w:t>
      </w:r>
      <w:r w:rsidR="00247379">
        <w:rPr>
          <w:rFonts w:ascii="Times New Roman" w:hAnsi="Times New Roman" w:cs="Times New Roman"/>
          <w:sz w:val="24"/>
          <w:szCs w:val="24"/>
        </w:rPr>
        <w:t>and 2020</w:t>
      </w:r>
      <w:r w:rsidR="00E1596F" w:rsidRPr="00FE1DDB">
        <w:rPr>
          <w:rFonts w:ascii="Times New Roman" w:hAnsi="Times New Roman" w:cs="Times New Roman"/>
          <w:sz w:val="24"/>
          <w:szCs w:val="24"/>
        </w:rPr>
        <w:t xml:space="preserve">. </w:t>
      </w:r>
      <w:r w:rsidR="00081807" w:rsidRPr="00FE1DDB">
        <w:rPr>
          <w:rFonts w:ascii="Times New Roman" w:hAnsi="Times New Roman" w:cs="Times New Roman"/>
          <w:sz w:val="24"/>
          <w:szCs w:val="24"/>
        </w:rPr>
        <w:t>If mainstem Bay sampling were to be included in all years, the proportions of mesohaline and polyhaline waters would increase substantially,</w:t>
      </w:r>
      <w:r w:rsidR="00E76444" w:rsidRPr="00FE1DDB">
        <w:rPr>
          <w:rFonts w:ascii="Times New Roman" w:hAnsi="Times New Roman" w:cs="Times New Roman"/>
          <w:sz w:val="24"/>
          <w:szCs w:val="24"/>
        </w:rPr>
        <w:t xml:space="preserve"> and the </w:t>
      </w:r>
      <w:r w:rsidR="00651681" w:rsidRPr="00FE1DDB">
        <w:rPr>
          <w:rFonts w:ascii="Times New Roman" w:hAnsi="Times New Roman" w:cs="Times New Roman"/>
          <w:sz w:val="24"/>
          <w:szCs w:val="24"/>
        </w:rPr>
        <w:t>percentages</w:t>
      </w:r>
      <w:r w:rsidR="00081807" w:rsidRPr="00FE1DDB">
        <w:rPr>
          <w:rFonts w:ascii="Times New Roman" w:hAnsi="Times New Roman" w:cs="Times New Roman"/>
          <w:sz w:val="24"/>
          <w:szCs w:val="24"/>
        </w:rPr>
        <w:t xml:space="preserve"> of tidal fresh, oligohaline, and euhaline waters would decline proportionally. </w:t>
      </w:r>
      <w:r w:rsidR="00081807" w:rsidRPr="00FE1DDB">
        <w:rPr>
          <w:rFonts w:ascii="Times New Roman" w:hAnsi="Times New Roman" w:cs="Times New Roman"/>
          <w:sz w:val="24"/>
          <w:szCs w:val="24"/>
        </w:rPr>
        <w:lastRenderedPageBreak/>
        <w:t xml:space="preserve">Euhaline waters were observed to occur </w:t>
      </w:r>
      <w:r w:rsidR="00742EF4" w:rsidRPr="00FE1DDB">
        <w:rPr>
          <w:rFonts w:ascii="Times New Roman" w:hAnsi="Times New Roman" w:cs="Times New Roman"/>
          <w:sz w:val="24"/>
          <w:szCs w:val="24"/>
        </w:rPr>
        <w:t xml:space="preserve">primarily </w:t>
      </w:r>
      <w:r w:rsidR="00081807" w:rsidRPr="00FE1DDB">
        <w:rPr>
          <w:rFonts w:ascii="Times New Roman" w:hAnsi="Times New Roman" w:cs="Times New Roman"/>
          <w:sz w:val="24"/>
          <w:szCs w:val="24"/>
        </w:rPr>
        <w:t>along the Atlantic Coast of the Delmarva Peninsula</w:t>
      </w:r>
      <w:r w:rsidR="00E76444" w:rsidRPr="00FE1DDB">
        <w:rPr>
          <w:rFonts w:ascii="Times New Roman" w:hAnsi="Times New Roman" w:cs="Times New Roman"/>
          <w:sz w:val="24"/>
          <w:szCs w:val="24"/>
        </w:rPr>
        <w:t>, where oceanic waters have a greater influence</w:t>
      </w:r>
      <w:r w:rsidR="00081807" w:rsidRPr="00FE1DDB">
        <w:rPr>
          <w:rFonts w:ascii="Times New Roman" w:hAnsi="Times New Roman" w:cs="Times New Roman"/>
          <w:sz w:val="24"/>
          <w:szCs w:val="24"/>
        </w:rPr>
        <w:t xml:space="preserve">. </w:t>
      </w:r>
    </w:p>
    <w:p w14:paraId="42D54997" w14:textId="77777777" w:rsidR="00C174DE" w:rsidRPr="00FE1DDB" w:rsidRDefault="00C174DE" w:rsidP="00FE1DDB">
      <w:pPr>
        <w:spacing w:after="0" w:line="240" w:lineRule="auto"/>
        <w:rPr>
          <w:rFonts w:ascii="Times New Roman" w:hAnsi="Times New Roman" w:cs="Times New Roman"/>
          <w:sz w:val="24"/>
          <w:szCs w:val="24"/>
        </w:rPr>
      </w:pPr>
    </w:p>
    <w:p w14:paraId="23F1B8C6" w14:textId="5A82674B" w:rsidR="000123BC" w:rsidRDefault="000123BC" w:rsidP="00FE1DDB">
      <w:pPr>
        <w:spacing w:after="0" w:line="240" w:lineRule="auto"/>
        <w:jc w:val="both"/>
        <w:rPr>
          <w:rFonts w:ascii="Times New Roman" w:hAnsi="Times New Roman" w:cs="Times New Roman"/>
          <w:sz w:val="24"/>
          <w:szCs w:val="24"/>
        </w:rPr>
      </w:pPr>
    </w:p>
    <w:p w14:paraId="0C103F1E" w14:textId="699268EE" w:rsidR="00C174DE" w:rsidRPr="00C174DE" w:rsidRDefault="00C174DE" w:rsidP="00447BF3">
      <w:pPr>
        <w:pStyle w:val="Caption"/>
        <w:keepNext/>
        <w:rPr>
          <w:rFonts w:ascii="Times New Roman" w:hAnsi="Times New Roman" w:cs="Times New Roman"/>
          <w:i w:val="0"/>
          <w:color w:val="000000" w:themeColor="text1"/>
          <w:sz w:val="20"/>
          <w:szCs w:val="20"/>
        </w:rPr>
      </w:pPr>
      <w:r w:rsidRPr="00C174DE">
        <w:rPr>
          <w:rFonts w:ascii="Times New Roman" w:hAnsi="Times New Roman" w:cs="Times New Roman"/>
          <w:i w:val="0"/>
          <w:color w:val="000000" w:themeColor="text1"/>
          <w:sz w:val="20"/>
          <w:szCs w:val="20"/>
        </w:rPr>
        <w:t xml:space="preserve">Table 4.5- </w:t>
      </w:r>
      <w:r w:rsidRPr="00C174DE">
        <w:rPr>
          <w:rFonts w:ascii="Times New Roman" w:hAnsi="Times New Roman" w:cs="Times New Roman"/>
          <w:i w:val="0"/>
          <w:color w:val="000000" w:themeColor="text1"/>
          <w:sz w:val="20"/>
          <w:szCs w:val="20"/>
        </w:rPr>
        <w:fldChar w:fldCharType="begin"/>
      </w:r>
      <w:r w:rsidRPr="00C174DE">
        <w:rPr>
          <w:rFonts w:ascii="Times New Roman" w:hAnsi="Times New Roman" w:cs="Times New Roman"/>
          <w:i w:val="0"/>
          <w:color w:val="000000" w:themeColor="text1"/>
          <w:sz w:val="20"/>
          <w:szCs w:val="20"/>
        </w:rPr>
        <w:instrText xml:space="preserve"> SEQ Table_4.5- \* ARABIC </w:instrText>
      </w:r>
      <w:r w:rsidRPr="00C174DE">
        <w:rPr>
          <w:rFonts w:ascii="Times New Roman" w:hAnsi="Times New Roman" w:cs="Times New Roman"/>
          <w:i w:val="0"/>
          <w:color w:val="000000" w:themeColor="text1"/>
          <w:sz w:val="20"/>
          <w:szCs w:val="20"/>
        </w:rPr>
        <w:fldChar w:fldCharType="separate"/>
      </w:r>
      <w:r w:rsidR="00FD11B1">
        <w:rPr>
          <w:rFonts w:ascii="Times New Roman" w:hAnsi="Times New Roman" w:cs="Times New Roman"/>
          <w:i w:val="0"/>
          <w:noProof/>
          <w:color w:val="000000" w:themeColor="text1"/>
          <w:sz w:val="20"/>
          <w:szCs w:val="20"/>
        </w:rPr>
        <w:t>2</w:t>
      </w:r>
      <w:r w:rsidRPr="00C174DE">
        <w:rPr>
          <w:rFonts w:ascii="Times New Roman" w:hAnsi="Times New Roman" w:cs="Times New Roman"/>
          <w:i w:val="0"/>
          <w:color w:val="000000" w:themeColor="text1"/>
          <w:sz w:val="20"/>
          <w:szCs w:val="20"/>
        </w:rPr>
        <w:fldChar w:fldCharType="end"/>
      </w:r>
      <w:r w:rsidRPr="00C174DE">
        <w:rPr>
          <w:rFonts w:ascii="Times New Roman" w:hAnsi="Times New Roman" w:cs="Times New Roman"/>
          <w:i w:val="0"/>
          <w:color w:val="000000" w:themeColor="text1"/>
          <w:sz w:val="20"/>
          <w:szCs w:val="20"/>
        </w:rPr>
        <w:t xml:space="preserve"> Salinity ranges of near bottom salinity during sample collection</w:t>
      </w:r>
      <w:r w:rsidR="008B0194">
        <w:rPr>
          <w:rFonts w:ascii="Times New Roman" w:hAnsi="Times New Roman" w:cs="Times New Roman"/>
          <w:i w:val="0"/>
          <w:color w:val="000000" w:themeColor="text1"/>
          <w:sz w:val="20"/>
          <w:szCs w:val="20"/>
        </w:rPr>
        <w:t xml:space="preserve">, </w:t>
      </w:r>
      <w:r w:rsidR="008B0194" w:rsidRPr="00247379">
        <w:rPr>
          <w:rFonts w:ascii="Times New Roman" w:hAnsi="Times New Roman" w:cs="Times New Roman"/>
          <w:i w:val="0"/>
          <w:color w:val="000000" w:themeColor="text1"/>
          <w:sz w:val="20"/>
          <w:szCs w:val="20"/>
        </w:rPr>
        <w:t>2015-2020</w:t>
      </w:r>
      <w:r w:rsidRPr="00C174DE">
        <w:rPr>
          <w:rFonts w:ascii="Times New Roman" w:hAnsi="Times New Roman" w:cs="Times New Roman"/>
          <w:i w:val="0"/>
          <w:color w:val="000000" w:themeColor="text1"/>
          <w:sz w:val="20"/>
          <w:szCs w:val="20"/>
        </w:rPr>
        <w:t>. Thresholds follow the Venice System (Venice System, 1958)</w:t>
      </w:r>
    </w:p>
    <w:tbl>
      <w:tblPr>
        <w:tblStyle w:val="TableGridLight"/>
        <w:tblW w:w="5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5- 2 Salinity ranges of near bottom salinity during sample collection. Thresholds follow the Venice System (Venice System, 1958)"/>
        <w:tblDescription w:val="Table 4.5- 2 Salinity ranges of near bottom salinity during sample collection. Thresholds follow the Venice System (Venice System, 1958)"/>
      </w:tblPr>
      <w:tblGrid>
        <w:gridCol w:w="2020"/>
        <w:gridCol w:w="1540"/>
        <w:gridCol w:w="960"/>
        <w:gridCol w:w="1330"/>
      </w:tblGrid>
      <w:tr w:rsidR="00C174DE" w:rsidRPr="00C174DE" w14:paraId="1A721AD5" w14:textId="77777777" w:rsidTr="002D7C98">
        <w:trPr>
          <w:trHeight w:val="317"/>
          <w:tblHeader/>
        </w:trPr>
        <w:tc>
          <w:tcPr>
            <w:tcW w:w="2020" w:type="dxa"/>
            <w:tcBorders>
              <w:bottom w:val="single" w:sz="4" w:space="0" w:color="auto"/>
            </w:tcBorders>
            <w:noWrap/>
            <w:vAlign w:val="center"/>
            <w:hideMark/>
          </w:tcPr>
          <w:p w14:paraId="5689A213" w14:textId="77777777" w:rsidR="00C174DE" w:rsidRPr="00C174DE" w:rsidRDefault="00C174DE" w:rsidP="00751801">
            <w:pPr>
              <w:rPr>
                <w:rFonts w:ascii="Times New Roman" w:eastAsia="Times New Roman" w:hAnsi="Times New Roman" w:cs="Times New Roman"/>
                <w:b/>
                <w:color w:val="000000"/>
                <w:sz w:val="20"/>
                <w:szCs w:val="20"/>
              </w:rPr>
            </w:pPr>
            <w:r w:rsidRPr="00C174DE">
              <w:rPr>
                <w:rFonts w:ascii="Times New Roman" w:eastAsia="Times New Roman" w:hAnsi="Times New Roman" w:cs="Times New Roman"/>
                <w:b/>
                <w:color w:val="000000"/>
                <w:sz w:val="20"/>
                <w:szCs w:val="20"/>
              </w:rPr>
              <w:t>Salinity Regime</w:t>
            </w:r>
          </w:p>
        </w:tc>
        <w:tc>
          <w:tcPr>
            <w:tcW w:w="1540" w:type="dxa"/>
            <w:tcBorders>
              <w:bottom w:val="single" w:sz="4" w:space="0" w:color="auto"/>
            </w:tcBorders>
            <w:noWrap/>
            <w:vAlign w:val="center"/>
            <w:hideMark/>
          </w:tcPr>
          <w:p w14:paraId="791B86BE" w14:textId="0C939749" w:rsidR="00C174DE" w:rsidRPr="00C174DE" w:rsidRDefault="00C174DE" w:rsidP="00751801">
            <w:pPr>
              <w:rPr>
                <w:rFonts w:ascii="Times New Roman" w:eastAsia="Times New Roman" w:hAnsi="Times New Roman" w:cs="Times New Roman"/>
                <w:b/>
                <w:color w:val="000000"/>
                <w:sz w:val="20"/>
                <w:szCs w:val="20"/>
              </w:rPr>
            </w:pPr>
            <w:r w:rsidRPr="00C174DE">
              <w:rPr>
                <w:rFonts w:ascii="Times New Roman" w:eastAsia="Times New Roman" w:hAnsi="Times New Roman" w:cs="Times New Roman"/>
                <w:b/>
                <w:color w:val="000000"/>
                <w:sz w:val="20"/>
                <w:szCs w:val="20"/>
              </w:rPr>
              <w:t>Salinity Range</w:t>
            </w:r>
          </w:p>
        </w:tc>
        <w:tc>
          <w:tcPr>
            <w:tcW w:w="960" w:type="dxa"/>
            <w:tcBorders>
              <w:bottom w:val="single" w:sz="4" w:space="0" w:color="auto"/>
            </w:tcBorders>
            <w:noWrap/>
            <w:vAlign w:val="center"/>
            <w:hideMark/>
          </w:tcPr>
          <w:p w14:paraId="300D310B" w14:textId="77777777" w:rsidR="00C174DE" w:rsidRPr="00C174DE" w:rsidRDefault="00C174DE" w:rsidP="00751801">
            <w:pPr>
              <w:rPr>
                <w:rFonts w:ascii="Times New Roman" w:eastAsia="Times New Roman" w:hAnsi="Times New Roman" w:cs="Times New Roman"/>
                <w:b/>
                <w:color w:val="000000"/>
                <w:sz w:val="20"/>
                <w:szCs w:val="20"/>
              </w:rPr>
            </w:pPr>
            <w:r w:rsidRPr="00C174DE">
              <w:rPr>
                <w:rFonts w:ascii="Times New Roman" w:eastAsia="Times New Roman" w:hAnsi="Times New Roman" w:cs="Times New Roman"/>
                <w:b/>
                <w:color w:val="000000"/>
                <w:sz w:val="20"/>
                <w:szCs w:val="20"/>
              </w:rPr>
              <w:t>Stations</w:t>
            </w:r>
          </w:p>
        </w:tc>
        <w:tc>
          <w:tcPr>
            <w:tcW w:w="1330" w:type="dxa"/>
            <w:tcBorders>
              <w:bottom w:val="single" w:sz="4" w:space="0" w:color="auto"/>
            </w:tcBorders>
            <w:noWrap/>
            <w:vAlign w:val="center"/>
            <w:hideMark/>
          </w:tcPr>
          <w:p w14:paraId="051F3CF4" w14:textId="77777777" w:rsidR="00C174DE" w:rsidRPr="00C174DE" w:rsidRDefault="00C174DE" w:rsidP="00751801">
            <w:pPr>
              <w:rPr>
                <w:rFonts w:ascii="Times New Roman" w:eastAsia="Times New Roman" w:hAnsi="Times New Roman" w:cs="Times New Roman"/>
                <w:b/>
                <w:color w:val="000000"/>
                <w:sz w:val="20"/>
                <w:szCs w:val="20"/>
              </w:rPr>
            </w:pPr>
            <w:r w:rsidRPr="00C174DE">
              <w:rPr>
                <w:rFonts w:ascii="Times New Roman" w:eastAsia="Times New Roman" w:hAnsi="Times New Roman" w:cs="Times New Roman"/>
                <w:b/>
                <w:color w:val="000000"/>
                <w:sz w:val="20"/>
                <w:szCs w:val="20"/>
              </w:rPr>
              <w:t>Percentage</w:t>
            </w:r>
          </w:p>
        </w:tc>
      </w:tr>
      <w:tr w:rsidR="00C174DE" w:rsidRPr="00C174DE" w14:paraId="204E488D" w14:textId="77777777" w:rsidTr="002D7C98">
        <w:trPr>
          <w:trHeight w:val="317"/>
          <w:tblHeader/>
        </w:trPr>
        <w:tc>
          <w:tcPr>
            <w:tcW w:w="2020" w:type="dxa"/>
            <w:tcBorders>
              <w:top w:val="single" w:sz="4" w:space="0" w:color="auto"/>
              <w:bottom w:val="single" w:sz="4" w:space="0" w:color="D9D9D9" w:themeColor="background1" w:themeShade="D9"/>
            </w:tcBorders>
            <w:noWrap/>
            <w:vAlign w:val="center"/>
            <w:hideMark/>
          </w:tcPr>
          <w:p w14:paraId="267C2E14"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Tidal Freshwater</w:t>
            </w:r>
          </w:p>
        </w:tc>
        <w:tc>
          <w:tcPr>
            <w:tcW w:w="1540" w:type="dxa"/>
            <w:tcBorders>
              <w:top w:val="single" w:sz="4" w:space="0" w:color="auto"/>
              <w:bottom w:val="single" w:sz="4" w:space="0" w:color="D9D9D9" w:themeColor="background1" w:themeShade="D9"/>
            </w:tcBorders>
            <w:noWrap/>
            <w:vAlign w:val="center"/>
            <w:hideMark/>
          </w:tcPr>
          <w:p w14:paraId="050080CC"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&lt; 0.5‰</w:t>
            </w:r>
          </w:p>
        </w:tc>
        <w:tc>
          <w:tcPr>
            <w:tcW w:w="960" w:type="dxa"/>
            <w:tcBorders>
              <w:top w:val="single" w:sz="4" w:space="0" w:color="auto"/>
              <w:bottom w:val="single" w:sz="4" w:space="0" w:color="D9D9D9" w:themeColor="background1" w:themeShade="D9"/>
            </w:tcBorders>
            <w:noWrap/>
            <w:vAlign w:val="center"/>
            <w:hideMark/>
          </w:tcPr>
          <w:p w14:paraId="7F59C92E"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32</w:t>
            </w:r>
          </w:p>
        </w:tc>
        <w:tc>
          <w:tcPr>
            <w:tcW w:w="1330" w:type="dxa"/>
            <w:tcBorders>
              <w:top w:val="single" w:sz="4" w:space="0" w:color="auto"/>
              <w:bottom w:val="single" w:sz="4" w:space="0" w:color="D9D9D9" w:themeColor="background1" w:themeShade="D9"/>
            </w:tcBorders>
            <w:vAlign w:val="center"/>
            <w:hideMark/>
          </w:tcPr>
          <w:p w14:paraId="3287D6F5"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10.74 ± 3.53</w:t>
            </w:r>
          </w:p>
        </w:tc>
      </w:tr>
      <w:tr w:rsidR="00C174DE" w:rsidRPr="00C174DE" w14:paraId="634A08B9" w14:textId="77777777" w:rsidTr="002D7C98">
        <w:trPr>
          <w:trHeight w:val="317"/>
          <w:tblHeader/>
        </w:trPr>
        <w:tc>
          <w:tcPr>
            <w:tcW w:w="2020" w:type="dxa"/>
            <w:tcBorders>
              <w:top w:val="single" w:sz="4" w:space="0" w:color="D9D9D9" w:themeColor="background1" w:themeShade="D9"/>
              <w:bottom w:val="single" w:sz="4" w:space="0" w:color="D9D9D9" w:themeColor="background1" w:themeShade="D9"/>
            </w:tcBorders>
            <w:noWrap/>
            <w:vAlign w:val="center"/>
            <w:hideMark/>
          </w:tcPr>
          <w:p w14:paraId="76421100"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Oligohaline</w:t>
            </w:r>
          </w:p>
        </w:tc>
        <w:tc>
          <w:tcPr>
            <w:tcW w:w="1540" w:type="dxa"/>
            <w:tcBorders>
              <w:top w:val="single" w:sz="4" w:space="0" w:color="D9D9D9" w:themeColor="background1" w:themeShade="D9"/>
              <w:bottom w:val="single" w:sz="4" w:space="0" w:color="D9D9D9" w:themeColor="background1" w:themeShade="D9"/>
            </w:tcBorders>
            <w:noWrap/>
            <w:vAlign w:val="center"/>
            <w:hideMark/>
          </w:tcPr>
          <w:p w14:paraId="5F932DA6" w14:textId="4B31F0A9" w:rsidR="00C174DE" w:rsidRPr="00C174DE" w:rsidRDefault="00C174DE" w:rsidP="0075180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w:t>
            </w:r>
            <w:r w:rsidRPr="00C174DE">
              <w:rPr>
                <w:rFonts w:ascii="Times New Roman" w:eastAsia="Times New Roman" w:hAnsi="Times New Roman" w:cs="Times New Roman"/>
                <w:color w:val="000000"/>
                <w:sz w:val="20"/>
                <w:szCs w:val="20"/>
              </w:rPr>
              <w:t>0.5 - 5‰</w:t>
            </w:r>
          </w:p>
        </w:tc>
        <w:tc>
          <w:tcPr>
            <w:tcW w:w="960" w:type="dxa"/>
            <w:tcBorders>
              <w:top w:val="single" w:sz="4" w:space="0" w:color="D9D9D9" w:themeColor="background1" w:themeShade="D9"/>
              <w:bottom w:val="single" w:sz="4" w:space="0" w:color="D9D9D9" w:themeColor="background1" w:themeShade="D9"/>
            </w:tcBorders>
            <w:noWrap/>
            <w:vAlign w:val="center"/>
            <w:hideMark/>
          </w:tcPr>
          <w:p w14:paraId="2C4B34DD"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35</w:t>
            </w:r>
          </w:p>
        </w:tc>
        <w:tc>
          <w:tcPr>
            <w:tcW w:w="1330" w:type="dxa"/>
            <w:tcBorders>
              <w:top w:val="single" w:sz="4" w:space="0" w:color="D9D9D9" w:themeColor="background1" w:themeShade="D9"/>
              <w:bottom w:val="single" w:sz="4" w:space="0" w:color="D9D9D9" w:themeColor="background1" w:themeShade="D9"/>
            </w:tcBorders>
            <w:vAlign w:val="center"/>
            <w:hideMark/>
          </w:tcPr>
          <w:p w14:paraId="5C37C9EA"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11.74 ± 3.67</w:t>
            </w:r>
          </w:p>
        </w:tc>
      </w:tr>
      <w:tr w:rsidR="00C174DE" w:rsidRPr="00C174DE" w14:paraId="180F21D7" w14:textId="77777777" w:rsidTr="002D7C98">
        <w:trPr>
          <w:trHeight w:val="317"/>
          <w:tblHeader/>
        </w:trPr>
        <w:tc>
          <w:tcPr>
            <w:tcW w:w="2020" w:type="dxa"/>
            <w:tcBorders>
              <w:top w:val="single" w:sz="4" w:space="0" w:color="D9D9D9" w:themeColor="background1" w:themeShade="D9"/>
              <w:bottom w:val="single" w:sz="4" w:space="0" w:color="D9D9D9" w:themeColor="background1" w:themeShade="D9"/>
            </w:tcBorders>
            <w:noWrap/>
            <w:vAlign w:val="center"/>
            <w:hideMark/>
          </w:tcPr>
          <w:p w14:paraId="2A3D7E92"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Low mesohaline</w:t>
            </w:r>
          </w:p>
        </w:tc>
        <w:tc>
          <w:tcPr>
            <w:tcW w:w="1540" w:type="dxa"/>
            <w:tcBorders>
              <w:top w:val="single" w:sz="4" w:space="0" w:color="D9D9D9" w:themeColor="background1" w:themeShade="D9"/>
              <w:bottom w:val="single" w:sz="4" w:space="0" w:color="D9D9D9" w:themeColor="background1" w:themeShade="D9"/>
            </w:tcBorders>
            <w:noWrap/>
            <w:vAlign w:val="center"/>
            <w:hideMark/>
          </w:tcPr>
          <w:p w14:paraId="142D66F5"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&gt;5 - 12‰</w:t>
            </w:r>
          </w:p>
        </w:tc>
        <w:tc>
          <w:tcPr>
            <w:tcW w:w="960" w:type="dxa"/>
            <w:tcBorders>
              <w:top w:val="single" w:sz="4" w:space="0" w:color="D9D9D9" w:themeColor="background1" w:themeShade="D9"/>
              <w:bottom w:val="single" w:sz="4" w:space="0" w:color="D9D9D9" w:themeColor="background1" w:themeShade="D9"/>
            </w:tcBorders>
            <w:noWrap/>
            <w:vAlign w:val="center"/>
            <w:hideMark/>
          </w:tcPr>
          <w:p w14:paraId="2CD37629"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30</w:t>
            </w:r>
          </w:p>
        </w:tc>
        <w:tc>
          <w:tcPr>
            <w:tcW w:w="1330" w:type="dxa"/>
            <w:tcBorders>
              <w:top w:val="single" w:sz="4" w:space="0" w:color="D9D9D9" w:themeColor="background1" w:themeShade="D9"/>
              <w:bottom w:val="single" w:sz="4" w:space="0" w:color="D9D9D9" w:themeColor="background1" w:themeShade="D9"/>
            </w:tcBorders>
            <w:vAlign w:val="center"/>
            <w:hideMark/>
          </w:tcPr>
          <w:p w14:paraId="4768BC5D"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10.07 ± 3.43</w:t>
            </w:r>
          </w:p>
        </w:tc>
      </w:tr>
      <w:tr w:rsidR="00C174DE" w:rsidRPr="00C174DE" w14:paraId="231113E2" w14:textId="77777777" w:rsidTr="002D7C98">
        <w:trPr>
          <w:trHeight w:val="317"/>
          <w:tblHeader/>
        </w:trPr>
        <w:tc>
          <w:tcPr>
            <w:tcW w:w="2020" w:type="dxa"/>
            <w:tcBorders>
              <w:top w:val="single" w:sz="4" w:space="0" w:color="D9D9D9" w:themeColor="background1" w:themeShade="D9"/>
              <w:bottom w:val="single" w:sz="4" w:space="0" w:color="D9D9D9" w:themeColor="background1" w:themeShade="D9"/>
            </w:tcBorders>
            <w:noWrap/>
            <w:vAlign w:val="center"/>
            <w:hideMark/>
          </w:tcPr>
          <w:p w14:paraId="1791F7B8"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High mesohaline</w:t>
            </w:r>
          </w:p>
        </w:tc>
        <w:tc>
          <w:tcPr>
            <w:tcW w:w="1540" w:type="dxa"/>
            <w:tcBorders>
              <w:top w:val="single" w:sz="4" w:space="0" w:color="D9D9D9" w:themeColor="background1" w:themeShade="D9"/>
              <w:bottom w:val="single" w:sz="4" w:space="0" w:color="D9D9D9" w:themeColor="background1" w:themeShade="D9"/>
            </w:tcBorders>
            <w:noWrap/>
            <w:vAlign w:val="center"/>
            <w:hideMark/>
          </w:tcPr>
          <w:p w14:paraId="55D913AD"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&gt;12 - 18‰</w:t>
            </w:r>
          </w:p>
        </w:tc>
        <w:tc>
          <w:tcPr>
            <w:tcW w:w="960" w:type="dxa"/>
            <w:tcBorders>
              <w:top w:val="single" w:sz="4" w:space="0" w:color="D9D9D9" w:themeColor="background1" w:themeShade="D9"/>
              <w:bottom w:val="single" w:sz="4" w:space="0" w:color="D9D9D9" w:themeColor="background1" w:themeShade="D9"/>
            </w:tcBorders>
            <w:noWrap/>
            <w:vAlign w:val="center"/>
            <w:hideMark/>
          </w:tcPr>
          <w:p w14:paraId="03D4B8C8"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68</w:t>
            </w:r>
          </w:p>
        </w:tc>
        <w:tc>
          <w:tcPr>
            <w:tcW w:w="1330" w:type="dxa"/>
            <w:tcBorders>
              <w:top w:val="single" w:sz="4" w:space="0" w:color="D9D9D9" w:themeColor="background1" w:themeShade="D9"/>
              <w:bottom w:val="single" w:sz="4" w:space="0" w:color="D9D9D9" w:themeColor="background1" w:themeShade="D9"/>
            </w:tcBorders>
            <w:vAlign w:val="center"/>
            <w:hideMark/>
          </w:tcPr>
          <w:p w14:paraId="12C17779"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22.82 ± 4.78</w:t>
            </w:r>
          </w:p>
        </w:tc>
      </w:tr>
      <w:tr w:rsidR="00C174DE" w:rsidRPr="00C174DE" w14:paraId="390BB577" w14:textId="77777777" w:rsidTr="002D7C98">
        <w:trPr>
          <w:trHeight w:val="317"/>
          <w:tblHeader/>
        </w:trPr>
        <w:tc>
          <w:tcPr>
            <w:tcW w:w="2020" w:type="dxa"/>
            <w:tcBorders>
              <w:top w:val="single" w:sz="4" w:space="0" w:color="D9D9D9" w:themeColor="background1" w:themeShade="D9"/>
              <w:bottom w:val="single" w:sz="4" w:space="0" w:color="D9D9D9" w:themeColor="background1" w:themeShade="D9"/>
            </w:tcBorders>
            <w:noWrap/>
            <w:vAlign w:val="center"/>
            <w:hideMark/>
          </w:tcPr>
          <w:p w14:paraId="61347E0C"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Polyhaline</w:t>
            </w:r>
          </w:p>
        </w:tc>
        <w:tc>
          <w:tcPr>
            <w:tcW w:w="1540" w:type="dxa"/>
            <w:tcBorders>
              <w:top w:val="single" w:sz="4" w:space="0" w:color="D9D9D9" w:themeColor="background1" w:themeShade="D9"/>
              <w:bottom w:val="single" w:sz="4" w:space="0" w:color="D9D9D9" w:themeColor="background1" w:themeShade="D9"/>
            </w:tcBorders>
            <w:noWrap/>
            <w:vAlign w:val="center"/>
            <w:hideMark/>
          </w:tcPr>
          <w:p w14:paraId="35D46DFF"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&gt;18 - 30‰</w:t>
            </w:r>
          </w:p>
        </w:tc>
        <w:tc>
          <w:tcPr>
            <w:tcW w:w="960" w:type="dxa"/>
            <w:tcBorders>
              <w:top w:val="single" w:sz="4" w:space="0" w:color="D9D9D9" w:themeColor="background1" w:themeShade="D9"/>
              <w:bottom w:val="single" w:sz="4" w:space="0" w:color="D9D9D9" w:themeColor="background1" w:themeShade="D9"/>
            </w:tcBorders>
            <w:noWrap/>
            <w:vAlign w:val="center"/>
            <w:hideMark/>
          </w:tcPr>
          <w:p w14:paraId="318CAF19"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88</w:t>
            </w:r>
          </w:p>
        </w:tc>
        <w:tc>
          <w:tcPr>
            <w:tcW w:w="1330" w:type="dxa"/>
            <w:tcBorders>
              <w:top w:val="single" w:sz="4" w:space="0" w:color="D9D9D9" w:themeColor="background1" w:themeShade="D9"/>
              <w:bottom w:val="single" w:sz="4" w:space="0" w:color="D9D9D9" w:themeColor="background1" w:themeShade="D9"/>
            </w:tcBorders>
            <w:vAlign w:val="center"/>
            <w:hideMark/>
          </w:tcPr>
          <w:p w14:paraId="7D26154A"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29.53 ± 5.2</w:t>
            </w:r>
          </w:p>
        </w:tc>
      </w:tr>
      <w:tr w:rsidR="00C174DE" w:rsidRPr="00C174DE" w14:paraId="17614385" w14:textId="77777777" w:rsidTr="002D7C98">
        <w:trPr>
          <w:trHeight w:val="317"/>
          <w:tblHeader/>
        </w:trPr>
        <w:tc>
          <w:tcPr>
            <w:tcW w:w="2020" w:type="dxa"/>
            <w:tcBorders>
              <w:top w:val="single" w:sz="4" w:space="0" w:color="D9D9D9" w:themeColor="background1" w:themeShade="D9"/>
              <w:bottom w:val="single" w:sz="4" w:space="0" w:color="auto"/>
            </w:tcBorders>
            <w:noWrap/>
            <w:vAlign w:val="center"/>
            <w:hideMark/>
          </w:tcPr>
          <w:p w14:paraId="113D5A32"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Euhaline</w:t>
            </w:r>
          </w:p>
        </w:tc>
        <w:tc>
          <w:tcPr>
            <w:tcW w:w="1540" w:type="dxa"/>
            <w:tcBorders>
              <w:top w:val="single" w:sz="4" w:space="0" w:color="D9D9D9" w:themeColor="background1" w:themeShade="D9"/>
              <w:bottom w:val="single" w:sz="4" w:space="0" w:color="auto"/>
            </w:tcBorders>
            <w:noWrap/>
            <w:vAlign w:val="center"/>
            <w:hideMark/>
          </w:tcPr>
          <w:p w14:paraId="79B9D9F9" w14:textId="5371BBE0"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&gt;30</w:t>
            </w:r>
            <w:r>
              <w:rPr>
                <w:rFonts w:ascii="Times New Roman" w:eastAsia="Times New Roman" w:hAnsi="Times New Roman" w:cs="Times New Roman"/>
                <w:color w:val="000000"/>
                <w:sz w:val="20"/>
                <w:szCs w:val="20"/>
              </w:rPr>
              <w:t>-40</w:t>
            </w:r>
            <w:r w:rsidRPr="00C174DE">
              <w:rPr>
                <w:rFonts w:ascii="Times New Roman" w:eastAsia="Times New Roman" w:hAnsi="Times New Roman" w:cs="Times New Roman"/>
                <w:color w:val="000000"/>
                <w:sz w:val="20"/>
                <w:szCs w:val="20"/>
              </w:rPr>
              <w:t>‰</w:t>
            </w:r>
          </w:p>
        </w:tc>
        <w:tc>
          <w:tcPr>
            <w:tcW w:w="960" w:type="dxa"/>
            <w:tcBorders>
              <w:top w:val="single" w:sz="4" w:space="0" w:color="D9D9D9" w:themeColor="background1" w:themeShade="D9"/>
              <w:bottom w:val="single" w:sz="4" w:space="0" w:color="auto"/>
            </w:tcBorders>
            <w:noWrap/>
            <w:vAlign w:val="center"/>
            <w:hideMark/>
          </w:tcPr>
          <w:p w14:paraId="69EC0CEE" w14:textId="77777777" w:rsidR="00C174DE" w:rsidRPr="00C174DE" w:rsidRDefault="00C174DE" w:rsidP="00751801">
            <w:pPr>
              <w:rPr>
                <w:rFonts w:ascii="Times New Roman" w:eastAsia="Times New Roman" w:hAnsi="Times New Roman" w:cs="Times New Roman"/>
                <w:color w:val="000000"/>
                <w:sz w:val="20"/>
                <w:szCs w:val="20"/>
              </w:rPr>
            </w:pPr>
            <w:r w:rsidRPr="00C174DE">
              <w:rPr>
                <w:rFonts w:ascii="Times New Roman" w:eastAsia="Times New Roman" w:hAnsi="Times New Roman" w:cs="Times New Roman"/>
                <w:color w:val="000000"/>
                <w:sz w:val="20"/>
                <w:szCs w:val="20"/>
              </w:rPr>
              <w:t>45</w:t>
            </w:r>
          </w:p>
        </w:tc>
        <w:tc>
          <w:tcPr>
            <w:tcW w:w="1330" w:type="dxa"/>
            <w:tcBorders>
              <w:top w:val="single" w:sz="4" w:space="0" w:color="D9D9D9" w:themeColor="background1" w:themeShade="D9"/>
              <w:bottom w:val="single" w:sz="4" w:space="0" w:color="auto"/>
            </w:tcBorders>
            <w:vAlign w:val="center"/>
            <w:hideMark/>
          </w:tcPr>
          <w:p w14:paraId="1FB900D2" w14:textId="77777777" w:rsidR="00C174DE" w:rsidRPr="00C174DE" w:rsidRDefault="00C174DE" w:rsidP="00751801">
            <w:pPr>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15.1 ± 4.08</w:t>
            </w:r>
          </w:p>
        </w:tc>
      </w:tr>
      <w:tr w:rsidR="00C174DE" w:rsidRPr="00C174DE" w14:paraId="085122AD" w14:textId="77777777" w:rsidTr="002D7C98">
        <w:trPr>
          <w:trHeight w:val="317"/>
          <w:tblHeader/>
        </w:trPr>
        <w:tc>
          <w:tcPr>
            <w:tcW w:w="2020" w:type="dxa"/>
            <w:tcBorders>
              <w:top w:val="single" w:sz="4" w:space="0" w:color="auto"/>
            </w:tcBorders>
            <w:noWrap/>
            <w:vAlign w:val="center"/>
            <w:hideMark/>
          </w:tcPr>
          <w:p w14:paraId="096806E2" w14:textId="77777777" w:rsidR="00C174DE" w:rsidRPr="00C174DE" w:rsidRDefault="00C174DE" w:rsidP="00751801">
            <w:pPr>
              <w:rPr>
                <w:rFonts w:ascii="Times New Roman" w:eastAsia="Times New Roman" w:hAnsi="Times New Roman" w:cs="Times New Roman"/>
                <w:b/>
                <w:bCs/>
                <w:color w:val="000000"/>
                <w:sz w:val="20"/>
                <w:szCs w:val="20"/>
              </w:rPr>
            </w:pPr>
            <w:r w:rsidRPr="00C174DE">
              <w:rPr>
                <w:rFonts w:ascii="Times New Roman" w:eastAsia="Times New Roman" w:hAnsi="Times New Roman" w:cs="Times New Roman"/>
                <w:b/>
                <w:bCs/>
                <w:color w:val="000000"/>
                <w:sz w:val="20"/>
                <w:szCs w:val="20"/>
              </w:rPr>
              <w:t>Total</w:t>
            </w:r>
          </w:p>
        </w:tc>
        <w:tc>
          <w:tcPr>
            <w:tcW w:w="1540" w:type="dxa"/>
            <w:tcBorders>
              <w:top w:val="single" w:sz="4" w:space="0" w:color="auto"/>
            </w:tcBorders>
            <w:noWrap/>
            <w:vAlign w:val="center"/>
            <w:hideMark/>
          </w:tcPr>
          <w:p w14:paraId="76DCBD1A" w14:textId="77777777" w:rsidR="00C174DE" w:rsidRPr="00C174DE" w:rsidRDefault="00C174DE" w:rsidP="00751801">
            <w:pPr>
              <w:rPr>
                <w:rFonts w:ascii="Times New Roman" w:eastAsia="Times New Roman" w:hAnsi="Times New Roman" w:cs="Times New Roman"/>
                <w:b/>
                <w:bCs/>
                <w:color w:val="000000"/>
                <w:sz w:val="20"/>
                <w:szCs w:val="20"/>
              </w:rPr>
            </w:pPr>
          </w:p>
        </w:tc>
        <w:tc>
          <w:tcPr>
            <w:tcW w:w="960" w:type="dxa"/>
            <w:tcBorders>
              <w:top w:val="single" w:sz="4" w:space="0" w:color="auto"/>
            </w:tcBorders>
            <w:noWrap/>
            <w:vAlign w:val="center"/>
            <w:hideMark/>
          </w:tcPr>
          <w:p w14:paraId="0D4F86B5" w14:textId="77777777" w:rsidR="00C174DE" w:rsidRPr="00C174DE" w:rsidRDefault="00C174DE" w:rsidP="00751801">
            <w:pPr>
              <w:rPr>
                <w:rFonts w:ascii="Times New Roman" w:eastAsia="Times New Roman" w:hAnsi="Times New Roman" w:cs="Times New Roman"/>
                <w:b/>
                <w:bCs/>
                <w:color w:val="000000"/>
                <w:sz w:val="20"/>
                <w:szCs w:val="20"/>
              </w:rPr>
            </w:pPr>
            <w:r w:rsidRPr="00C174DE">
              <w:rPr>
                <w:rFonts w:ascii="Times New Roman" w:eastAsia="Times New Roman" w:hAnsi="Times New Roman" w:cs="Times New Roman"/>
                <w:b/>
                <w:bCs/>
                <w:color w:val="000000"/>
                <w:sz w:val="20"/>
                <w:szCs w:val="20"/>
              </w:rPr>
              <w:t>298</w:t>
            </w:r>
          </w:p>
        </w:tc>
        <w:tc>
          <w:tcPr>
            <w:tcW w:w="1330" w:type="dxa"/>
            <w:tcBorders>
              <w:top w:val="single" w:sz="4" w:space="0" w:color="auto"/>
            </w:tcBorders>
            <w:noWrap/>
            <w:vAlign w:val="center"/>
            <w:hideMark/>
          </w:tcPr>
          <w:p w14:paraId="3EEF95C3" w14:textId="77777777" w:rsidR="00C174DE" w:rsidRPr="00C174DE" w:rsidRDefault="00C174DE" w:rsidP="00751801">
            <w:pPr>
              <w:rPr>
                <w:rFonts w:ascii="Times New Roman" w:eastAsia="Times New Roman" w:hAnsi="Times New Roman" w:cs="Times New Roman"/>
                <w:b/>
                <w:bCs/>
                <w:color w:val="000000"/>
                <w:sz w:val="20"/>
                <w:szCs w:val="20"/>
              </w:rPr>
            </w:pPr>
          </w:p>
        </w:tc>
      </w:tr>
    </w:tbl>
    <w:p w14:paraId="57C17F63" w14:textId="77216281" w:rsidR="00C174DE" w:rsidRDefault="00C174DE" w:rsidP="00FE1DDB">
      <w:pPr>
        <w:spacing w:after="0" w:line="240" w:lineRule="auto"/>
        <w:jc w:val="both"/>
        <w:rPr>
          <w:rFonts w:ascii="Times New Roman" w:hAnsi="Times New Roman" w:cs="Times New Roman"/>
          <w:sz w:val="24"/>
          <w:szCs w:val="24"/>
        </w:rPr>
      </w:pPr>
    </w:p>
    <w:p w14:paraId="053E06D1" w14:textId="58272DCB" w:rsidR="00452ED9" w:rsidRPr="00FE1DDB" w:rsidRDefault="006318BC" w:rsidP="00FE1DDB">
      <w:pPr>
        <w:pStyle w:val="Heading1"/>
        <w:rPr>
          <w:rFonts w:ascii="Times New Roman" w:hAnsi="Times New Roman" w:cs="Times New Roman"/>
          <w:b/>
          <w:i w:val="0"/>
          <w:sz w:val="24"/>
          <w:szCs w:val="24"/>
        </w:rPr>
      </w:pPr>
      <w:r w:rsidRPr="00FE1DDB">
        <w:rPr>
          <w:rFonts w:ascii="Times New Roman" w:hAnsi="Times New Roman" w:cs="Times New Roman"/>
          <w:b/>
          <w:i w:val="0"/>
          <w:sz w:val="24"/>
          <w:szCs w:val="24"/>
        </w:rPr>
        <w:t>Parameters Measured and Results</w:t>
      </w:r>
    </w:p>
    <w:p w14:paraId="2ED89DD3" w14:textId="77777777" w:rsidR="00452ED9" w:rsidRPr="00FE1DDB" w:rsidRDefault="00452ED9" w:rsidP="00FE1DDB">
      <w:pPr>
        <w:autoSpaceDE w:val="0"/>
        <w:autoSpaceDN w:val="0"/>
        <w:adjustRightInd w:val="0"/>
        <w:snapToGrid w:val="0"/>
        <w:spacing w:after="0" w:line="240" w:lineRule="auto"/>
        <w:rPr>
          <w:rFonts w:ascii="Times New Roman" w:hAnsi="Times New Roman" w:cs="Times New Roman"/>
          <w:sz w:val="24"/>
          <w:szCs w:val="24"/>
        </w:rPr>
      </w:pPr>
    </w:p>
    <w:p w14:paraId="75CEBD3F" w14:textId="3F4B6CB4" w:rsidR="00D679C4" w:rsidRPr="00FE1DDB" w:rsidRDefault="00D679C4" w:rsidP="00FE1DDB">
      <w:pPr>
        <w:autoSpaceDE w:val="0"/>
        <w:autoSpaceDN w:val="0"/>
        <w:adjustRightInd w:val="0"/>
        <w:snapToGrid w:val="0"/>
        <w:spacing w:after="0" w:line="240" w:lineRule="auto"/>
        <w:ind w:firstLine="720"/>
        <w:rPr>
          <w:rFonts w:ascii="Times New Roman" w:eastAsia="Times New Roman" w:hAnsi="Times New Roman" w:cs="Times New Roman"/>
          <w:color w:val="000000"/>
          <w:sz w:val="24"/>
          <w:szCs w:val="24"/>
        </w:rPr>
      </w:pPr>
      <w:r w:rsidRPr="00FE1DDB">
        <w:rPr>
          <w:rFonts w:ascii="Times New Roman" w:eastAsia="Times New Roman" w:hAnsi="Times New Roman" w:cs="Times New Roman"/>
          <w:color w:val="000000"/>
          <w:sz w:val="24"/>
          <w:szCs w:val="24"/>
          <w:lang w:val="x-none"/>
        </w:rPr>
        <w:t xml:space="preserve">DEQ’s Estuarine ProbMon Program adheres closely to the same selection of water quality and sediment quality parameters as </w:t>
      </w:r>
      <w:r w:rsidRPr="00FE1DDB">
        <w:rPr>
          <w:rFonts w:ascii="Times New Roman" w:eastAsia="Times New Roman" w:hAnsi="Times New Roman" w:cs="Times New Roman"/>
          <w:color w:val="000000"/>
          <w:sz w:val="24"/>
          <w:szCs w:val="24"/>
        </w:rPr>
        <w:t>identified in</w:t>
      </w:r>
      <w:r w:rsidRPr="00FE1DDB">
        <w:rPr>
          <w:rFonts w:ascii="Times New Roman" w:eastAsia="Times New Roman" w:hAnsi="Times New Roman" w:cs="Times New Roman"/>
          <w:color w:val="000000"/>
          <w:sz w:val="24"/>
          <w:szCs w:val="24"/>
          <w:lang w:val="x-none"/>
        </w:rPr>
        <w:t xml:space="preserve"> the </w:t>
      </w:r>
      <w:r w:rsidR="008F330D" w:rsidRPr="00FE1DDB">
        <w:rPr>
          <w:rFonts w:ascii="Times New Roman" w:eastAsia="Times New Roman" w:hAnsi="Times New Roman" w:cs="Times New Roman"/>
          <w:color w:val="000000"/>
          <w:sz w:val="24"/>
          <w:szCs w:val="24"/>
        </w:rPr>
        <w:t>N</w:t>
      </w:r>
      <w:r w:rsidRPr="00FE1DDB">
        <w:rPr>
          <w:rFonts w:ascii="Times New Roman" w:eastAsia="Times New Roman" w:hAnsi="Times New Roman" w:cs="Times New Roman"/>
          <w:color w:val="000000"/>
          <w:sz w:val="24"/>
          <w:szCs w:val="24"/>
        </w:rPr>
        <w:t xml:space="preserve">ational </w:t>
      </w:r>
      <w:r w:rsidR="008F330D" w:rsidRPr="00FE1DDB">
        <w:rPr>
          <w:rFonts w:ascii="Times New Roman" w:eastAsia="Times New Roman" w:hAnsi="Times New Roman" w:cs="Times New Roman"/>
          <w:color w:val="000000"/>
          <w:sz w:val="24"/>
          <w:szCs w:val="24"/>
        </w:rPr>
        <w:t xml:space="preserve">Coastal Condition Assessment </w:t>
      </w:r>
      <w:r w:rsidRPr="00FE1DDB">
        <w:rPr>
          <w:rFonts w:ascii="Times New Roman" w:eastAsia="Times New Roman" w:hAnsi="Times New Roman" w:cs="Times New Roman"/>
          <w:color w:val="000000"/>
          <w:sz w:val="24"/>
          <w:szCs w:val="24"/>
        </w:rPr>
        <w:t>(</w:t>
      </w:r>
      <w:r w:rsidRPr="00FE1DDB">
        <w:rPr>
          <w:rFonts w:ascii="Times New Roman" w:eastAsia="Times New Roman" w:hAnsi="Times New Roman" w:cs="Times New Roman"/>
          <w:color w:val="000000"/>
          <w:sz w:val="24"/>
          <w:szCs w:val="24"/>
          <w:lang w:val="x-none"/>
        </w:rPr>
        <w:t>NCCA</w:t>
      </w:r>
      <w:r w:rsidRPr="00FE1DDB">
        <w:rPr>
          <w:rFonts w:ascii="Times New Roman" w:eastAsia="Times New Roman" w:hAnsi="Times New Roman" w:cs="Times New Roman"/>
          <w:color w:val="000000"/>
          <w:sz w:val="24"/>
          <w:szCs w:val="24"/>
        </w:rPr>
        <w:t>)</w:t>
      </w:r>
      <w:r w:rsidRPr="00FE1DDB">
        <w:rPr>
          <w:rFonts w:ascii="Times New Roman" w:eastAsia="Times New Roman" w:hAnsi="Times New Roman" w:cs="Times New Roman"/>
          <w:color w:val="000000"/>
          <w:sz w:val="24"/>
          <w:szCs w:val="24"/>
          <w:lang w:val="x-none"/>
        </w:rPr>
        <w:t xml:space="preserve"> </w:t>
      </w:r>
      <w:r w:rsidR="0032263C" w:rsidRPr="00FE1DDB">
        <w:rPr>
          <w:rFonts w:ascii="Times New Roman" w:eastAsia="Times New Roman" w:hAnsi="Times New Roman" w:cs="Times New Roman"/>
          <w:color w:val="000000"/>
          <w:sz w:val="24"/>
          <w:szCs w:val="24"/>
          <w:lang w:val="x-none"/>
        </w:rPr>
        <w:t>program</w:t>
      </w:r>
      <w:r w:rsidRPr="00FE1DDB">
        <w:rPr>
          <w:rFonts w:ascii="Times New Roman" w:eastAsia="Times New Roman" w:hAnsi="Times New Roman" w:cs="Times New Roman"/>
          <w:color w:val="000000"/>
          <w:sz w:val="24"/>
          <w:szCs w:val="24"/>
          <w:lang w:val="x-none"/>
        </w:rPr>
        <w:t xml:space="preserve">. </w:t>
      </w:r>
      <w:r w:rsidRPr="00FE1DDB">
        <w:rPr>
          <w:rFonts w:ascii="Times New Roman" w:eastAsia="Times New Roman" w:hAnsi="Times New Roman" w:cs="Times New Roman"/>
          <w:color w:val="000000"/>
          <w:sz w:val="24"/>
          <w:szCs w:val="24"/>
        </w:rPr>
        <w:t xml:space="preserve">Water Quality, Sediment Quality and Benthic data are collected at each of the </w:t>
      </w:r>
      <w:r w:rsidR="008F330D" w:rsidRPr="00FE1DDB">
        <w:rPr>
          <w:rFonts w:ascii="Times New Roman" w:eastAsia="Times New Roman" w:hAnsi="Times New Roman" w:cs="Times New Roman"/>
          <w:color w:val="000000"/>
          <w:sz w:val="24"/>
          <w:szCs w:val="24"/>
        </w:rPr>
        <w:t>ProbMon</w:t>
      </w:r>
      <w:r w:rsidR="00971F3D">
        <w:rPr>
          <w:rFonts w:ascii="Times New Roman" w:eastAsia="Times New Roman" w:hAnsi="Times New Roman" w:cs="Times New Roman"/>
          <w:color w:val="000000"/>
          <w:sz w:val="24"/>
          <w:szCs w:val="24"/>
        </w:rPr>
        <w:t xml:space="preserve"> sites. </w:t>
      </w:r>
      <w:r w:rsidRPr="00FE1DDB">
        <w:rPr>
          <w:rFonts w:ascii="Times New Roman" w:eastAsia="Times New Roman" w:hAnsi="Times New Roman" w:cs="Times New Roman"/>
          <w:color w:val="000000"/>
          <w:sz w:val="24"/>
          <w:szCs w:val="24"/>
        </w:rPr>
        <w:t>It</w:t>
      </w:r>
      <w:r w:rsidR="00BF5D38">
        <w:rPr>
          <w:rFonts w:ascii="Times New Roman" w:eastAsia="Times New Roman" w:hAnsi="Times New Roman" w:cs="Times New Roman"/>
          <w:color w:val="000000"/>
          <w:sz w:val="24"/>
          <w:szCs w:val="24"/>
        </w:rPr>
        <w:t xml:space="preserve"> i</w:t>
      </w:r>
      <w:r w:rsidRPr="00FE1DDB">
        <w:rPr>
          <w:rFonts w:ascii="Times New Roman" w:eastAsia="Times New Roman" w:hAnsi="Times New Roman" w:cs="Times New Roman"/>
          <w:color w:val="000000"/>
          <w:sz w:val="24"/>
          <w:szCs w:val="24"/>
        </w:rPr>
        <w:t xml:space="preserve">s important to note that the </w:t>
      </w:r>
      <w:r w:rsidRPr="00FE1DDB">
        <w:rPr>
          <w:rFonts w:ascii="Times New Roman" w:hAnsi="Times New Roman" w:cs="Times New Roman"/>
          <w:sz w:val="24"/>
          <w:szCs w:val="24"/>
        </w:rPr>
        <w:t>water quality parameters (</w:t>
      </w:r>
      <w:r w:rsidRPr="00FE1DDB">
        <w:rPr>
          <w:rFonts w:ascii="Times New Roman" w:hAnsi="Times New Roman" w:cs="Times New Roman"/>
          <w:i/>
          <w:sz w:val="24"/>
          <w:szCs w:val="24"/>
        </w:rPr>
        <w:t>e.g.</w:t>
      </w:r>
      <w:r w:rsidRPr="00FE1DDB">
        <w:rPr>
          <w:rFonts w:ascii="Times New Roman" w:hAnsi="Times New Roman" w:cs="Times New Roman"/>
          <w:sz w:val="24"/>
          <w:szCs w:val="24"/>
        </w:rPr>
        <w:t xml:space="preserve">, nutrients, bacteria, DO, temperature, pH, </w:t>
      </w:r>
      <w:r w:rsidRPr="00FE1DDB">
        <w:rPr>
          <w:rFonts w:ascii="Times New Roman" w:hAnsi="Times New Roman" w:cs="Times New Roman"/>
          <w:i/>
          <w:sz w:val="24"/>
          <w:szCs w:val="24"/>
        </w:rPr>
        <w:t>etc</w:t>
      </w:r>
      <w:r w:rsidRPr="00FE1DDB">
        <w:rPr>
          <w:rFonts w:ascii="Times New Roman" w:hAnsi="Times New Roman" w:cs="Times New Roman"/>
          <w:sz w:val="24"/>
          <w:szCs w:val="24"/>
        </w:rPr>
        <w:t xml:space="preserve">.) that are measured at probabilistic sites are considered to be isolated instantaneous observations and are insufficient for assessment purposes because the intensity and duration </w:t>
      </w:r>
      <w:r w:rsidR="00971F3D">
        <w:rPr>
          <w:rFonts w:ascii="Times New Roman" w:hAnsi="Times New Roman" w:cs="Times New Roman"/>
          <w:sz w:val="24"/>
          <w:szCs w:val="24"/>
        </w:rPr>
        <w:t xml:space="preserve">of such stressors are unknown. </w:t>
      </w:r>
      <w:r w:rsidRPr="00FE1DDB">
        <w:rPr>
          <w:rFonts w:ascii="Times New Roman" w:hAnsi="Times New Roman" w:cs="Times New Roman"/>
          <w:sz w:val="24"/>
          <w:szCs w:val="24"/>
        </w:rPr>
        <w:t xml:space="preserve">However, sediment chemistry, sediment toxicity, and benthic community </w:t>
      </w:r>
      <w:r w:rsidRPr="00FE1DDB">
        <w:rPr>
          <w:rFonts w:ascii="Times New Roman" w:eastAsia="Times New Roman" w:hAnsi="Times New Roman" w:cs="Times New Roman"/>
          <w:color w:val="000000"/>
          <w:sz w:val="24"/>
          <w:szCs w:val="24"/>
        </w:rPr>
        <w:t xml:space="preserve">results are used in the </w:t>
      </w:r>
      <w:r w:rsidRPr="00FE1DDB">
        <w:rPr>
          <w:rFonts w:ascii="Times New Roman" w:hAnsi="Times New Roman" w:cs="Times New Roman"/>
          <w:sz w:val="24"/>
          <w:szCs w:val="24"/>
        </w:rPr>
        <w:t xml:space="preserve">evaluation of the Sediment Quality Triad (Long and Chapman, 1985; Chapman et al., 1986; Chapman et al., 1987) </w:t>
      </w:r>
      <w:r w:rsidRPr="00FE1DDB">
        <w:rPr>
          <w:rFonts w:ascii="Times New Roman" w:eastAsia="Times New Roman" w:hAnsi="Times New Roman" w:cs="Times New Roman"/>
          <w:color w:val="000000"/>
          <w:sz w:val="24"/>
          <w:szCs w:val="24"/>
        </w:rPr>
        <w:t xml:space="preserve">to conduct Weight-of-Evidence assessments at </w:t>
      </w:r>
      <w:r w:rsidRPr="00FE1DDB">
        <w:rPr>
          <w:rFonts w:ascii="Times New Roman" w:hAnsi="Times New Roman" w:cs="Times New Roman"/>
          <w:sz w:val="24"/>
          <w:szCs w:val="24"/>
        </w:rPr>
        <w:t xml:space="preserve">each individual site for Aquatic Life Use (ALU). All three of these measures are considered to be temporally integrative, providing an assessment of environmental conditions experienced by the benthic community during the period prior to the time of sampling. </w:t>
      </w:r>
      <w:r w:rsidRPr="00FE1DDB">
        <w:rPr>
          <w:rFonts w:ascii="Times New Roman" w:eastAsia="Times New Roman" w:hAnsi="Times New Roman" w:cs="Times New Roman"/>
          <w:color w:val="000000"/>
          <w:sz w:val="24"/>
          <w:szCs w:val="24"/>
        </w:rPr>
        <w:t xml:space="preserve">The results of water quality, sediment quality and benthic </w:t>
      </w:r>
      <w:r w:rsidR="008F330D" w:rsidRPr="00FE1DDB">
        <w:rPr>
          <w:rFonts w:ascii="Times New Roman" w:eastAsia="Times New Roman" w:hAnsi="Times New Roman" w:cs="Times New Roman"/>
          <w:color w:val="000000"/>
          <w:sz w:val="24"/>
          <w:szCs w:val="24"/>
        </w:rPr>
        <w:t>community condition</w:t>
      </w:r>
      <w:r w:rsidRPr="00FE1DDB">
        <w:rPr>
          <w:rFonts w:ascii="Times New Roman" w:eastAsia="Times New Roman" w:hAnsi="Times New Roman" w:cs="Times New Roman"/>
          <w:color w:val="000000"/>
          <w:sz w:val="24"/>
          <w:szCs w:val="24"/>
        </w:rPr>
        <w:t xml:space="preserve"> are summarized below.</w:t>
      </w:r>
    </w:p>
    <w:p w14:paraId="13218493" w14:textId="662B9FC0" w:rsidR="00452ED9" w:rsidRPr="00FE1DDB" w:rsidRDefault="00452ED9" w:rsidP="00FE1DDB">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p>
    <w:p w14:paraId="01327BD6" w14:textId="173E96BE" w:rsidR="00452ED9" w:rsidRPr="00C174DE" w:rsidRDefault="00FE7968" w:rsidP="00FE1DDB">
      <w:pPr>
        <w:pStyle w:val="Heading1"/>
        <w:rPr>
          <w:rFonts w:ascii="Times New Roman" w:hAnsi="Times New Roman" w:cs="Times New Roman"/>
          <w:b/>
          <w:i w:val="0"/>
          <w:sz w:val="24"/>
          <w:szCs w:val="24"/>
        </w:rPr>
      </w:pPr>
      <w:r w:rsidRPr="00C174DE">
        <w:rPr>
          <w:rFonts w:ascii="Times New Roman" w:hAnsi="Times New Roman" w:cs="Times New Roman"/>
          <w:b/>
          <w:i w:val="0"/>
          <w:sz w:val="24"/>
          <w:szCs w:val="24"/>
        </w:rPr>
        <w:t>Water Quality</w:t>
      </w:r>
    </w:p>
    <w:p w14:paraId="5729B238" w14:textId="77777777" w:rsidR="00452ED9" w:rsidRPr="00FE1DDB" w:rsidRDefault="00452ED9" w:rsidP="00FE1DDB">
      <w:pPr>
        <w:spacing w:after="0"/>
        <w:rPr>
          <w:rFonts w:ascii="Times New Roman" w:hAnsi="Times New Roman" w:cs="Times New Roman"/>
          <w:sz w:val="24"/>
          <w:szCs w:val="24"/>
        </w:rPr>
      </w:pPr>
    </w:p>
    <w:p w14:paraId="7D1E26B1" w14:textId="7FCE5210" w:rsidR="003C3520" w:rsidRPr="00FE1DDB" w:rsidRDefault="00C174DE" w:rsidP="00FE1DD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DEQ’s Coastal Monitoring Program uses the following </w:t>
      </w:r>
      <w:r w:rsidR="009C2FA1" w:rsidRPr="00FE1DDB">
        <w:rPr>
          <w:rFonts w:ascii="Times New Roman" w:hAnsi="Times New Roman" w:cs="Times New Roman"/>
          <w:sz w:val="24"/>
          <w:szCs w:val="24"/>
        </w:rPr>
        <w:t xml:space="preserve">five water column parameters to characterize estuarine water quality: </w:t>
      </w:r>
      <w:r w:rsidR="00AD292D" w:rsidRPr="00FE1DDB">
        <w:rPr>
          <w:rFonts w:ascii="Times New Roman" w:hAnsi="Times New Roman" w:cs="Times New Roman"/>
          <w:sz w:val="24"/>
          <w:szCs w:val="24"/>
        </w:rPr>
        <w:t>(</w:t>
      </w:r>
      <w:r w:rsidR="00001260" w:rsidRPr="00FE1DDB">
        <w:rPr>
          <w:rFonts w:ascii="Times New Roman" w:hAnsi="Times New Roman" w:cs="Times New Roman"/>
          <w:sz w:val="24"/>
          <w:szCs w:val="24"/>
        </w:rPr>
        <w:t>1</w:t>
      </w:r>
      <w:r w:rsidR="00AD292D" w:rsidRPr="00FE1DDB">
        <w:rPr>
          <w:rFonts w:ascii="Times New Roman" w:hAnsi="Times New Roman" w:cs="Times New Roman"/>
          <w:sz w:val="24"/>
          <w:szCs w:val="24"/>
        </w:rPr>
        <w:t xml:space="preserve">) </w:t>
      </w:r>
      <w:r w:rsidR="009C2FA1" w:rsidRPr="00FE1DDB">
        <w:rPr>
          <w:rFonts w:ascii="Times New Roman" w:hAnsi="Times New Roman" w:cs="Times New Roman"/>
          <w:sz w:val="24"/>
          <w:szCs w:val="24"/>
        </w:rPr>
        <w:t xml:space="preserve">near-surface dissolved inorganic Phosphorus </w:t>
      </w:r>
      <w:r w:rsidR="00001260" w:rsidRPr="00FE1DDB">
        <w:rPr>
          <w:rFonts w:ascii="Times New Roman" w:hAnsi="Times New Roman" w:cs="Times New Roman"/>
          <w:sz w:val="24"/>
          <w:szCs w:val="24"/>
        </w:rPr>
        <w:t xml:space="preserve">concentration </w:t>
      </w:r>
      <w:r w:rsidR="009C2FA1" w:rsidRPr="00FE1DDB">
        <w:rPr>
          <w:rFonts w:ascii="Times New Roman" w:hAnsi="Times New Roman" w:cs="Times New Roman"/>
          <w:sz w:val="24"/>
          <w:szCs w:val="24"/>
        </w:rPr>
        <w:t>(DIP</w:t>
      </w:r>
      <w:r w:rsidR="007F4386" w:rsidRPr="00FE1DDB">
        <w:rPr>
          <w:rFonts w:ascii="Times New Roman" w:hAnsi="Times New Roman" w:cs="Times New Roman"/>
          <w:sz w:val="24"/>
          <w:szCs w:val="24"/>
        </w:rPr>
        <w:t xml:space="preserve"> </w:t>
      </w:r>
      <w:r w:rsidR="009C2FA1" w:rsidRPr="00FE1DDB">
        <w:rPr>
          <w:rFonts w:ascii="Times New Roman" w:hAnsi="Times New Roman" w:cs="Times New Roman"/>
          <w:sz w:val="24"/>
          <w:szCs w:val="24"/>
        </w:rPr>
        <w:t xml:space="preserve">in mg/L), </w:t>
      </w:r>
      <w:r w:rsidR="00001260" w:rsidRPr="00FE1DDB">
        <w:rPr>
          <w:rFonts w:ascii="Times New Roman" w:hAnsi="Times New Roman" w:cs="Times New Roman"/>
          <w:sz w:val="24"/>
          <w:szCs w:val="24"/>
        </w:rPr>
        <w:t xml:space="preserve">(2) near-surface dissolved inorganic Nitrogen concentration (DIN in mg/L), </w:t>
      </w:r>
      <w:r w:rsidR="00AD292D" w:rsidRPr="00FE1DDB">
        <w:rPr>
          <w:rFonts w:ascii="Times New Roman" w:hAnsi="Times New Roman" w:cs="Times New Roman"/>
          <w:sz w:val="24"/>
          <w:szCs w:val="24"/>
        </w:rPr>
        <w:t xml:space="preserve">(3) </w:t>
      </w:r>
      <w:r w:rsidR="00001260" w:rsidRPr="00FE1DDB">
        <w:rPr>
          <w:rFonts w:ascii="Times New Roman" w:hAnsi="Times New Roman" w:cs="Times New Roman"/>
          <w:sz w:val="24"/>
          <w:szCs w:val="24"/>
        </w:rPr>
        <w:t>near-surface chlorophyll</w:t>
      </w:r>
      <w:r w:rsidR="005B1459" w:rsidRPr="00FE1DDB">
        <w:rPr>
          <w:rFonts w:ascii="Times New Roman" w:hAnsi="Times New Roman" w:cs="Times New Roman"/>
          <w:sz w:val="24"/>
          <w:szCs w:val="24"/>
        </w:rPr>
        <w:t>-</w:t>
      </w:r>
      <w:r w:rsidR="00001260" w:rsidRPr="00FE1DDB">
        <w:rPr>
          <w:rFonts w:ascii="Times New Roman" w:hAnsi="Times New Roman" w:cs="Times New Roman"/>
          <w:sz w:val="24"/>
          <w:szCs w:val="24"/>
        </w:rPr>
        <w:t>a concentration (</w:t>
      </w:r>
      <w:r w:rsidR="00F00329" w:rsidRPr="00FE1DDB">
        <w:rPr>
          <w:rFonts w:ascii="Times New Roman" w:hAnsi="Times New Roman" w:cs="Times New Roman"/>
          <w:sz w:val="24"/>
          <w:szCs w:val="24"/>
        </w:rPr>
        <w:t>Chl-a</w:t>
      </w:r>
      <w:r w:rsidR="00001260" w:rsidRPr="00FE1DDB">
        <w:rPr>
          <w:rFonts w:ascii="Times New Roman" w:hAnsi="Times New Roman" w:cs="Times New Roman"/>
          <w:sz w:val="24"/>
          <w:szCs w:val="24"/>
        </w:rPr>
        <w:t xml:space="preserve"> in µg/L), near-bottom dissolved Oxygen concentration (DO in mg/L), and (5) water clarity</w:t>
      </w:r>
      <w:r w:rsidR="00CA77CD" w:rsidRPr="00FE1DDB">
        <w:rPr>
          <w:rFonts w:ascii="Times New Roman" w:hAnsi="Times New Roman" w:cs="Times New Roman"/>
          <w:sz w:val="24"/>
          <w:szCs w:val="24"/>
        </w:rPr>
        <w:t>,</w:t>
      </w:r>
      <w:r w:rsidR="00001260" w:rsidRPr="00FE1DDB">
        <w:rPr>
          <w:rFonts w:ascii="Times New Roman" w:hAnsi="Times New Roman" w:cs="Times New Roman"/>
          <w:sz w:val="24"/>
          <w:szCs w:val="24"/>
        </w:rPr>
        <w:t xml:space="preserve"> expressed as percent </w:t>
      </w:r>
      <w:r w:rsidR="00282A55" w:rsidRPr="00FE1DDB">
        <w:rPr>
          <w:rFonts w:ascii="Times New Roman" w:hAnsi="Times New Roman" w:cs="Times New Roman"/>
          <w:sz w:val="24"/>
          <w:szCs w:val="24"/>
        </w:rPr>
        <w:t xml:space="preserve">of </w:t>
      </w:r>
      <w:r w:rsidR="00001260" w:rsidRPr="00FE1DDB">
        <w:rPr>
          <w:rFonts w:ascii="Times New Roman" w:hAnsi="Times New Roman" w:cs="Times New Roman"/>
          <w:sz w:val="24"/>
          <w:szCs w:val="24"/>
        </w:rPr>
        <w:t xml:space="preserve">incident photosynthetically active radiation </w:t>
      </w:r>
      <w:r w:rsidR="00EE67CB" w:rsidRPr="00FE1DDB">
        <w:rPr>
          <w:rFonts w:ascii="Times New Roman" w:hAnsi="Times New Roman" w:cs="Times New Roman"/>
          <w:sz w:val="24"/>
          <w:szCs w:val="24"/>
        </w:rPr>
        <w:t xml:space="preserve">(PAR) </w:t>
      </w:r>
      <w:r w:rsidR="00001260" w:rsidRPr="00FE1DDB">
        <w:rPr>
          <w:rFonts w:ascii="Times New Roman" w:hAnsi="Times New Roman" w:cs="Times New Roman"/>
          <w:sz w:val="24"/>
          <w:szCs w:val="24"/>
        </w:rPr>
        <w:t xml:space="preserve">available at a </w:t>
      </w:r>
      <w:r w:rsidR="00CA77CD" w:rsidRPr="00FE1DDB">
        <w:rPr>
          <w:rFonts w:ascii="Times New Roman" w:hAnsi="Times New Roman" w:cs="Times New Roman"/>
          <w:sz w:val="24"/>
          <w:szCs w:val="24"/>
        </w:rPr>
        <w:t>standardized</w:t>
      </w:r>
      <w:r w:rsidR="002D26C7" w:rsidRPr="00FE1DDB">
        <w:rPr>
          <w:rFonts w:ascii="Times New Roman" w:hAnsi="Times New Roman" w:cs="Times New Roman"/>
          <w:sz w:val="24"/>
          <w:szCs w:val="24"/>
        </w:rPr>
        <w:t xml:space="preserve"> depth of 1.0 meter (percent</w:t>
      </w:r>
      <w:r w:rsidR="00001260" w:rsidRPr="00FE1DDB">
        <w:rPr>
          <w:rFonts w:ascii="Times New Roman" w:hAnsi="Times New Roman" w:cs="Times New Roman"/>
          <w:sz w:val="24"/>
          <w:szCs w:val="24"/>
        </w:rPr>
        <w:t xml:space="preserve"> PAR </w:t>
      </w:r>
      <w:r w:rsidR="00CA77CD" w:rsidRPr="00FE1DDB">
        <w:rPr>
          <w:rFonts w:ascii="Times New Roman" w:hAnsi="Times New Roman" w:cs="Times New Roman"/>
          <w:sz w:val="24"/>
          <w:szCs w:val="24"/>
        </w:rPr>
        <w:t>@</w:t>
      </w:r>
      <w:r w:rsidR="00001260" w:rsidRPr="00FE1DDB">
        <w:rPr>
          <w:rFonts w:ascii="Times New Roman" w:hAnsi="Times New Roman" w:cs="Times New Roman"/>
          <w:sz w:val="24"/>
          <w:szCs w:val="24"/>
        </w:rPr>
        <w:t xml:space="preserve"> 1.0 m). </w:t>
      </w:r>
      <w:r w:rsidR="003D57DC" w:rsidRPr="00FE1DDB">
        <w:rPr>
          <w:rFonts w:ascii="Times New Roman" w:hAnsi="Times New Roman" w:cs="Times New Roman"/>
          <w:sz w:val="24"/>
          <w:szCs w:val="24"/>
        </w:rPr>
        <w:t xml:space="preserve">These five </w:t>
      </w:r>
      <w:r w:rsidR="009B7EE4" w:rsidRPr="00FE1DDB">
        <w:rPr>
          <w:rFonts w:ascii="Times New Roman" w:hAnsi="Times New Roman" w:cs="Times New Roman"/>
          <w:sz w:val="24"/>
          <w:szCs w:val="24"/>
        </w:rPr>
        <w:t xml:space="preserve">parameters </w:t>
      </w:r>
      <w:r w:rsidR="003D57DC" w:rsidRPr="00FE1DDB">
        <w:rPr>
          <w:rFonts w:ascii="Times New Roman" w:hAnsi="Times New Roman" w:cs="Times New Roman"/>
          <w:sz w:val="24"/>
          <w:szCs w:val="24"/>
        </w:rPr>
        <w:t xml:space="preserve">are subsequently integrated into a </w:t>
      </w:r>
      <w:r w:rsidR="00282A55" w:rsidRPr="00FE1DDB">
        <w:rPr>
          <w:rFonts w:ascii="Times New Roman" w:hAnsi="Times New Roman" w:cs="Times New Roman"/>
          <w:sz w:val="24"/>
          <w:szCs w:val="24"/>
        </w:rPr>
        <w:t xml:space="preserve">single </w:t>
      </w:r>
      <w:r w:rsidR="003D57DC" w:rsidRPr="00FE1DDB">
        <w:rPr>
          <w:rFonts w:ascii="Times New Roman" w:hAnsi="Times New Roman" w:cs="Times New Roman"/>
          <w:sz w:val="24"/>
          <w:szCs w:val="24"/>
        </w:rPr>
        <w:t xml:space="preserve">water quality index (WQI) </w:t>
      </w:r>
      <w:r w:rsidR="00D679C4" w:rsidRPr="00FE1DDB">
        <w:rPr>
          <w:rFonts w:ascii="Times New Roman" w:hAnsi="Times New Roman" w:cs="Times New Roman"/>
          <w:sz w:val="24"/>
          <w:szCs w:val="24"/>
        </w:rPr>
        <w:t>for the site</w:t>
      </w:r>
      <w:r w:rsidR="003D57DC" w:rsidRPr="00FE1DDB">
        <w:rPr>
          <w:rFonts w:ascii="Times New Roman" w:hAnsi="Times New Roman" w:cs="Times New Roman"/>
          <w:sz w:val="24"/>
          <w:szCs w:val="24"/>
        </w:rPr>
        <w:t xml:space="preserve">. </w:t>
      </w:r>
      <w:r>
        <w:rPr>
          <w:rFonts w:ascii="Times New Roman" w:hAnsi="Times New Roman" w:cs="Times New Roman"/>
          <w:sz w:val="24"/>
          <w:szCs w:val="24"/>
        </w:rPr>
        <w:t xml:space="preserve">Total Alkalinity and Algal Toxins were added as new parameters during the 2020 season and collected only at NCCA stations. </w:t>
      </w:r>
    </w:p>
    <w:p w14:paraId="547FC5EC" w14:textId="77777777" w:rsidR="00532301" w:rsidRPr="00FE1DDB" w:rsidRDefault="00532301" w:rsidP="00FE1DDB">
      <w:pPr>
        <w:spacing w:after="0" w:line="240" w:lineRule="auto"/>
        <w:ind w:firstLine="720"/>
        <w:rPr>
          <w:rFonts w:ascii="Times New Roman" w:hAnsi="Times New Roman" w:cs="Times New Roman"/>
          <w:sz w:val="24"/>
          <w:szCs w:val="24"/>
        </w:rPr>
      </w:pPr>
    </w:p>
    <w:p w14:paraId="529AA31A" w14:textId="5A024D12" w:rsidR="00BD2727" w:rsidRPr="00FE1DDB" w:rsidRDefault="005E216E" w:rsidP="00FE1DDB">
      <w:pPr>
        <w:spacing w:line="240" w:lineRule="auto"/>
        <w:rPr>
          <w:rFonts w:ascii="Times New Roman" w:hAnsi="Times New Roman" w:cs="Times New Roman"/>
          <w:sz w:val="24"/>
          <w:szCs w:val="24"/>
        </w:rPr>
      </w:pPr>
      <w:r w:rsidRPr="00FE1DDB">
        <w:rPr>
          <w:rFonts w:ascii="Times New Roman" w:hAnsi="Times New Roman" w:cs="Times New Roman"/>
          <w:b/>
          <w:sz w:val="24"/>
          <w:szCs w:val="24"/>
        </w:rPr>
        <w:lastRenderedPageBreak/>
        <w:t xml:space="preserve">Near-surface dissolved inorganic Phosphorus (DIP):  </w:t>
      </w:r>
      <w:r w:rsidR="00210C62" w:rsidRPr="00FE1DDB">
        <w:rPr>
          <w:rFonts w:ascii="Times New Roman" w:hAnsi="Times New Roman" w:cs="Times New Roman"/>
          <w:sz w:val="24"/>
          <w:szCs w:val="24"/>
        </w:rPr>
        <w:t>Dissolved inorganic Phosphorus is also known as dissolved orthophosphate (PO</w:t>
      </w:r>
      <w:r w:rsidR="00210C62" w:rsidRPr="00FE1DDB">
        <w:rPr>
          <w:rFonts w:ascii="Times New Roman" w:hAnsi="Times New Roman" w:cs="Times New Roman"/>
          <w:b/>
          <w:sz w:val="24"/>
          <w:szCs w:val="24"/>
          <w:vertAlign w:val="subscript"/>
        </w:rPr>
        <w:t>4</w:t>
      </w:r>
      <w:r w:rsidR="00210C62" w:rsidRPr="00FE1DDB">
        <w:rPr>
          <w:rFonts w:ascii="Times New Roman" w:hAnsi="Times New Roman" w:cs="Times New Roman"/>
          <w:b/>
          <w:sz w:val="24"/>
          <w:szCs w:val="24"/>
          <w:vertAlign w:val="superscript"/>
        </w:rPr>
        <w:t>3-</w:t>
      </w:r>
      <w:r w:rsidR="00210C62" w:rsidRPr="00FE1DDB">
        <w:rPr>
          <w:rFonts w:ascii="Times New Roman" w:hAnsi="Times New Roman" w:cs="Times New Roman"/>
          <w:sz w:val="24"/>
          <w:szCs w:val="24"/>
        </w:rPr>
        <w:t>) or soluble reactive Phosphorus</w:t>
      </w:r>
      <w:r w:rsidR="00F00329" w:rsidRPr="00FE1DDB">
        <w:rPr>
          <w:rFonts w:ascii="Times New Roman" w:hAnsi="Times New Roman" w:cs="Times New Roman"/>
          <w:sz w:val="24"/>
          <w:szCs w:val="24"/>
        </w:rPr>
        <w:t xml:space="preserve"> (SRP)</w:t>
      </w:r>
      <w:r w:rsidR="00210C62" w:rsidRPr="00FE1DDB">
        <w:rPr>
          <w:rFonts w:ascii="Times New Roman" w:hAnsi="Times New Roman" w:cs="Times New Roman"/>
          <w:sz w:val="24"/>
          <w:szCs w:val="24"/>
        </w:rPr>
        <w:t xml:space="preserve">. It is </w:t>
      </w:r>
      <w:r w:rsidR="003833AF" w:rsidRPr="00FE1DDB">
        <w:rPr>
          <w:rFonts w:ascii="Times New Roman" w:hAnsi="Times New Roman" w:cs="Times New Roman"/>
          <w:sz w:val="24"/>
          <w:szCs w:val="24"/>
        </w:rPr>
        <w:t xml:space="preserve">the most available form of Phosphorus for uptake by biological organisms and, along with dissolved inorganic Nitrogen, is </w:t>
      </w:r>
      <w:r w:rsidR="00210C62" w:rsidRPr="00FE1DDB">
        <w:rPr>
          <w:rFonts w:ascii="Times New Roman" w:hAnsi="Times New Roman" w:cs="Times New Roman"/>
          <w:sz w:val="24"/>
          <w:szCs w:val="24"/>
        </w:rPr>
        <w:t xml:space="preserve">an essential </w:t>
      </w:r>
      <w:r w:rsidR="003833AF" w:rsidRPr="00FE1DDB">
        <w:rPr>
          <w:rFonts w:ascii="Times New Roman" w:hAnsi="Times New Roman" w:cs="Times New Roman"/>
          <w:sz w:val="24"/>
          <w:szCs w:val="24"/>
        </w:rPr>
        <w:t xml:space="preserve">natural </w:t>
      </w:r>
      <w:r w:rsidR="00210C62" w:rsidRPr="00FE1DDB">
        <w:rPr>
          <w:rFonts w:ascii="Times New Roman" w:hAnsi="Times New Roman" w:cs="Times New Roman"/>
          <w:sz w:val="24"/>
          <w:szCs w:val="24"/>
        </w:rPr>
        <w:t xml:space="preserve">nutrient </w:t>
      </w:r>
      <w:r w:rsidR="003833AF" w:rsidRPr="00FE1DDB">
        <w:rPr>
          <w:rFonts w:ascii="Times New Roman" w:hAnsi="Times New Roman" w:cs="Times New Roman"/>
          <w:sz w:val="24"/>
          <w:szCs w:val="24"/>
        </w:rPr>
        <w:t xml:space="preserve">required for the growth of algae, the base of the food web in </w:t>
      </w:r>
      <w:r w:rsidR="009C4F3D" w:rsidRPr="00FE1DDB">
        <w:rPr>
          <w:rFonts w:ascii="Times New Roman" w:hAnsi="Times New Roman" w:cs="Times New Roman"/>
          <w:sz w:val="24"/>
          <w:szCs w:val="24"/>
        </w:rPr>
        <w:t>estuarine</w:t>
      </w:r>
      <w:r w:rsidR="003833AF" w:rsidRPr="00FE1DDB">
        <w:rPr>
          <w:rFonts w:ascii="Times New Roman" w:hAnsi="Times New Roman" w:cs="Times New Roman"/>
          <w:sz w:val="24"/>
          <w:szCs w:val="24"/>
        </w:rPr>
        <w:t xml:space="preserve"> waters. An excess of these nutrients, however, can result in accelerated eutrophication, characterized by large undesirable </w:t>
      </w:r>
      <w:r w:rsidR="009C4F3D" w:rsidRPr="00FE1DDB">
        <w:rPr>
          <w:rFonts w:ascii="Times New Roman" w:hAnsi="Times New Roman" w:cs="Times New Roman"/>
          <w:sz w:val="24"/>
          <w:szCs w:val="24"/>
        </w:rPr>
        <w:t xml:space="preserve">algal </w:t>
      </w:r>
      <w:r w:rsidR="003833AF" w:rsidRPr="00FE1DDB">
        <w:rPr>
          <w:rFonts w:ascii="Times New Roman" w:hAnsi="Times New Roman" w:cs="Times New Roman"/>
          <w:sz w:val="24"/>
          <w:szCs w:val="24"/>
        </w:rPr>
        <w:t>blooms, increased chlorophyll</w:t>
      </w:r>
      <w:r w:rsidR="005B1459" w:rsidRPr="00FE1DDB">
        <w:rPr>
          <w:rFonts w:ascii="Times New Roman" w:hAnsi="Times New Roman" w:cs="Times New Roman"/>
          <w:sz w:val="24"/>
          <w:szCs w:val="24"/>
        </w:rPr>
        <w:t>-</w:t>
      </w:r>
      <w:r w:rsidR="003833AF" w:rsidRPr="00FE1DDB">
        <w:rPr>
          <w:rFonts w:ascii="Times New Roman" w:hAnsi="Times New Roman" w:cs="Times New Roman"/>
          <w:sz w:val="24"/>
          <w:szCs w:val="24"/>
        </w:rPr>
        <w:t>a concentrations, reduced water clarity, a</w:t>
      </w:r>
      <w:r w:rsidR="003D57DC" w:rsidRPr="00FE1DDB">
        <w:rPr>
          <w:rFonts w:ascii="Times New Roman" w:hAnsi="Times New Roman" w:cs="Times New Roman"/>
          <w:sz w:val="24"/>
          <w:szCs w:val="24"/>
        </w:rPr>
        <w:t>nd</w:t>
      </w:r>
      <w:r w:rsidR="003833AF" w:rsidRPr="00FE1DDB">
        <w:rPr>
          <w:rFonts w:ascii="Times New Roman" w:hAnsi="Times New Roman" w:cs="Times New Roman"/>
          <w:sz w:val="24"/>
          <w:szCs w:val="24"/>
        </w:rPr>
        <w:t xml:space="preserve"> lower concentrations of dissolved Oxygen.</w:t>
      </w:r>
      <w:r w:rsidR="003D57DC" w:rsidRPr="00FE1DDB">
        <w:rPr>
          <w:rFonts w:ascii="Times New Roman" w:hAnsi="Times New Roman" w:cs="Times New Roman"/>
          <w:sz w:val="24"/>
          <w:szCs w:val="24"/>
        </w:rPr>
        <w:t xml:space="preserve"> </w:t>
      </w:r>
    </w:p>
    <w:p w14:paraId="47F48C78" w14:textId="2535503B" w:rsidR="00EB68BC" w:rsidRDefault="009C4F3D" w:rsidP="00FE1DDB">
      <w:pPr>
        <w:spacing w:line="240" w:lineRule="auto"/>
        <w:rPr>
          <w:rFonts w:ascii="Times New Roman" w:hAnsi="Times New Roman" w:cs="Times New Roman"/>
          <w:sz w:val="24"/>
          <w:szCs w:val="24"/>
        </w:rPr>
      </w:pPr>
      <w:r w:rsidRPr="00FE1DDB">
        <w:rPr>
          <w:rFonts w:ascii="Times New Roman" w:hAnsi="Times New Roman" w:cs="Times New Roman"/>
          <w:sz w:val="24"/>
          <w:szCs w:val="24"/>
        </w:rPr>
        <w:t xml:space="preserve">Table </w:t>
      </w:r>
      <w:r w:rsidR="00914143" w:rsidRPr="00FE1DDB">
        <w:rPr>
          <w:rFonts w:ascii="Times New Roman" w:hAnsi="Times New Roman" w:cs="Times New Roman"/>
          <w:sz w:val="24"/>
          <w:szCs w:val="24"/>
        </w:rPr>
        <w:t>4.5</w:t>
      </w:r>
      <w:r w:rsidRPr="00FE1DDB">
        <w:rPr>
          <w:rFonts w:ascii="Times New Roman" w:hAnsi="Times New Roman" w:cs="Times New Roman"/>
          <w:sz w:val="24"/>
          <w:szCs w:val="24"/>
        </w:rPr>
        <w:t>-</w:t>
      </w:r>
      <w:r w:rsidR="00C174DE">
        <w:rPr>
          <w:rFonts w:ascii="Times New Roman" w:hAnsi="Times New Roman" w:cs="Times New Roman"/>
          <w:sz w:val="24"/>
          <w:szCs w:val="24"/>
        </w:rPr>
        <w:t>3</w:t>
      </w:r>
      <w:r w:rsidRPr="00FE1DDB">
        <w:rPr>
          <w:rFonts w:ascii="Times New Roman" w:hAnsi="Times New Roman" w:cs="Times New Roman"/>
          <w:sz w:val="24"/>
          <w:szCs w:val="24"/>
        </w:rPr>
        <w:t xml:space="preserve"> summarizes the ranges of DIP concentrations that the NCCA has established as thresholds for water quality classes in estuarine waters of the northeastern</w:t>
      </w:r>
      <w:r w:rsidR="006D1CB5" w:rsidRPr="00FE1DDB">
        <w:rPr>
          <w:rFonts w:ascii="Times New Roman" w:hAnsi="Times New Roman" w:cs="Times New Roman"/>
          <w:sz w:val="24"/>
          <w:szCs w:val="24"/>
        </w:rPr>
        <w:t xml:space="preserve"> United States, the number of Virginia probabilistic stations </w:t>
      </w:r>
      <w:r w:rsidR="004A2A1E">
        <w:rPr>
          <w:rFonts w:ascii="Times New Roman" w:hAnsi="Times New Roman" w:cs="Times New Roman"/>
          <w:sz w:val="24"/>
          <w:szCs w:val="24"/>
        </w:rPr>
        <w:t xml:space="preserve">during the 2015 to 2020 sampling window </w:t>
      </w:r>
      <w:r w:rsidR="006D1CB5" w:rsidRPr="00FE1DDB">
        <w:rPr>
          <w:rFonts w:ascii="Times New Roman" w:hAnsi="Times New Roman" w:cs="Times New Roman"/>
          <w:sz w:val="24"/>
          <w:szCs w:val="24"/>
        </w:rPr>
        <w:t>falling within each class, and the</w:t>
      </w:r>
      <w:r w:rsidR="002D26C7" w:rsidRPr="00FE1DDB">
        <w:rPr>
          <w:rFonts w:ascii="Times New Roman" w:hAnsi="Times New Roman" w:cs="Times New Roman"/>
          <w:sz w:val="24"/>
          <w:szCs w:val="24"/>
        </w:rPr>
        <w:t xml:space="preserve"> estimated proportions (with 95 percent</w:t>
      </w:r>
      <w:r w:rsidR="006D1CB5" w:rsidRPr="00FE1DDB">
        <w:rPr>
          <w:rFonts w:ascii="Times New Roman" w:hAnsi="Times New Roman" w:cs="Times New Roman"/>
          <w:sz w:val="24"/>
          <w:szCs w:val="24"/>
        </w:rPr>
        <w:t xml:space="preserve"> confidence intervals) of estuarine waters falling within each class</w:t>
      </w:r>
      <w:r w:rsidR="00751801">
        <w:rPr>
          <w:rFonts w:ascii="Times New Roman" w:hAnsi="Times New Roman" w:cs="Times New Roman"/>
          <w:sz w:val="24"/>
          <w:szCs w:val="24"/>
        </w:rPr>
        <w:t>.</w:t>
      </w:r>
      <w:r w:rsidR="00EB68BC" w:rsidRPr="00FE1DDB">
        <w:rPr>
          <w:rFonts w:ascii="Times New Roman" w:hAnsi="Times New Roman" w:cs="Times New Roman"/>
          <w:sz w:val="24"/>
          <w:szCs w:val="24"/>
        </w:rPr>
        <w:t xml:space="preserve"> </w:t>
      </w:r>
    </w:p>
    <w:p w14:paraId="7DE2BD7C" w14:textId="7F549A8D" w:rsidR="00C174DE" w:rsidRPr="00C174DE" w:rsidRDefault="00C174DE" w:rsidP="00447BF3">
      <w:pPr>
        <w:pStyle w:val="Caption"/>
        <w:spacing w:before="240"/>
        <w:rPr>
          <w:rFonts w:ascii="Times New Roman" w:hAnsi="Times New Roman" w:cs="Times New Roman"/>
          <w:i w:val="0"/>
          <w:color w:val="000000" w:themeColor="text1"/>
          <w:sz w:val="28"/>
          <w:szCs w:val="24"/>
        </w:rPr>
      </w:pPr>
      <w:r w:rsidRPr="00C174DE">
        <w:rPr>
          <w:rFonts w:ascii="Times New Roman" w:hAnsi="Times New Roman" w:cs="Times New Roman"/>
          <w:i w:val="0"/>
          <w:color w:val="000000" w:themeColor="text1"/>
          <w:sz w:val="20"/>
        </w:rPr>
        <w:t xml:space="preserve">Table 4.5- </w:t>
      </w:r>
      <w:r w:rsidRPr="00C174DE">
        <w:rPr>
          <w:rFonts w:ascii="Times New Roman" w:hAnsi="Times New Roman" w:cs="Times New Roman"/>
          <w:i w:val="0"/>
          <w:color w:val="000000" w:themeColor="text1"/>
          <w:sz w:val="20"/>
        </w:rPr>
        <w:fldChar w:fldCharType="begin"/>
      </w:r>
      <w:r w:rsidRPr="00C174DE">
        <w:rPr>
          <w:rFonts w:ascii="Times New Roman" w:hAnsi="Times New Roman" w:cs="Times New Roman"/>
          <w:i w:val="0"/>
          <w:color w:val="000000" w:themeColor="text1"/>
          <w:sz w:val="20"/>
        </w:rPr>
        <w:instrText xml:space="preserve"> SEQ Table_4.5- \* ARABIC </w:instrText>
      </w:r>
      <w:r w:rsidRPr="00C174DE">
        <w:rPr>
          <w:rFonts w:ascii="Times New Roman" w:hAnsi="Times New Roman" w:cs="Times New Roman"/>
          <w:i w:val="0"/>
          <w:color w:val="000000" w:themeColor="text1"/>
          <w:sz w:val="20"/>
        </w:rPr>
        <w:fldChar w:fldCharType="separate"/>
      </w:r>
      <w:r w:rsidR="00FD11B1">
        <w:rPr>
          <w:rFonts w:ascii="Times New Roman" w:hAnsi="Times New Roman" w:cs="Times New Roman"/>
          <w:i w:val="0"/>
          <w:noProof/>
          <w:color w:val="000000" w:themeColor="text1"/>
          <w:sz w:val="20"/>
        </w:rPr>
        <w:t>3</w:t>
      </w:r>
      <w:r w:rsidRPr="00C174DE">
        <w:rPr>
          <w:rFonts w:ascii="Times New Roman" w:hAnsi="Times New Roman" w:cs="Times New Roman"/>
          <w:i w:val="0"/>
          <w:color w:val="000000" w:themeColor="text1"/>
          <w:sz w:val="20"/>
        </w:rPr>
        <w:fldChar w:fldCharType="end"/>
      </w:r>
      <w:r w:rsidRPr="00C174DE">
        <w:rPr>
          <w:rFonts w:ascii="Times New Roman" w:hAnsi="Times New Roman" w:cs="Times New Roman"/>
          <w:i w:val="0"/>
          <w:color w:val="000000" w:themeColor="text1"/>
          <w:sz w:val="20"/>
        </w:rPr>
        <w:t xml:space="preserve"> </w:t>
      </w:r>
      <w:r>
        <w:rPr>
          <w:rFonts w:ascii="Times New Roman" w:hAnsi="Times New Roman" w:cs="Times New Roman"/>
          <w:i w:val="0"/>
          <w:color w:val="000000" w:themeColor="text1"/>
          <w:sz w:val="20"/>
        </w:rPr>
        <w:t>Dissolved Inorganic P</w:t>
      </w:r>
      <w:r w:rsidRPr="00C174DE">
        <w:rPr>
          <w:rFonts w:ascii="Times New Roman" w:hAnsi="Times New Roman" w:cs="Times New Roman"/>
          <w:i w:val="0"/>
          <w:color w:val="000000" w:themeColor="text1"/>
          <w:sz w:val="20"/>
        </w:rPr>
        <w:t>hosphorus</w:t>
      </w:r>
      <w:r>
        <w:rPr>
          <w:rFonts w:ascii="Times New Roman" w:hAnsi="Times New Roman" w:cs="Times New Roman"/>
          <w:i w:val="0"/>
          <w:color w:val="000000" w:themeColor="text1"/>
          <w:sz w:val="20"/>
        </w:rPr>
        <w:t xml:space="preserve"> (DIP)</w:t>
      </w:r>
      <w:r w:rsidRPr="00C174DE">
        <w:rPr>
          <w:rFonts w:ascii="Times New Roman" w:hAnsi="Times New Roman" w:cs="Times New Roman"/>
          <w:i w:val="0"/>
          <w:color w:val="000000" w:themeColor="text1"/>
          <w:sz w:val="20"/>
        </w:rPr>
        <w:t xml:space="preserve"> results compared to NCCA 2015 thresholds</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6030" w:type="dxa"/>
        <w:tblLayout w:type="fixed"/>
        <w:tblLook w:val="04A0" w:firstRow="1" w:lastRow="0" w:firstColumn="1" w:lastColumn="0" w:noHBand="0" w:noVBand="1"/>
        <w:tblCaption w:val="Table 4.5- 3 Dissolved Inorganic Phosphorus (DIP) results compared to NCCA 2015 thresholds"/>
        <w:tblDescription w:val="Table 4.5- 3 Dissolved Inorganic Phosphorus (DIP) results compared to NCCA 2015 thresholds"/>
      </w:tblPr>
      <w:tblGrid>
        <w:gridCol w:w="2007"/>
        <w:gridCol w:w="1773"/>
        <w:gridCol w:w="990"/>
        <w:gridCol w:w="1260"/>
      </w:tblGrid>
      <w:tr w:rsidR="00C174DE" w:rsidRPr="00C174DE" w14:paraId="1EB34E73" w14:textId="77777777" w:rsidTr="00447BF3">
        <w:trPr>
          <w:trHeight w:val="315"/>
        </w:trPr>
        <w:tc>
          <w:tcPr>
            <w:tcW w:w="2007" w:type="dxa"/>
            <w:tcBorders>
              <w:top w:val="nil"/>
              <w:left w:val="nil"/>
              <w:bottom w:val="single" w:sz="12" w:space="0" w:color="111111"/>
              <w:right w:val="nil"/>
            </w:tcBorders>
            <w:shd w:val="clear" w:color="auto" w:fill="auto"/>
            <w:vAlign w:val="center"/>
            <w:hideMark/>
          </w:tcPr>
          <w:p w14:paraId="5877F053"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DIP Quality</w:t>
            </w:r>
          </w:p>
        </w:tc>
        <w:tc>
          <w:tcPr>
            <w:tcW w:w="1773" w:type="dxa"/>
            <w:tcBorders>
              <w:top w:val="nil"/>
              <w:left w:val="nil"/>
              <w:bottom w:val="single" w:sz="12" w:space="0" w:color="111111"/>
              <w:right w:val="nil"/>
            </w:tcBorders>
            <w:shd w:val="clear" w:color="auto" w:fill="auto"/>
            <w:vAlign w:val="center"/>
            <w:hideMark/>
          </w:tcPr>
          <w:p w14:paraId="0C4B91F9"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DIP Range (mg/L)</w:t>
            </w:r>
          </w:p>
        </w:tc>
        <w:tc>
          <w:tcPr>
            <w:tcW w:w="990" w:type="dxa"/>
            <w:tcBorders>
              <w:top w:val="nil"/>
              <w:left w:val="nil"/>
              <w:bottom w:val="single" w:sz="12" w:space="0" w:color="111111"/>
              <w:right w:val="nil"/>
            </w:tcBorders>
            <w:shd w:val="clear" w:color="auto" w:fill="auto"/>
            <w:vAlign w:val="center"/>
            <w:hideMark/>
          </w:tcPr>
          <w:p w14:paraId="4A2BAD90"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Stations</w:t>
            </w:r>
          </w:p>
        </w:tc>
        <w:tc>
          <w:tcPr>
            <w:tcW w:w="1260" w:type="dxa"/>
            <w:tcBorders>
              <w:top w:val="nil"/>
              <w:left w:val="nil"/>
              <w:bottom w:val="single" w:sz="12" w:space="0" w:color="111111"/>
              <w:right w:val="nil"/>
            </w:tcBorders>
            <w:shd w:val="clear" w:color="auto" w:fill="auto"/>
            <w:vAlign w:val="center"/>
            <w:hideMark/>
          </w:tcPr>
          <w:p w14:paraId="08AE3852"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Percentage</w:t>
            </w:r>
          </w:p>
        </w:tc>
      </w:tr>
      <w:tr w:rsidR="00C174DE" w:rsidRPr="00C174DE" w14:paraId="77DE0C78" w14:textId="77777777" w:rsidTr="00447BF3">
        <w:trPr>
          <w:trHeight w:val="330"/>
        </w:trPr>
        <w:tc>
          <w:tcPr>
            <w:tcW w:w="2007" w:type="dxa"/>
            <w:tcBorders>
              <w:top w:val="nil"/>
              <w:left w:val="nil"/>
              <w:bottom w:val="nil"/>
              <w:right w:val="nil"/>
            </w:tcBorders>
            <w:shd w:val="clear" w:color="auto" w:fill="auto"/>
            <w:vAlign w:val="center"/>
            <w:hideMark/>
          </w:tcPr>
          <w:p w14:paraId="5FD54F24"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Good</w:t>
            </w:r>
          </w:p>
        </w:tc>
        <w:tc>
          <w:tcPr>
            <w:tcW w:w="1773" w:type="dxa"/>
            <w:tcBorders>
              <w:top w:val="nil"/>
              <w:left w:val="nil"/>
              <w:bottom w:val="nil"/>
              <w:right w:val="nil"/>
            </w:tcBorders>
            <w:shd w:val="clear" w:color="auto" w:fill="auto"/>
            <w:vAlign w:val="center"/>
            <w:hideMark/>
          </w:tcPr>
          <w:p w14:paraId="154A0F38"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&lt;0.01</w:t>
            </w:r>
          </w:p>
        </w:tc>
        <w:tc>
          <w:tcPr>
            <w:tcW w:w="990" w:type="dxa"/>
            <w:tcBorders>
              <w:top w:val="nil"/>
              <w:left w:val="nil"/>
              <w:bottom w:val="nil"/>
              <w:right w:val="nil"/>
            </w:tcBorders>
            <w:shd w:val="clear" w:color="auto" w:fill="auto"/>
            <w:vAlign w:val="center"/>
            <w:hideMark/>
          </w:tcPr>
          <w:p w14:paraId="5536837A"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157</w:t>
            </w:r>
          </w:p>
        </w:tc>
        <w:tc>
          <w:tcPr>
            <w:tcW w:w="1260" w:type="dxa"/>
            <w:tcBorders>
              <w:top w:val="nil"/>
              <w:left w:val="nil"/>
              <w:bottom w:val="nil"/>
              <w:right w:val="nil"/>
            </w:tcBorders>
            <w:shd w:val="clear" w:color="auto" w:fill="auto"/>
            <w:vAlign w:val="center"/>
            <w:hideMark/>
          </w:tcPr>
          <w:p w14:paraId="275EB8A3"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52.68 ± 5.69</w:t>
            </w:r>
          </w:p>
        </w:tc>
      </w:tr>
      <w:tr w:rsidR="00C174DE" w:rsidRPr="00C174DE" w14:paraId="01D8CC94" w14:textId="77777777" w:rsidTr="00447BF3">
        <w:trPr>
          <w:trHeight w:val="315"/>
        </w:trPr>
        <w:tc>
          <w:tcPr>
            <w:tcW w:w="2007" w:type="dxa"/>
            <w:tcBorders>
              <w:top w:val="single" w:sz="8" w:space="0" w:color="DDDDDD"/>
              <w:left w:val="nil"/>
              <w:bottom w:val="nil"/>
              <w:right w:val="nil"/>
            </w:tcBorders>
            <w:shd w:val="clear" w:color="auto" w:fill="auto"/>
            <w:vAlign w:val="center"/>
            <w:hideMark/>
          </w:tcPr>
          <w:p w14:paraId="1C914DD5"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Fair</w:t>
            </w:r>
          </w:p>
        </w:tc>
        <w:tc>
          <w:tcPr>
            <w:tcW w:w="1773" w:type="dxa"/>
            <w:tcBorders>
              <w:top w:val="single" w:sz="8" w:space="0" w:color="DDDDDD"/>
              <w:left w:val="nil"/>
              <w:bottom w:val="nil"/>
              <w:right w:val="nil"/>
            </w:tcBorders>
            <w:shd w:val="clear" w:color="auto" w:fill="auto"/>
            <w:vAlign w:val="center"/>
            <w:hideMark/>
          </w:tcPr>
          <w:p w14:paraId="0D63B023" w14:textId="184F4B7D"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u w:val="single"/>
              </w:rPr>
              <w:t>&gt;</w:t>
            </w:r>
            <w:r w:rsidR="00751801">
              <w:rPr>
                <w:rFonts w:ascii="Times New Roman" w:eastAsia="Times New Roman" w:hAnsi="Times New Roman" w:cs="Times New Roman"/>
                <w:color w:val="222222"/>
                <w:sz w:val="20"/>
                <w:szCs w:val="20"/>
              </w:rPr>
              <w:t xml:space="preserve">0.01 and </w:t>
            </w:r>
            <w:r w:rsidR="00751801" w:rsidRPr="00751801">
              <w:rPr>
                <w:rFonts w:ascii="Times New Roman" w:eastAsia="Times New Roman" w:hAnsi="Times New Roman" w:cs="Times New Roman"/>
                <w:color w:val="222222"/>
                <w:sz w:val="20"/>
                <w:szCs w:val="20"/>
                <w:u w:val="single"/>
              </w:rPr>
              <w:t>&lt;</w:t>
            </w:r>
            <w:r w:rsidR="00751801">
              <w:rPr>
                <w:rFonts w:ascii="Times New Roman" w:eastAsia="Times New Roman" w:hAnsi="Times New Roman" w:cs="Times New Roman"/>
                <w:color w:val="222222"/>
                <w:sz w:val="20"/>
                <w:szCs w:val="20"/>
              </w:rPr>
              <w:t xml:space="preserve"> </w:t>
            </w:r>
            <w:r w:rsidRPr="00C174DE">
              <w:rPr>
                <w:rFonts w:ascii="Times New Roman" w:eastAsia="Times New Roman" w:hAnsi="Times New Roman" w:cs="Times New Roman"/>
                <w:color w:val="222222"/>
                <w:sz w:val="20"/>
                <w:szCs w:val="20"/>
              </w:rPr>
              <w:t>0.05</w:t>
            </w:r>
          </w:p>
        </w:tc>
        <w:tc>
          <w:tcPr>
            <w:tcW w:w="990" w:type="dxa"/>
            <w:tcBorders>
              <w:top w:val="single" w:sz="8" w:space="0" w:color="DDDDDD"/>
              <w:left w:val="nil"/>
              <w:bottom w:val="nil"/>
              <w:right w:val="nil"/>
            </w:tcBorders>
            <w:shd w:val="clear" w:color="auto" w:fill="auto"/>
            <w:vAlign w:val="center"/>
            <w:hideMark/>
          </w:tcPr>
          <w:p w14:paraId="4468D454"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122</w:t>
            </w:r>
          </w:p>
        </w:tc>
        <w:tc>
          <w:tcPr>
            <w:tcW w:w="1260" w:type="dxa"/>
            <w:tcBorders>
              <w:top w:val="single" w:sz="8" w:space="0" w:color="DDDDDD"/>
              <w:left w:val="nil"/>
              <w:bottom w:val="nil"/>
              <w:right w:val="nil"/>
            </w:tcBorders>
            <w:shd w:val="clear" w:color="auto" w:fill="auto"/>
            <w:vAlign w:val="center"/>
            <w:hideMark/>
          </w:tcPr>
          <w:p w14:paraId="04A67B67"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40.94 ± 5.61</w:t>
            </w:r>
          </w:p>
        </w:tc>
      </w:tr>
      <w:tr w:rsidR="00C174DE" w:rsidRPr="00C174DE" w14:paraId="343B49FA" w14:textId="77777777" w:rsidTr="00447BF3">
        <w:trPr>
          <w:trHeight w:val="315"/>
        </w:trPr>
        <w:tc>
          <w:tcPr>
            <w:tcW w:w="2007" w:type="dxa"/>
            <w:tcBorders>
              <w:top w:val="single" w:sz="8" w:space="0" w:color="DDDDDD"/>
              <w:left w:val="nil"/>
              <w:bottom w:val="single" w:sz="8" w:space="0" w:color="auto"/>
              <w:right w:val="nil"/>
            </w:tcBorders>
            <w:shd w:val="clear" w:color="auto" w:fill="auto"/>
            <w:vAlign w:val="center"/>
            <w:hideMark/>
          </w:tcPr>
          <w:p w14:paraId="752CF90B"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Poor</w:t>
            </w:r>
          </w:p>
        </w:tc>
        <w:tc>
          <w:tcPr>
            <w:tcW w:w="1773" w:type="dxa"/>
            <w:tcBorders>
              <w:top w:val="single" w:sz="8" w:space="0" w:color="DDDDDD"/>
              <w:left w:val="nil"/>
              <w:bottom w:val="single" w:sz="8" w:space="0" w:color="auto"/>
              <w:right w:val="nil"/>
            </w:tcBorders>
            <w:shd w:val="clear" w:color="auto" w:fill="auto"/>
            <w:vAlign w:val="center"/>
            <w:hideMark/>
          </w:tcPr>
          <w:p w14:paraId="595B0C70"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&gt;0.05</w:t>
            </w:r>
          </w:p>
        </w:tc>
        <w:tc>
          <w:tcPr>
            <w:tcW w:w="990" w:type="dxa"/>
            <w:tcBorders>
              <w:top w:val="single" w:sz="8" w:space="0" w:color="DDDDDD"/>
              <w:left w:val="nil"/>
              <w:bottom w:val="single" w:sz="8" w:space="0" w:color="auto"/>
              <w:right w:val="nil"/>
            </w:tcBorders>
            <w:shd w:val="clear" w:color="auto" w:fill="auto"/>
            <w:vAlign w:val="center"/>
            <w:hideMark/>
          </w:tcPr>
          <w:p w14:paraId="14F915C2"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19</w:t>
            </w:r>
          </w:p>
        </w:tc>
        <w:tc>
          <w:tcPr>
            <w:tcW w:w="1260" w:type="dxa"/>
            <w:tcBorders>
              <w:top w:val="single" w:sz="8" w:space="0" w:color="DDDDDD"/>
              <w:left w:val="nil"/>
              <w:bottom w:val="single" w:sz="8" w:space="0" w:color="auto"/>
              <w:right w:val="nil"/>
            </w:tcBorders>
            <w:shd w:val="clear" w:color="auto" w:fill="auto"/>
            <w:vAlign w:val="center"/>
            <w:hideMark/>
          </w:tcPr>
          <w:p w14:paraId="32C46AA0" w14:textId="7777777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6.38 ± 2.79</w:t>
            </w:r>
          </w:p>
        </w:tc>
      </w:tr>
      <w:tr w:rsidR="00C174DE" w:rsidRPr="00C174DE" w14:paraId="30641DA5" w14:textId="77777777" w:rsidTr="00447BF3">
        <w:trPr>
          <w:trHeight w:val="315"/>
        </w:trPr>
        <w:tc>
          <w:tcPr>
            <w:tcW w:w="2007" w:type="dxa"/>
            <w:tcBorders>
              <w:top w:val="nil"/>
              <w:left w:val="nil"/>
              <w:bottom w:val="single" w:sz="8" w:space="0" w:color="auto"/>
              <w:right w:val="nil"/>
            </w:tcBorders>
            <w:shd w:val="clear" w:color="auto" w:fill="auto"/>
            <w:vAlign w:val="center"/>
            <w:hideMark/>
          </w:tcPr>
          <w:p w14:paraId="6191CB18" w14:textId="77777777" w:rsidR="00C174DE" w:rsidRPr="00C174DE" w:rsidRDefault="00C174DE" w:rsidP="00751801">
            <w:pPr>
              <w:spacing w:after="0" w:line="240" w:lineRule="auto"/>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Total</w:t>
            </w:r>
          </w:p>
        </w:tc>
        <w:tc>
          <w:tcPr>
            <w:tcW w:w="1773" w:type="dxa"/>
            <w:tcBorders>
              <w:top w:val="nil"/>
              <w:left w:val="nil"/>
              <w:bottom w:val="single" w:sz="8" w:space="0" w:color="auto"/>
              <w:right w:val="nil"/>
            </w:tcBorders>
            <w:shd w:val="clear" w:color="auto" w:fill="auto"/>
            <w:vAlign w:val="center"/>
            <w:hideMark/>
          </w:tcPr>
          <w:p w14:paraId="3129384D" w14:textId="446AFB67" w:rsidR="00C174DE" w:rsidRPr="00C174DE" w:rsidRDefault="00C174DE" w:rsidP="00751801">
            <w:pPr>
              <w:spacing w:after="0" w:line="240" w:lineRule="auto"/>
              <w:rPr>
                <w:rFonts w:ascii="Calibri" w:eastAsia="Times New Roman" w:hAnsi="Calibri" w:cs="Calibri"/>
                <w:color w:val="000000"/>
              </w:rPr>
            </w:pPr>
          </w:p>
        </w:tc>
        <w:tc>
          <w:tcPr>
            <w:tcW w:w="990" w:type="dxa"/>
            <w:tcBorders>
              <w:top w:val="nil"/>
              <w:left w:val="nil"/>
              <w:bottom w:val="single" w:sz="8" w:space="0" w:color="auto"/>
              <w:right w:val="nil"/>
            </w:tcBorders>
            <w:shd w:val="clear" w:color="auto" w:fill="auto"/>
            <w:vAlign w:val="center"/>
            <w:hideMark/>
          </w:tcPr>
          <w:p w14:paraId="1561C0FC" w14:textId="77777777" w:rsidR="00C174DE" w:rsidRPr="00C174DE" w:rsidRDefault="00C174DE" w:rsidP="00751801">
            <w:pPr>
              <w:spacing w:after="0" w:line="240" w:lineRule="auto"/>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298</w:t>
            </w:r>
          </w:p>
        </w:tc>
        <w:tc>
          <w:tcPr>
            <w:tcW w:w="1260" w:type="dxa"/>
            <w:tcBorders>
              <w:top w:val="nil"/>
              <w:left w:val="nil"/>
              <w:bottom w:val="single" w:sz="8" w:space="0" w:color="auto"/>
              <w:right w:val="nil"/>
            </w:tcBorders>
            <w:shd w:val="clear" w:color="auto" w:fill="auto"/>
            <w:vAlign w:val="center"/>
            <w:hideMark/>
          </w:tcPr>
          <w:p w14:paraId="6235434F" w14:textId="573B6A9F" w:rsidR="00C174DE" w:rsidRPr="00C174DE" w:rsidRDefault="00C174DE" w:rsidP="00751801">
            <w:pPr>
              <w:spacing w:after="0" w:line="240" w:lineRule="auto"/>
              <w:rPr>
                <w:rFonts w:ascii="Calibri" w:eastAsia="Times New Roman" w:hAnsi="Calibri" w:cs="Calibri"/>
                <w:color w:val="000000"/>
              </w:rPr>
            </w:pPr>
          </w:p>
        </w:tc>
      </w:tr>
    </w:tbl>
    <w:p w14:paraId="5138E904" w14:textId="0A2ACD07" w:rsidR="003875E1" w:rsidRPr="00FE1DDB" w:rsidRDefault="003875E1" w:rsidP="00FE1DDB">
      <w:pPr>
        <w:spacing w:after="0" w:line="240" w:lineRule="auto"/>
        <w:jc w:val="both"/>
        <w:rPr>
          <w:rFonts w:ascii="Times New Roman" w:hAnsi="Times New Roman" w:cs="Times New Roman"/>
          <w:b/>
          <w:sz w:val="16"/>
          <w:szCs w:val="16"/>
        </w:rPr>
      </w:pPr>
    </w:p>
    <w:p w14:paraId="7F0F670E" w14:textId="77777777" w:rsidR="00532301" w:rsidRPr="00FE1DDB" w:rsidRDefault="00532301" w:rsidP="00FE1DDB">
      <w:pPr>
        <w:spacing w:after="0" w:line="240" w:lineRule="auto"/>
        <w:jc w:val="both"/>
        <w:rPr>
          <w:rFonts w:ascii="Times New Roman" w:hAnsi="Times New Roman" w:cs="Times New Roman"/>
          <w:b/>
          <w:sz w:val="20"/>
          <w:szCs w:val="24"/>
        </w:rPr>
      </w:pPr>
    </w:p>
    <w:p w14:paraId="28E4674E" w14:textId="5D8FD4B0" w:rsidR="00E7107B" w:rsidRDefault="002847D7" w:rsidP="00FE1DDB">
      <w:pPr>
        <w:spacing w:line="240" w:lineRule="auto"/>
        <w:rPr>
          <w:rFonts w:ascii="Times New Roman" w:hAnsi="Times New Roman" w:cs="Times New Roman"/>
          <w:sz w:val="24"/>
          <w:szCs w:val="24"/>
        </w:rPr>
      </w:pPr>
      <w:r w:rsidRPr="00FE1DDB">
        <w:rPr>
          <w:rFonts w:ascii="Times New Roman" w:hAnsi="Times New Roman" w:cs="Times New Roman"/>
          <w:b/>
          <w:sz w:val="24"/>
          <w:szCs w:val="24"/>
        </w:rPr>
        <w:t xml:space="preserve">Near-surface </w:t>
      </w:r>
      <w:r w:rsidR="001E5706" w:rsidRPr="00FE1DDB">
        <w:rPr>
          <w:rFonts w:ascii="Times New Roman" w:hAnsi="Times New Roman" w:cs="Times New Roman"/>
          <w:b/>
          <w:sz w:val="24"/>
          <w:szCs w:val="24"/>
        </w:rPr>
        <w:t>D</w:t>
      </w:r>
      <w:r w:rsidRPr="00FE1DDB">
        <w:rPr>
          <w:rFonts w:ascii="Times New Roman" w:hAnsi="Times New Roman" w:cs="Times New Roman"/>
          <w:b/>
          <w:sz w:val="24"/>
          <w:szCs w:val="24"/>
        </w:rPr>
        <w:t xml:space="preserve">issolved Inorganic Nitrogen (DIN): </w:t>
      </w:r>
      <w:r w:rsidRPr="00FE1DDB">
        <w:rPr>
          <w:rFonts w:ascii="Times New Roman" w:hAnsi="Times New Roman" w:cs="Times New Roman"/>
          <w:sz w:val="24"/>
          <w:szCs w:val="24"/>
        </w:rPr>
        <w:t>Dissolved inorganic Nitrogen concentrations are the sum of dissolved nitrate (NO</w:t>
      </w:r>
      <w:r w:rsidRPr="00FE1DDB">
        <w:rPr>
          <w:rFonts w:ascii="Times New Roman" w:hAnsi="Times New Roman" w:cs="Times New Roman"/>
          <w:b/>
          <w:sz w:val="24"/>
          <w:szCs w:val="24"/>
          <w:vertAlign w:val="subscript"/>
        </w:rPr>
        <w:t>3</w:t>
      </w:r>
      <w:r w:rsidRPr="00FE1DDB">
        <w:rPr>
          <w:rFonts w:ascii="Times New Roman" w:hAnsi="Times New Roman" w:cs="Times New Roman"/>
          <w:b/>
          <w:sz w:val="24"/>
          <w:szCs w:val="24"/>
          <w:vertAlign w:val="superscript"/>
        </w:rPr>
        <w:t>-</w:t>
      </w:r>
      <w:r w:rsidRPr="00FE1DDB">
        <w:rPr>
          <w:rFonts w:ascii="Times New Roman" w:hAnsi="Times New Roman" w:cs="Times New Roman"/>
          <w:sz w:val="24"/>
          <w:szCs w:val="24"/>
        </w:rPr>
        <w:t>)</w:t>
      </w:r>
      <w:r w:rsidR="000D1217" w:rsidRPr="00FE1DDB">
        <w:rPr>
          <w:rFonts w:ascii="Times New Roman" w:hAnsi="Times New Roman" w:cs="Times New Roman"/>
          <w:sz w:val="24"/>
          <w:szCs w:val="24"/>
        </w:rPr>
        <w:t xml:space="preserve"> Nitrogen</w:t>
      </w:r>
      <w:r w:rsidRPr="00FE1DDB">
        <w:rPr>
          <w:rFonts w:ascii="Times New Roman" w:hAnsi="Times New Roman" w:cs="Times New Roman"/>
          <w:sz w:val="24"/>
          <w:szCs w:val="24"/>
        </w:rPr>
        <w:t>, nitrite (NO</w:t>
      </w:r>
      <w:r w:rsidRPr="00FE1DDB">
        <w:rPr>
          <w:rFonts w:ascii="Times New Roman" w:hAnsi="Times New Roman" w:cs="Times New Roman"/>
          <w:b/>
          <w:sz w:val="24"/>
          <w:szCs w:val="24"/>
          <w:vertAlign w:val="subscript"/>
        </w:rPr>
        <w:t>2</w:t>
      </w:r>
      <w:r w:rsidRPr="00FE1DDB">
        <w:rPr>
          <w:rFonts w:ascii="Times New Roman" w:hAnsi="Times New Roman" w:cs="Times New Roman"/>
          <w:b/>
          <w:sz w:val="24"/>
          <w:szCs w:val="24"/>
          <w:vertAlign w:val="superscript"/>
        </w:rPr>
        <w:t>-</w:t>
      </w:r>
      <w:r w:rsidRPr="00FE1DDB">
        <w:rPr>
          <w:rFonts w:ascii="Times New Roman" w:hAnsi="Times New Roman" w:cs="Times New Roman"/>
          <w:sz w:val="24"/>
          <w:szCs w:val="24"/>
        </w:rPr>
        <w:t>)</w:t>
      </w:r>
      <w:r w:rsidR="000D1217" w:rsidRPr="00FE1DDB">
        <w:rPr>
          <w:rFonts w:ascii="Times New Roman" w:hAnsi="Times New Roman" w:cs="Times New Roman"/>
          <w:sz w:val="24"/>
          <w:szCs w:val="24"/>
        </w:rPr>
        <w:t xml:space="preserve"> Nitrogen</w:t>
      </w:r>
      <w:r w:rsidRPr="00FE1DDB">
        <w:rPr>
          <w:rFonts w:ascii="Times New Roman" w:hAnsi="Times New Roman" w:cs="Times New Roman"/>
          <w:sz w:val="24"/>
          <w:szCs w:val="24"/>
        </w:rPr>
        <w:t>, and ammonia (NH</w:t>
      </w:r>
      <w:r w:rsidRPr="00FE1DDB">
        <w:rPr>
          <w:rFonts w:ascii="Times New Roman" w:hAnsi="Times New Roman" w:cs="Times New Roman"/>
          <w:b/>
          <w:sz w:val="24"/>
          <w:szCs w:val="24"/>
          <w:vertAlign w:val="subscript"/>
        </w:rPr>
        <w:t>4</w:t>
      </w:r>
      <w:r w:rsidRPr="00FE1DDB">
        <w:rPr>
          <w:rFonts w:ascii="Times New Roman" w:hAnsi="Times New Roman" w:cs="Times New Roman"/>
          <w:b/>
          <w:sz w:val="24"/>
          <w:szCs w:val="24"/>
          <w:vertAlign w:val="superscript"/>
        </w:rPr>
        <w:t>+</w:t>
      </w:r>
      <w:r w:rsidRPr="00FE1DDB">
        <w:rPr>
          <w:rFonts w:ascii="Times New Roman" w:hAnsi="Times New Roman" w:cs="Times New Roman"/>
          <w:sz w:val="24"/>
          <w:szCs w:val="24"/>
        </w:rPr>
        <w:t>)</w:t>
      </w:r>
      <w:r w:rsidR="000D1217" w:rsidRPr="00FE1DDB">
        <w:rPr>
          <w:rFonts w:ascii="Times New Roman" w:hAnsi="Times New Roman" w:cs="Times New Roman"/>
          <w:sz w:val="24"/>
          <w:szCs w:val="24"/>
        </w:rPr>
        <w:t xml:space="preserve"> Nitrogen</w:t>
      </w:r>
      <w:r w:rsidRPr="00FE1DDB">
        <w:rPr>
          <w:rFonts w:ascii="Times New Roman" w:hAnsi="Times New Roman" w:cs="Times New Roman"/>
          <w:sz w:val="24"/>
          <w:szCs w:val="24"/>
        </w:rPr>
        <w:t xml:space="preserve">. DIN plays a similar role to DIP, in that it is an essential natural nutrient for algal growth, and when in excess can accelerate eutrophication. Table </w:t>
      </w:r>
      <w:r w:rsidR="00467E4B" w:rsidRPr="00FE1DDB">
        <w:rPr>
          <w:rFonts w:ascii="Times New Roman" w:hAnsi="Times New Roman" w:cs="Times New Roman"/>
          <w:sz w:val="24"/>
          <w:szCs w:val="24"/>
        </w:rPr>
        <w:t>4.5</w:t>
      </w:r>
      <w:r w:rsidR="00C174DE">
        <w:rPr>
          <w:rFonts w:ascii="Times New Roman" w:hAnsi="Times New Roman" w:cs="Times New Roman"/>
          <w:sz w:val="24"/>
          <w:szCs w:val="24"/>
        </w:rPr>
        <w:t>-4</w:t>
      </w:r>
      <w:r w:rsidRPr="00FE1DDB">
        <w:rPr>
          <w:rFonts w:ascii="Times New Roman" w:hAnsi="Times New Roman" w:cs="Times New Roman"/>
          <w:sz w:val="24"/>
          <w:szCs w:val="24"/>
        </w:rPr>
        <w:t xml:space="preserve"> summarizes the ranges of DIN concentrations that the NCCA has established as thresholds for water quality classes in estuarine waters of the northeastern United States, the number of Virginia probabilistic stations falling within each class, and the est</w:t>
      </w:r>
      <w:r w:rsidR="002D26C7" w:rsidRPr="00FE1DDB">
        <w:rPr>
          <w:rFonts w:ascii="Times New Roman" w:hAnsi="Times New Roman" w:cs="Times New Roman"/>
          <w:sz w:val="24"/>
          <w:szCs w:val="24"/>
        </w:rPr>
        <w:t>imated proportions (with 95 percent</w:t>
      </w:r>
      <w:r w:rsidRPr="00FE1DDB">
        <w:rPr>
          <w:rFonts w:ascii="Times New Roman" w:hAnsi="Times New Roman" w:cs="Times New Roman"/>
          <w:sz w:val="24"/>
          <w:szCs w:val="24"/>
        </w:rPr>
        <w:t xml:space="preserve"> confidence intervals) of estuarine waters falling within each class. </w:t>
      </w:r>
    </w:p>
    <w:p w14:paraId="75551E3D" w14:textId="770ED478" w:rsidR="00C174DE" w:rsidRDefault="00C174DE" w:rsidP="00447BF3">
      <w:pPr>
        <w:pStyle w:val="Caption"/>
        <w:keepNext/>
        <w:rPr>
          <w:rFonts w:ascii="Times New Roman" w:hAnsi="Times New Roman" w:cs="Times New Roman"/>
          <w:i w:val="0"/>
          <w:color w:val="000000" w:themeColor="text1"/>
          <w:sz w:val="20"/>
        </w:rPr>
      </w:pPr>
      <w:r w:rsidRPr="00C174DE">
        <w:rPr>
          <w:rFonts w:ascii="Times New Roman" w:hAnsi="Times New Roman" w:cs="Times New Roman"/>
          <w:i w:val="0"/>
          <w:color w:val="000000" w:themeColor="text1"/>
          <w:sz w:val="20"/>
        </w:rPr>
        <w:t xml:space="preserve">Table 4.5- </w:t>
      </w:r>
      <w:r w:rsidRPr="00C174DE">
        <w:rPr>
          <w:rFonts w:ascii="Times New Roman" w:hAnsi="Times New Roman" w:cs="Times New Roman"/>
          <w:i w:val="0"/>
          <w:color w:val="000000" w:themeColor="text1"/>
          <w:sz w:val="20"/>
        </w:rPr>
        <w:fldChar w:fldCharType="begin"/>
      </w:r>
      <w:r w:rsidRPr="00C174DE">
        <w:rPr>
          <w:rFonts w:ascii="Times New Roman" w:hAnsi="Times New Roman" w:cs="Times New Roman"/>
          <w:i w:val="0"/>
          <w:color w:val="000000" w:themeColor="text1"/>
          <w:sz w:val="20"/>
        </w:rPr>
        <w:instrText xml:space="preserve"> SEQ Table_4.5- \* ARABIC </w:instrText>
      </w:r>
      <w:r w:rsidRPr="00C174DE">
        <w:rPr>
          <w:rFonts w:ascii="Times New Roman" w:hAnsi="Times New Roman" w:cs="Times New Roman"/>
          <w:i w:val="0"/>
          <w:color w:val="000000" w:themeColor="text1"/>
          <w:sz w:val="20"/>
        </w:rPr>
        <w:fldChar w:fldCharType="separate"/>
      </w:r>
      <w:r w:rsidR="00FD11B1">
        <w:rPr>
          <w:rFonts w:ascii="Times New Roman" w:hAnsi="Times New Roman" w:cs="Times New Roman"/>
          <w:i w:val="0"/>
          <w:noProof/>
          <w:color w:val="000000" w:themeColor="text1"/>
          <w:sz w:val="20"/>
        </w:rPr>
        <w:t>4</w:t>
      </w:r>
      <w:r w:rsidRPr="00C174DE">
        <w:rPr>
          <w:rFonts w:ascii="Times New Roman" w:hAnsi="Times New Roman" w:cs="Times New Roman"/>
          <w:i w:val="0"/>
          <w:color w:val="000000" w:themeColor="text1"/>
          <w:sz w:val="20"/>
        </w:rPr>
        <w:fldChar w:fldCharType="end"/>
      </w:r>
      <w:r w:rsidRPr="00C174DE">
        <w:rPr>
          <w:rFonts w:ascii="Times New Roman" w:hAnsi="Times New Roman" w:cs="Times New Roman"/>
          <w:i w:val="0"/>
          <w:color w:val="000000" w:themeColor="text1"/>
          <w:sz w:val="20"/>
        </w:rPr>
        <w:t xml:space="preserve"> Dissolved </w:t>
      </w:r>
      <w:r>
        <w:rPr>
          <w:rFonts w:ascii="Times New Roman" w:hAnsi="Times New Roman" w:cs="Times New Roman"/>
          <w:i w:val="0"/>
          <w:color w:val="000000" w:themeColor="text1"/>
          <w:sz w:val="20"/>
        </w:rPr>
        <w:t>Inorganic N</w:t>
      </w:r>
      <w:r w:rsidRPr="00C174DE">
        <w:rPr>
          <w:rFonts w:ascii="Times New Roman" w:hAnsi="Times New Roman" w:cs="Times New Roman"/>
          <w:i w:val="0"/>
          <w:color w:val="000000" w:themeColor="text1"/>
          <w:sz w:val="20"/>
        </w:rPr>
        <w:t>itrogen</w:t>
      </w:r>
      <w:r>
        <w:rPr>
          <w:rFonts w:ascii="Times New Roman" w:hAnsi="Times New Roman" w:cs="Times New Roman"/>
          <w:i w:val="0"/>
          <w:color w:val="000000" w:themeColor="text1"/>
          <w:sz w:val="20"/>
        </w:rPr>
        <w:t xml:space="preserve"> (DIN)</w:t>
      </w:r>
      <w:r w:rsidRPr="00C174DE">
        <w:rPr>
          <w:rFonts w:ascii="Times New Roman" w:hAnsi="Times New Roman" w:cs="Times New Roman"/>
          <w:i w:val="0"/>
          <w:color w:val="000000" w:themeColor="text1"/>
          <w:sz w:val="20"/>
        </w:rPr>
        <w:t xml:space="preserve"> results compared to NCCA 2015 thresholds</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6030" w:type="dxa"/>
        <w:tblLayout w:type="fixed"/>
        <w:tblLook w:val="04A0" w:firstRow="1" w:lastRow="0" w:firstColumn="1" w:lastColumn="0" w:noHBand="0" w:noVBand="1"/>
        <w:tblCaption w:val="Table 4.5- 4 Dissolved Inorganic Nitrogen (DIN) results compared to NCCA 2015 thresholds"/>
        <w:tblDescription w:val="Table 4.5- 4 Dissolved Inorganic Nitrogen (DIN) results compared to NCCA 2015 thresholds"/>
      </w:tblPr>
      <w:tblGrid>
        <w:gridCol w:w="2007"/>
        <w:gridCol w:w="1773"/>
        <w:gridCol w:w="990"/>
        <w:gridCol w:w="1260"/>
      </w:tblGrid>
      <w:tr w:rsidR="00751801" w:rsidRPr="00C174DE" w14:paraId="21C91D03" w14:textId="77777777" w:rsidTr="00447BF3">
        <w:trPr>
          <w:trHeight w:val="315"/>
        </w:trPr>
        <w:tc>
          <w:tcPr>
            <w:tcW w:w="2007" w:type="dxa"/>
            <w:tcBorders>
              <w:top w:val="nil"/>
              <w:left w:val="nil"/>
              <w:bottom w:val="single" w:sz="12" w:space="0" w:color="111111"/>
              <w:right w:val="nil"/>
            </w:tcBorders>
            <w:shd w:val="clear" w:color="auto" w:fill="auto"/>
            <w:vAlign w:val="center"/>
          </w:tcPr>
          <w:p w14:paraId="315C1A30" w14:textId="0BCA3860"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DIN Quality</w:t>
            </w:r>
          </w:p>
        </w:tc>
        <w:tc>
          <w:tcPr>
            <w:tcW w:w="1773" w:type="dxa"/>
            <w:tcBorders>
              <w:top w:val="nil"/>
              <w:left w:val="nil"/>
              <w:bottom w:val="single" w:sz="12" w:space="0" w:color="111111"/>
              <w:right w:val="nil"/>
            </w:tcBorders>
            <w:shd w:val="clear" w:color="auto" w:fill="auto"/>
            <w:vAlign w:val="center"/>
          </w:tcPr>
          <w:p w14:paraId="35656839" w14:textId="67E171A5"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DIN Range (mg/L)</w:t>
            </w:r>
          </w:p>
        </w:tc>
        <w:tc>
          <w:tcPr>
            <w:tcW w:w="990" w:type="dxa"/>
            <w:tcBorders>
              <w:top w:val="nil"/>
              <w:left w:val="nil"/>
              <w:bottom w:val="single" w:sz="12" w:space="0" w:color="111111"/>
              <w:right w:val="nil"/>
            </w:tcBorders>
            <w:shd w:val="clear" w:color="auto" w:fill="auto"/>
            <w:vAlign w:val="center"/>
          </w:tcPr>
          <w:p w14:paraId="0E5C22CF" w14:textId="4ED1BEAD"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Stations</w:t>
            </w:r>
          </w:p>
        </w:tc>
        <w:tc>
          <w:tcPr>
            <w:tcW w:w="1260" w:type="dxa"/>
            <w:tcBorders>
              <w:top w:val="nil"/>
              <w:left w:val="nil"/>
              <w:bottom w:val="single" w:sz="12" w:space="0" w:color="111111"/>
              <w:right w:val="nil"/>
            </w:tcBorders>
            <w:shd w:val="clear" w:color="auto" w:fill="auto"/>
            <w:vAlign w:val="center"/>
          </w:tcPr>
          <w:p w14:paraId="7FB01957" w14:textId="5F8CD6BA"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Percentage</w:t>
            </w:r>
          </w:p>
        </w:tc>
      </w:tr>
      <w:tr w:rsidR="00751801" w:rsidRPr="00C174DE" w14:paraId="13EA1042" w14:textId="77777777" w:rsidTr="00447BF3">
        <w:trPr>
          <w:trHeight w:val="288"/>
        </w:trPr>
        <w:tc>
          <w:tcPr>
            <w:tcW w:w="2007" w:type="dxa"/>
            <w:tcBorders>
              <w:top w:val="nil"/>
              <w:left w:val="nil"/>
              <w:bottom w:val="nil"/>
              <w:right w:val="nil"/>
            </w:tcBorders>
            <w:shd w:val="clear" w:color="auto" w:fill="auto"/>
            <w:vAlign w:val="center"/>
          </w:tcPr>
          <w:p w14:paraId="3B6AC00D" w14:textId="39167C48"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Good</w:t>
            </w:r>
          </w:p>
        </w:tc>
        <w:tc>
          <w:tcPr>
            <w:tcW w:w="1773" w:type="dxa"/>
            <w:tcBorders>
              <w:top w:val="nil"/>
              <w:left w:val="nil"/>
              <w:bottom w:val="nil"/>
              <w:right w:val="nil"/>
            </w:tcBorders>
            <w:shd w:val="clear" w:color="auto" w:fill="auto"/>
            <w:vAlign w:val="center"/>
          </w:tcPr>
          <w:p w14:paraId="095682E6" w14:textId="2EAAA069"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&lt;0.1</w:t>
            </w:r>
          </w:p>
        </w:tc>
        <w:tc>
          <w:tcPr>
            <w:tcW w:w="990" w:type="dxa"/>
            <w:tcBorders>
              <w:top w:val="nil"/>
              <w:left w:val="nil"/>
              <w:bottom w:val="nil"/>
              <w:right w:val="nil"/>
            </w:tcBorders>
            <w:shd w:val="clear" w:color="auto" w:fill="auto"/>
            <w:vAlign w:val="center"/>
          </w:tcPr>
          <w:p w14:paraId="56E872AB" w14:textId="62D8B635"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266</w:t>
            </w:r>
          </w:p>
        </w:tc>
        <w:tc>
          <w:tcPr>
            <w:tcW w:w="1260" w:type="dxa"/>
            <w:tcBorders>
              <w:top w:val="nil"/>
              <w:left w:val="nil"/>
              <w:bottom w:val="nil"/>
              <w:right w:val="nil"/>
            </w:tcBorders>
            <w:shd w:val="clear" w:color="auto" w:fill="auto"/>
            <w:vAlign w:val="center"/>
          </w:tcPr>
          <w:p w14:paraId="2E83DE0B" w14:textId="2ED2F5D5"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89.26 ± 3.53</w:t>
            </w:r>
          </w:p>
        </w:tc>
      </w:tr>
      <w:tr w:rsidR="00751801" w:rsidRPr="00C174DE" w14:paraId="5B52DF11" w14:textId="77777777" w:rsidTr="00447BF3">
        <w:trPr>
          <w:trHeight w:val="315"/>
        </w:trPr>
        <w:tc>
          <w:tcPr>
            <w:tcW w:w="2007" w:type="dxa"/>
            <w:tcBorders>
              <w:top w:val="single" w:sz="8" w:space="0" w:color="DDDDDD"/>
              <w:left w:val="nil"/>
              <w:bottom w:val="nil"/>
              <w:right w:val="nil"/>
            </w:tcBorders>
            <w:shd w:val="clear" w:color="auto" w:fill="auto"/>
            <w:vAlign w:val="center"/>
          </w:tcPr>
          <w:p w14:paraId="157E79AA" w14:textId="6E2DB967"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Fair</w:t>
            </w:r>
          </w:p>
        </w:tc>
        <w:tc>
          <w:tcPr>
            <w:tcW w:w="1773" w:type="dxa"/>
            <w:tcBorders>
              <w:top w:val="single" w:sz="8" w:space="0" w:color="DDDDDD"/>
              <w:left w:val="nil"/>
              <w:bottom w:val="nil"/>
              <w:right w:val="nil"/>
            </w:tcBorders>
            <w:shd w:val="clear" w:color="auto" w:fill="auto"/>
            <w:vAlign w:val="center"/>
          </w:tcPr>
          <w:p w14:paraId="300E1F63" w14:textId="15E0756E"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u w:val="single"/>
              </w:rPr>
              <w:t>&gt;</w:t>
            </w:r>
            <w:r w:rsidR="00751801">
              <w:rPr>
                <w:rFonts w:ascii="Times New Roman" w:eastAsia="Times New Roman" w:hAnsi="Times New Roman" w:cs="Times New Roman"/>
                <w:color w:val="222222"/>
                <w:sz w:val="20"/>
                <w:szCs w:val="20"/>
              </w:rPr>
              <w:t xml:space="preserve"> </w:t>
            </w:r>
            <w:r w:rsidRPr="00C174DE">
              <w:rPr>
                <w:rFonts w:ascii="Times New Roman" w:eastAsia="Times New Roman" w:hAnsi="Times New Roman" w:cs="Times New Roman"/>
                <w:color w:val="222222"/>
                <w:sz w:val="20"/>
                <w:szCs w:val="20"/>
              </w:rPr>
              <w:t>0.1</w:t>
            </w:r>
            <w:r w:rsidR="00751801">
              <w:rPr>
                <w:rFonts w:ascii="Times New Roman" w:eastAsia="Times New Roman" w:hAnsi="Times New Roman" w:cs="Times New Roman"/>
                <w:color w:val="222222"/>
                <w:sz w:val="20"/>
                <w:szCs w:val="20"/>
              </w:rPr>
              <w:t xml:space="preserve"> and </w:t>
            </w:r>
            <w:r w:rsidR="00751801" w:rsidRPr="00751801">
              <w:rPr>
                <w:rFonts w:ascii="Times New Roman" w:eastAsia="Times New Roman" w:hAnsi="Times New Roman" w:cs="Times New Roman"/>
                <w:color w:val="222222"/>
                <w:sz w:val="20"/>
                <w:szCs w:val="20"/>
                <w:u w:val="single"/>
              </w:rPr>
              <w:t>&lt;</w:t>
            </w:r>
            <w:r w:rsidR="00751801">
              <w:rPr>
                <w:rFonts w:ascii="Times New Roman" w:eastAsia="Times New Roman" w:hAnsi="Times New Roman" w:cs="Times New Roman"/>
                <w:color w:val="222222"/>
                <w:sz w:val="20"/>
                <w:szCs w:val="20"/>
              </w:rPr>
              <w:t xml:space="preserve"> </w:t>
            </w:r>
            <w:r w:rsidRPr="00C174DE">
              <w:rPr>
                <w:rFonts w:ascii="Times New Roman" w:eastAsia="Times New Roman" w:hAnsi="Times New Roman" w:cs="Times New Roman"/>
                <w:color w:val="222222"/>
                <w:sz w:val="20"/>
                <w:szCs w:val="20"/>
              </w:rPr>
              <w:t>0.5</w:t>
            </w:r>
          </w:p>
        </w:tc>
        <w:tc>
          <w:tcPr>
            <w:tcW w:w="990" w:type="dxa"/>
            <w:tcBorders>
              <w:top w:val="single" w:sz="8" w:space="0" w:color="DDDDDD"/>
              <w:left w:val="nil"/>
              <w:bottom w:val="nil"/>
              <w:right w:val="nil"/>
            </w:tcBorders>
            <w:shd w:val="clear" w:color="auto" w:fill="auto"/>
            <w:vAlign w:val="center"/>
          </w:tcPr>
          <w:p w14:paraId="28D6EE63" w14:textId="75DBCB9C"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29</w:t>
            </w:r>
          </w:p>
        </w:tc>
        <w:tc>
          <w:tcPr>
            <w:tcW w:w="1260" w:type="dxa"/>
            <w:tcBorders>
              <w:top w:val="single" w:sz="8" w:space="0" w:color="DDDDDD"/>
              <w:left w:val="nil"/>
              <w:bottom w:val="nil"/>
              <w:right w:val="nil"/>
            </w:tcBorders>
            <w:shd w:val="clear" w:color="auto" w:fill="auto"/>
            <w:vAlign w:val="center"/>
          </w:tcPr>
          <w:p w14:paraId="58840223" w14:textId="0C1F27F8"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9.73 ± 3.38</w:t>
            </w:r>
          </w:p>
        </w:tc>
      </w:tr>
      <w:tr w:rsidR="00751801" w:rsidRPr="00C174DE" w14:paraId="20E5AFB7" w14:textId="77777777" w:rsidTr="00447BF3">
        <w:trPr>
          <w:trHeight w:val="315"/>
        </w:trPr>
        <w:tc>
          <w:tcPr>
            <w:tcW w:w="2007" w:type="dxa"/>
            <w:tcBorders>
              <w:top w:val="single" w:sz="8" w:space="0" w:color="DDDDDD"/>
              <w:left w:val="nil"/>
              <w:bottom w:val="single" w:sz="8" w:space="0" w:color="auto"/>
              <w:right w:val="nil"/>
            </w:tcBorders>
            <w:shd w:val="clear" w:color="auto" w:fill="auto"/>
            <w:vAlign w:val="center"/>
          </w:tcPr>
          <w:p w14:paraId="15446DAA" w14:textId="224D1828"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Poor</w:t>
            </w:r>
          </w:p>
        </w:tc>
        <w:tc>
          <w:tcPr>
            <w:tcW w:w="1773" w:type="dxa"/>
            <w:tcBorders>
              <w:top w:val="single" w:sz="8" w:space="0" w:color="DDDDDD"/>
              <w:left w:val="nil"/>
              <w:bottom w:val="single" w:sz="8" w:space="0" w:color="auto"/>
              <w:right w:val="nil"/>
            </w:tcBorders>
            <w:shd w:val="clear" w:color="auto" w:fill="auto"/>
            <w:vAlign w:val="center"/>
          </w:tcPr>
          <w:p w14:paraId="7D2FC81A" w14:textId="02A47FD1"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&gt;0.5</w:t>
            </w:r>
          </w:p>
        </w:tc>
        <w:tc>
          <w:tcPr>
            <w:tcW w:w="990" w:type="dxa"/>
            <w:tcBorders>
              <w:top w:val="single" w:sz="8" w:space="0" w:color="DDDDDD"/>
              <w:left w:val="nil"/>
              <w:bottom w:val="single" w:sz="8" w:space="0" w:color="auto"/>
              <w:right w:val="nil"/>
            </w:tcBorders>
            <w:shd w:val="clear" w:color="auto" w:fill="auto"/>
            <w:vAlign w:val="center"/>
          </w:tcPr>
          <w:p w14:paraId="2D1C9A3D" w14:textId="7BC81AC3"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3</w:t>
            </w:r>
          </w:p>
        </w:tc>
        <w:tc>
          <w:tcPr>
            <w:tcW w:w="1260" w:type="dxa"/>
            <w:tcBorders>
              <w:top w:val="single" w:sz="8" w:space="0" w:color="DDDDDD"/>
              <w:left w:val="nil"/>
              <w:bottom w:val="single" w:sz="8" w:space="0" w:color="auto"/>
              <w:right w:val="nil"/>
            </w:tcBorders>
            <w:shd w:val="clear" w:color="auto" w:fill="auto"/>
            <w:vAlign w:val="center"/>
          </w:tcPr>
          <w:p w14:paraId="3D55D553" w14:textId="46B7A0A1" w:rsidR="00C174DE" w:rsidRPr="00C174DE" w:rsidRDefault="00C174DE" w:rsidP="00751801">
            <w:pPr>
              <w:spacing w:after="0" w:line="240" w:lineRule="auto"/>
              <w:rPr>
                <w:rFonts w:ascii="Times New Roman" w:eastAsia="Times New Roman" w:hAnsi="Times New Roman" w:cs="Times New Roman"/>
                <w:color w:val="222222"/>
                <w:sz w:val="20"/>
                <w:szCs w:val="20"/>
              </w:rPr>
            </w:pPr>
            <w:r w:rsidRPr="00C174DE">
              <w:rPr>
                <w:rFonts w:ascii="Times New Roman" w:eastAsia="Times New Roman" w:hAnsi="Times New Roman" w:cs="Times New Roman"/>
                <w:color w:val="222222"/>
                <w:sz w:val="20"/>
                <w:szCs w:val="20"/>
              </w:rPr>
              <w:t>1.01 ± 1.14</w:t>
            </w:r>
          </w:p>
        </w:tc>
      </w:tr>
      <w:tr w:rsidR="00C174DE" w:rsidRPr="00C174DE" w14:paraId="035C4143" w14:textId="77777777" w:rsidTr="00447BF3">
        <w:trPr>
          <w:trHeight w:val="315"/>
        </w:trPr>
        <w:tc>
          <w:tcPr>
            <w:tcW w:w="2007" w:type="dxa"/>
            <w:tcBorders>
              <w:top w:val="nil"/>
              <w:left w:val="nil"/>
              <w:bottom w:val="single" w:sz="8" w:space="0" w:color="auto"/>
              <w:right w:val="nil"/>
            </w:tcBorders>
            <w:shd w:val="clear" w:color="auto" w:fill="auto"/>
            <w:vAlign w:val="center"/>
          </w:tcPr>
          <w:p w14:paraId="2692BBCD" w14:textId="6606E00A" w:rsidR="00C174DE" w:rsidRPr="00C174DE" w:rsidRDefault="00C174DE" w:rsidP="00751801">
            <w:pPr>
              <w:spacing w:after="0" w:line="240" w:lineRule="auto"/>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Total</w:t>
            </w:r>
          </w:p>
        </w:tc>
        <w:tc>
          <w:tcPr>
            <w:tcW w:w="1773" w:type="dxa"/>
            <w:tcBorders>
              <w:top w:val="nil"/>
              <w:left w:val="nil"/>
              <w:bottom w:val="single" w:sz="8" w:space="0" w:color="auto"/>
              <w:right w:val="nil"/>
            </w:tcBorders>
            <w:shd w:val="clear" w:color="auto" w:fill="auto"/>
            <w:vAlign w:val="center"/>
          </w:tcPr>
          <w:p w14:paraId="663B636A" w14:textId="4A8A50FF" w:rsidR="00C174DE" w:rsidRPr="00C174DE" w:rsidRDefault="00C174DE" w:rsidP="00751801">
            <w:pPr>
              <w:spacing w:after="0" w:line="240" w:lineRule="auto"/>
              <w:rPr>
                <w:rFonts w:ascii="Calibri" w:eastAsia="Times New Roman" w:hAnsi="Calibri" w:cs="Calibri"/>
                <w:color w:val="000000"/>
                <w:sz w:val="20"/>
                <w:szCs w:val="20"/>
              </w:rPr>
            </w:pPr>
          </w:p>
        </w:tc>
        <w:tc>
          <w:tcPr>
            <w:tcW w:w="990" w:type="dxa"/>
            <w:tcBorders>
              <w:top w:val="nil"/>
              <w:left w:val="nil"/>
              <w:bottom w:val="single" w:sz="8" w:space="0" w:color="auto"/>
              <w:right w:val="nil"/>
            </w:tcBorders>
            <w:shd w:val="clear" w:color="auto" w:fill="auto"/>
            <w:vAlign w:val="center"/>
          </w:tcPr>
          <w:p w14:paraId="0F61BF57" w14:textId="0B2C5384" w:rsidR="00C174DE" w:rsidRPr="00C174DE" w:rsidRDefault="00C174DE" w:rsidP="00751801">
            <w:pPr>
              <w:spacing w:after="0" w:line="240" w:lineRule="auto"/>
              <w:rPr>
                <w:rFonts w:ascii="Times New Roman" w:eastAsia="Times New Roman" w:hAnsi="Times New Roman" w:cs="Times New Roman"/>
                <w:b/>
                <w:bCs/>
                <w:color w:val="222222"/>
                <w:sz w:val="20"/>
                <w:szCs w:val="20"/>
              </w:rPr>
            </w:pPr>
            <w:r w:rsidRPr="00C174DE">
              <w:rPr>
                <w:rFonts w:ascii="Times New Roman" w:eastAsia="Times New Roman" w:hAnsi="Times New Roman" w:cs="Times New Roman"/>
                <w:b/>
                <w:bCs/>
                <w:color w:val="222222"/>
                <w:sz w:val="20"/>
                <w:szCs w:val="20"/>
              </w:rPr>
              <w:t>298</w:t>
            </w:r>
          </w:p>
        </w:tc>
        <w:tc>
          <w:tcPr>
            <w:tcW w:w="1260" w:type="dxa"/>
            <w:tcBorders>
              <w:top w:val="nil"/>
              <w:left w:val="nil"/>
              <w:bottom w:val="single" w:sz="8" w:space="0" w:color="auto"/>
              <w:right w:val="nil"/>
            </w:tcBorders>
            <w:shd w:val="clear" w:color="auto" w:fill="auto"/>
            <w:vAlign w:val="center"/>
            <w:hideMark/>
          </w:tcPr>
          <w:p w14:paraId="33F61A50" w14:textId="05106B9C" w:rsidR="00C174DE" w:rsidRPr="00C174DE" w:rsidRDefault="00C174DE" w:rsidP="00751801">
            <w:pPr>
              <w:spacing w:after="0" w:line="240" w:lineRule="auto"/>
              <w:rPr>
                <w:rFonts w:ascii="Calibri" w:eastAsia="Times New Roman" w:hAnsi="Calibri" w:cs="Calibri"/>
                <w:color w:val="000000"/>
                <w:sz w:val="20"/>
                <w:szCs w:val="20"/>
              </w:rPr>
            </w:pPr>
          </w:p>
        </w:tc>
      </w:tr>
    </w:tbl>
    <w:p w14:paraId="0C7E23EA" w14:textId="12FD51C9" w:rsidR="00532301" w:rsidRPr="00FE1DDB" w:rsidRDefault="00532301" w:rsidP="00FE1DDB">
      <w:pPr>
        <w:spacing w:after="0" w:line="240" w:lineRule="auto"/>
        <w:jc w:val="both"/>
        <w:rPr>
          <w:rFonts w:ascii="Times New Roman" w:hAnsi="Times New Roman" w:cs="Times New Roman"/>
          <w:sz w:val="24"/>
          <w:szCs w:val="24"/>
        </w:rPr>
      </w:pPr>
    </w:p>
    <w:p w14:paraId="4B4E3B15" w14:textId="233B70E5" w:rsidR="00BD2727" w:rsidRPr="00FE1DDB" w:rsidRDefault="00C42BE4" w:rsidP="00FE1DDB">
      <w:pPr>
        <w:spacing w:line="240" w:lineRule="auto"/>
        <w:rPr>
          <w:rFonts w:ascii="Times New Roman" w:hAnsi="Times New Roman" w:cs="Times New Roman"/>
          <w:sz w:val="24"/>
          <w:szCs w:val="24"/>
        </w:rPr>
      </w:pPr>
      <w:r w:rsidRPr="00FE1DDB">
        <w:rPr>
          <w:rFonts w:ascii="Times New Roman" w:hAnsi="Times New Roman" w:cs="Times New Roman"/>
          <w:b/>
          <w:sz w:val="24"/>
          <w:szCs w:val="24"/>
        </w:rPr>
        <w:t>Near-surface c</w:t>
      </w:r>
      <w:r w:rsidR="00EB68BC" w:rsidRPr="00FE1DDB">
        <w:rPr>
          <w:rFonts w:ascii="Times New Roman" w:hAnsi="Times New Roman" w:cs="Times New Roman"/>
          <w:b/>
          <w:sz w:val="24"/>
          <w:szCs w:val="24"/>
        </w:rPr>
        <w:t>hlorophyll</w:t>
      </w:r>
      <w:r w:rsidR="005B1459" w:rsidRPr="00FE1DDB">
        <w:rPr>
          <w:rFonts w:ascii="Times New Roman" w:hAnsi="Times New Roman" w:cs="Times New Roman"/>
          <w:b/>
          <w:sz w:val="24"/>
          <w:szCs w:val="24"/>
        </w:rPr>
        <w:t>-</w:t>
      </w:r>
      <w:r w:rsidR="00EB68BC" w:rsidRPr="00FE1DDB">
        <w:rPr>
          <w:rFonts w:ascii="Times New Roman" w:hAnsi="Times New Roman" w:cs="Times New Roman"/>
          <w:b/>
          <w:sz w:val="24"/>
          <w:szCs w:val="24"/>
        </w:rPr>
        <w:t>a</w:t>
      </w:r>
      <w:r w:rsidRPr="00FE1DDB">
        <w:rPr>
          <w:rFonts w:ascii="Times New Roman" w:hAnsi="Times New Roman" w:cs="Times New Roman"/>
          <w:b/>
          <w:sz w:val="24"/>
          <w:szCs w:val="24"/>
        </w:rPr>
        <w:t xml:space="preserve"> (Chl-a)</w:t>
      </w:r>
      <w:r w:rsidR="00EB68BC" w:rsidRPr="00FE1DDB">
        <w:rPr>
          <w:rFonts w:ascii="Times New Roman" w:hAnsi="Times New Roman" w:cs="Times New Roman"/>
          <w:b/>
          <w:sz w:val="24"/>
          <w:szCs w:val="24"/>
        </w:rPr>
        <w:t xml:space="preserve">: </w:t>
      </w:r>
      <w:r w:rsidR="00EB68BC" w:rsidRPr="00FE1DDB">
        <w:rPr>
          <w:rFonts w:ascii="Times New Roman" w:hAnsi="Times New Roman" w:cs="Times New Roman"/>
          <w:sz w:val="24"/>
          <w:szCs w:val="24"/>
        </w:rPr>
        <w:t>Chlorophyll</w:t>
      </w:r>
      <w:r w:rsidR="005C5F29" w:rsidRPr="00FE1DDB">
        <w:rPr>
          <w:rFonts w:ascii="Times New Roman" w:hAnsi="Times New Roman" w:cs="Times New Roman"/>
          <w:sz w:val="24"/>
          <w:szCs w:val="24"/>
        </w:rPr>
        <w:t>-a</w:t>
      </w:r>
      <w:r w:rsidR="00EB68BC" w:rsidRPr="00FE1DDB">
        <w:rPr>
          <w:rFonts w:ascii="Times New Roman" w:hAnsi="Times New Roman" w:cs="Times New Roman"/>
          <w:sz w:val="24"/>
          <w:szCs w:val="24"/>
        </w:rPr>
        <w:t xml:space="preserve"> concentrations in surface waters are an indication of the quantity of algae in the water.</w:t>
      </w:r>
      <w:r w:rsidR="00127213" w:rsidRPr="00FE1DDB">
        <w:rPr>
          <w:rFonts w:ascii="Times New Roman" w:hAnsi="Times New Roman" w:cs="Times New Roman"/>
          <w:sz w:val="24"/>
          <w:szCs w:val="24"/>
        </w:rPr>
        <w:t xml:space="preserve"> High concentrations of chlorophyll</w:t>
      </w:r>
      <w:r w:rsidR="005C5F29" w:rsidRPr="00FE1DDB">
        <w:rPr>
          <w:rFonts w:ascii="Times New Roman" w:hAnsi="Times New Roman" w:cs="Times New Roman"/>
          <w:sz w:val="24"/>
          <w:szCs w:val="24"/>
        </w:rPr>
        <w:t>-a</w:t>
      </w:r>
      <w:r w:rsidR="00127213" w:rsidRPr="00FE1DDB">
        <w:rPr>
          <w:rFonts w:ascii="Times New Roman" w:hAnsi="Times New Roman" w:cs="Times New Roman"/>
          <w:sz w:val="24"/>
          <w:szCs w:val="24"/>
        </w:rPr>
        <w:t xml:space="preserve">, often caused by nutrient enrichment, can indicate the presence of undesirable algal blooms, which may further </w:t>
      </w:r>
      <w:r w:rsidR="0082585B" w:rsidRPr="00FE1DDB">
        <w:rPr>
          <w:rFonts w:ascii="Times New Roman" w:hAnsi="Times New Roman" w:cs="Times New Roman"/>
          <w:sz w:val="24"/>
          <w:szCs w:val="24"/>
        </w:rPr>
        <w:t xml:space="preserve">reduce water quality by </w:t>
      </w:r>
      <w:r w:rsidR="008D23AD" w:rsidRPr="00FE1DDB">
        <w:rPr>
          <w:rFonts w:ascii="Times New Roman" w:hAnsi="Times New Roman" w:cs="Times New Roman"/>
          <w:sz w:val="24"/>
          <w:szCs w:val="24"/>
        </w:rPr>
        <w:t xml:space="preserve">increasing pH and </w:t>
      </w:r>
      <w:r w:rsidR="0082585B" w:rsidRPr="00FE1DDB">
        <w:rPr>
          <w:rFonts w:ascii="Times New Roman" w:hAnsi="Times New Roman" w:cs="Times New Roman"/>
          <w:sz w:val="24"/>
          <w:szCs w:val="24"/>
        </w:rPr>
        <w:t xml:space="preserve">decreasing water clarity. Also, the die-off of excess algae </w:t>
      </w:r>
      <w:r w:rsidR="00336FBC" w:rsidRPr="00FE1DDB">
        <w:rPr>
          <w:rFonts w:ascii="Times New Roman" w:hAnsi="Times New Roman" w:cs="Times New Roman"/>
          <w:sz w:val="24"/>
          <w:szCs w:val="24"/>
        </w:rPr>
        <w:t>can result in insufficient amounts of dissolved oxygen for fish and other aquatic life</w:t>
      </w:r>
      <w:r w:rsidR="0082585B" w:rsidRPr="00FE1DDB">
        <w:rPr>
          <w:rFonts w:ascii="Times New Roman" w:hAnsi="Times New Roman" w:cs="Times New Roman"/>
          <w:sz w:val="24"/>
          <w:szCs w:val="24"/>
        </w:rPr>
        <w:t>.</w:t>
      </w:r>
    </w:p>
    <w:p w14:paraId="1885020F" w14:textId="77777777" w:rsidR="00447BF3" w:rsidRDefault="0082585B" w:rsidP="00447BF3">
      <w:pPr>
        <w:spacing w:line="240" w:lineRule="auto"/>
        <w:rPr>
          <w:rFonts w:ascii="Times New Roman" w:hAnsi="Times New Roman" w:cs="Times New Roman"/>
          <w:sz w:val="24"/>
          <w:szCs w:val="24"/>
        </w:rPr>
      </w:pPr>
      <w:r w:rsidRPr="00FE1DDB">
        <w:rPr>
          <w:rFonts w:ascii="Times New Roman" w:hAnsi="Times New Roman" w:cs="Times New Roman"/>
          <w:sz w:val="24"/>
          <w:szCs w:val="24"/>
        </w:rPr>
        <w:lastRenderedPageBreak/>
        <w:t xml:space="preserve">Table </w:t>
      </w:r>
      <w:r w:rsidR="00914143" w:rsidRPr="00FE1DDB">
        <w:rPr>
          <w:rFonts w:ascii="Times New Roman" w:hAnsi="Times New Roman" w:cs="Times New Roman"/>
          <w:sz w:val="24"/>
          <w:szCs w:val="24"/>
        </w:rPr>
        <w:t>4.5</w:t>
      </w:r>
      <w:r w:rsidR="00751801">
        <w:rPr>
          <w:rFonts w:ascii="Times New Roman" w:hAnsi="Times New Roman" w:cs="Times New Roman"/>
          <w:sz w:val="24"/>
          <w:szCs w:val="24"/>
        </w:rPr>
        <w:t>-5</w:t>
      </w:r>
      <w:r w:rsidRPr="00FE1DDB">
        <w:rPr>
          <w:rFonts w:ascii="Times New Roman" w:hAnsi="Times New Roman" w:cs="Times New Roman"/>
          <w:sz w:val="24"/>
          <w:szCs w:val="24"/>
        </w:rPr>
        <w:t xml:space="preserve"> summarizes the ranges of chlorophyll</w:t>
      </w:r>
      <w:r w:rsidR="005C5F29" w:rsidRPr="00FE1DDB">
        <w:rPr>
          <w:rFonts w:ascii="Times New Roman" w:hAnsi="Times New Roman" w:cs="Times New Roman"/>
          <w:sz w:val="24"/>
          <w:szCs w:val="24"/>
        </w:rPr>
        <w:t>-</w:t>
      </w:r>
      <w:r w:rsidRPr="00FE1DDB">
        <w:rPr>
          <w:rFonts w:ascii="Times New Roman" w:hAnsi="Times New Roman" w:cs="Times New Roman"/>
          <w:sz w:val="24"/>
          <w:szCs w:val="24"/>
        </w:rPr>
        <w:t>a concentrations that the NCCA has established as thresholds for water quality classes in estuarine waters of the northeastern United States, the number of Virginia probabilistic stations falling within each class, and the estimated proporti</w:t>
      </w:r>
      <w:r w:rsidR="002D26C7" w:rsidRPr="00FE1DDB">
        <w:rPr>
          <w:rFonts w:ascii="Times New Roman" w:hAnsi="Times New Roman" w:cs="Times New Roman"/>
          <w:sz w:val="24"/>
          <w:szCs w:val="24"/>
        </w:rPr>
        <w:t>ons (with 95 percent</w:t>
      </w:r>
      <w:r w:rsidRPr="00FE1DDB">
        <w:rPr>
          <w:rFonts w:ascii="Times New Roman" w:hAnsi="Times New Roman" w:cs="Times New Roman"/>
          <w:sz w:val="24"/>
          <w:szCs w:val="24"/>
        </w:rPr>
        <w:t xml:space="preserve"> confidence intervals) of estuarine waters falling within</w:t>
      </w:r>
      <w:r w:rsidR="002D26C7" w:rsidRPr="00FE1DDB">
        <w:rPr>
          <w:rFonts w:ascii="Times New Roman" w:hAnsi="Times New Roman" w:cs="Times New Roman"/>
          <w:sz w:val="24"/>
          <w:szCs w:val="24"/>
        </w:rPr>
        <w:t xml:space="preserve"> each class. </w:t>
      </w:r>
    </w:p>
    <w:p w14:paraId="363404F6" w14:textId="28CB40E3" w:rsidR="00751801" w:rsidRPr="00447BF3" w:rsidRDefault="00751801" w:rsidP="00447BF3">
      <w:pPr>
        <w:spacing w:line="240" w:lineRule="auto"/>
        <w:rPr>
          <w:rFonts w:ascii="Times New Roman" w:hAnsi="Times New Roman" w:cs="Times New Roman"/>
          <w:sz w:val="24"/>
          <w:szCs w:val="24"/>
        </w:rPr>
      </w:pPr>
      <w:r w:rsidRPr="00751801">
        <w:rPr>
          <w:rFonts w:ascii="Times New Roman" w:hAnsi="Times New Roman" w:cs="Times New Roman"/>
          <w:color w:val="000000" w:themeColor="text1"/>
          <w:sz w:val="20"/>
        </w:rPr>
        <w:t xml:space="preserve">Table 4.5- </w:t>
      </w:r>
      <w:r w:rsidRPr="00751801">
        <w:rPr>
          <w:rFonts w:ascii="Times New Roman" w:hAnsi="Times New Roman" w:cs="Times New Roman"/>
          <w:i/>
          <w:color w:val="000000" w:themeColor="text1"/>
          <w:sz w:val="20"/>
        </w:rPr>
        <w:fldChar w:fldCharType="begin"/>
      </w:r>
      <w:r w:rsidRPr="00751801">
        <w:rPr>
          <w:rFonts w:ascii="Times New Roman" w:hAnsi="Times New Roman" w:cs="Times New Roman"/>
          <w:color w:val="000000" w:themeColor="text1"/>
          <w:sz w:val="20"/>
        </w:rPr>
        <w:instrText xml:space="preserve"> SEQ Table_4.5- \* ARABIC </w:instrText>
      </w:r>
      <w:r w:rsidRPr="00751801">
        <w:rPr>
          <w:rFonts w:ascii="Times New Roman" w:hAnsi="Times New Roman" w:cs="Times New Roman"/>
          <w:i/>
          <w:color w:val="000000" w:themeColor="text1"/>
          <w:sz w:val="20"/>
        </w:rPr>
        <w:fldChar w:fldCharType="separate"/>
      </w:r>
      <w:r w:rsidR="00FD11B1">
        <w:rPr>
          <w:rFonts w:ascii="Times New Roman" w:hAnsi="Times New Roman" w:cs="Times New Roman"/>
          <w:noProof/>
          <w:color w:val="000000" w:themeColor="text1"/>
          <w:sz w:val="20"/>
        </w:rPr>
        <w:t>5</w:t>
      </w:r>
      <w:r w:rsidRPr="00751801">
        <w:rPr>
          <w:rFonts w:ascii="Times New Roman" w:hAnsi="Times New Roman" w:cs="Times New Roman"/>
          <w:i/>
          <w:color w:val="000000" w:themeColor="text1"/>
          <w:sz w:val="20"/>
        </w:rPr>
        <w:fldChar w:fldCharType="end"/>
      </w:r>
      <w:r w:rsidRPr="00751801">
        <w:rPr>
          <w:rFonts w:ascii="Times New Roman" w:hAnsi="Times New Roman" w:cs="Times New Roman"/>
          <w:color w:val="000000" w:themeColor="text1"/>
          <w:sz w:val="20"/>
        </w:rPr>
        <w:t xml:space="preserve"> Surface Chlorophyll-a results compared to NCCA 2015 thresholds</w:t>
      </w:r>
      <w:r w:rsidR="008B0194">
        <w:rPr>
          <w:rFonts w:ascii="Times New Roman" w:hAnsi="Times New Roman" w:cs="Times New Roman"/>
          <w:color w:val="000000" w:themeColor="text1"/>
          <w:sz w:val="20"/>
        </w:rPr>
        <w:t xml:space="preserve">, </w:t>
      </w:r>
      <w:r w:rsidR="008B0194" w:rsidRPr="00247379">
        <w:rPr>
          <w:rFonts w:ascii="Times New Roman" w:hAnsi="Times New Roman" w:cs="Times New Roman"/>
          <w:color w:val="000000" w:themeColor="text1"/>
          <w:sz w:val="20"/>
          <w:szCs w:val="20"/>
        </w:rPr>
        <w:t>2015-2020</w:t>
      </w:r>
    </w:p>
    <w:tbl>
      <w:tblPr>
        <w:tblW w:w="6360" w:type="dxa"/>
        <w:tblLayout w:type="fixed"/>
        <w:tblLook w:val="04A0" w:firstRow="1" w:lastRow="0" w:firstColumn="1" w:lastColumn="0" w:noHBand="0" w:noVBand="1"/>
        <w:tblCaption w:val="Table 4.5- 5 Surface Chlorophyll-a results compared to NCCA 2015 thresholds"/>
        <w:tblDescription w:val="Table 4.5- 5 Surface Chlorophyll-a results compared to NCCA 2015 thresholds"/>
      </w:tblPr>
      <w:tblGrid>
        <w:gridCol w:w="2007"/>
        <w:gridCol w:w="1773"/>
        <w:gridCol w:w="990"/>
        <w:gridCol w:w="1590"/>
      </w:tblGrid>
      <w:tr w:rsidR="00751801" w:rsidRPr="00C174DE" w14:paraId="2F45FD97" w14:textId="77777777" w:rsidTr="00447BF3">
        <w:trPr>
          <w:trHeight w:val="317"/>
        </w:trPr>
        <w:tc>
          <w:tcPr>
            <w:tcW w:w="2007" w:type="dxa"/>
            <w:tcBorders>
              <w:top w:val="nil"/>
              <w:left w:val="nil"/>
              <w:bottom w:val="single" w:sz="12" w:space="0" w:color="111111"/>
              <w:right w:val="nil"/>
            </w:tcBorders>
            <w:shd w:val="clear" w:color="auto" w:fill="auto"/>
            <w:vAlign w:val="center"/>
          </w:tcPr>
          <w:p w14:paraId="019472C2" w14:textId="317E841F"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Chlorophyll-a Quality</w:t>
            </w:r>
          </w:p>
        </w:tc>
        <w:tc>
          <w:tcPr>
            <w:tcW w:w="1773" w:type="dxa"/>
            <w:tcBorders>
              <w:top w:val="nil"/>
              <w:left w:val="nil"/>
              <w:bottom w:val="single" w:sz="12" w:space="0" w:color="111111"/>
              <w:right w:val="nil"/>
            </w:tcBorders>
            <w:shd w:val="clear" w:color="auto" w:fill="auto"/>
            <w:vAlign w:val="center"/>
          </w:tcPr>
          <w:p w14:paraId="37031A86" w14:textId="5D9F5B7F"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Chlorophyll-a Range (µg/L)</w:t>
            </w:r>
          </w:p>
        </w:tc>
        <w:tc>
          <w:tcPr>
            <w:tcW w:w="990" w:type="dxa"/>
            <w:tcBorders>
              <w:top w:val="nil"/>
              <w:left w:val="nil"/>
              <w:bottom w:val="single" w:sz="12" w:space="0" w:color="111111"/>
              <w:right w:val="nil"/>
            </w:tcBorders>
            <w:shd w:val="clear" w:color="auto" w:fill="auto"/>
            <w:vAlign w:val="center"/>
          </w:tcPr>
          <w:p w14:paraId="0D1D5A4E" w14:textId="458606DB"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Stations</w:t>
            </w:r>
          </w:p>
        </w:tc>
        <w:tc>
          <w:tcPr>
            <w:tcW w:w="1590" w:type="dxa"/>
            <w:tcBorders>
              <w:top w:val="nil"/>
              <w:left w:val="nil"/>
              <w:bottom w:val="single" w:sz="12" w:space="0" w:color="111111"/>
              <w:right w:val="nil"/>
            </w:tcBorders>
            <w:shd w:val="clear" w:color="auto" w:fill="auto"/>
            <w:vAlign w:val="center"/>
          </w:tcPr>
          <w:p w14:paraId="3A1E1630" w14:textId="41C1D2BB"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Percentage</w:t>
            </w:r>
          </w:p>
        </w:tc>
      </w:tr>
      <w:tr w:rsidR="00751801" w:rsidRPr="00C174DE" w14:paraId="46F3EA68" w14:textId="77777777" w:rsidTr="00447BF3">
        <w:trPr>
          <w:trHeight w:val="317"/>
        </w:trPr>
        <w:tc>
          <w:tcPr>
            <w:tcW w:w="2007" w:type="dxa"/>
            <w:tcBorders>
              <w:top w:val="nil"/>
              <w:left w:val="nil"/>
              <w:bottom w:val="nil"/>
              <w:right w:val="nil"/>
            </w:tcBorders>
            <w:shd w:val="clear" w:color="auto" w:fill="auto"/>
            <w:vAlign w:val="center"/>
          </w:tcPr>
          <w:p w14:paraId="2B1E4EA4" w14:textId="43BE1B3D"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Good</w:t>
            </w:r>
          </w:p>
        </w:tc>
        <w:tc>
          <w:tcPr>
            <w:tcW w:w="1773" w:type="dxa"/>
            <w:tcBorders>
              <w:top w:val="nil"/>
              <w:left w:val="nil"/>
              <w:bottom w:val="nil"/>
              <w:right w:val="nil"/>
            </w:tcBorders>
            <w:shd w:val="clear" w:color="auto" w:fill="auto"/>
            <w:vAlign w:val="center"/>
          </w:tcPr>
          <w:p w14:paraId="44BBB9AD" w14:textId="1460C419"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&lt;</w:t>
            </w:r>
            <w:r>
              <w:rPr>
                <w:rFonts w:ascii="Times New Roman" w:hAnsi="Times New Roman" w:cs="Times New Roman"/>
                <w:sz w:val="20"/>
                <w:szCs w:val="24"/>
              </w:rPr>
              <w:t xml:space="preserve"> </w:t>
            </w:r>
            <w:r w:rsidRPr="00751801">
              <w:rPr>
                <w:rFonts w:ascii="Times New Roman" w:hAnsi="Times New Roman" w:cs="Times New Roman"/>
                <w:sz w:val="20"/>
                <w:szCs w:val="24"/>
              </w:rPr>
              <w:t>5 µg/L</w:t>
            </w:r>
          </w:p>
        </w:tc>
        <w:tc>
          <w:tcPr>
            <w:tcW w:w="990" w:type="dxa"/>
            <w:tcBorders>
              <w:top w:val="nil"/>
              <w:left w:val="nil"/>
              <w:bottom w:val="nil"/>
              <w:right w:val="nil"/>
            </w:tcBorders>
            <w:shd w:val="clear" w:color="auto" w:fill="auto"/>
            <w:vAlign w:val="center"/>
          </w:tcPr>
          <w:p w14:paraId="70CF025A" w14:textId="6258488B"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44</w:t>
            </w:r>
          </w:p>
        </w:tc>
        <w:tc>
          <w:tcPr>
            <w:tcW w:w="1590" w:type="dxa"/>
            <w:tcBorders>
              <w:top w:val="nil"/>
              <w:left w:val="nil"/>
              <w:bottom w:val="nil"/>
              <w:right w:val="nil"/>
            </w:tcBorders>
            <w:shd w:val="clear" w:color="auto" w:fill="auto"/>
            <w:vAlign w:val="center"/>
          </w:tcPr>
          <w:p w14:paraId="509A3519" w14:textId="6FE3F534"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14.77 ± 4.04</w:t>
            </w:r>
          </w:p>
        </w:tc>
      </w:tr>
      <w:tr w:rsidR="00751801" w:rsidRPr="00C174DE" w14:paraId="636F83E7" w14:textId="77777777" w:rsidTr="00447BF3">
        <w:trPr>
          <w:trHeight w:val="317"/>
        </w:trPr>
        <w:tc>
          <w:tcPr>
            <w:tcW w:w="2007" w:type="dxa"/>
            <w:tcBorders>
              <w:top w:val="single" w:sz="8" w:space="0" w:color="DDDDDD"/>
              <w:left w:val="nil"/>
              <w:bottom w:val="nil"/>
              <w:right w:val="nil"/>
            </w:tcBorders>
            <w:shd w:val="clear" w:color="auto" w:fill="auto"/>
            <w:vAlign w:val="center"/>
          </w:tcPr>
          <w:p w14:paraId="167467F5" w14:textId="1742BDA2"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Fair</w:t>
            </w:r>
          </w:p>
        </w:tc>
        <w:tc>
          <w:tcPr>
            <w:tcW w:w="1773" w:type="dxa"/>
            <w:tcBorders>
              <w:top w:val="single" w:sz="8" w:space="0" w:color="DDDDDD"/>
              <w:left w:val="nil"/>
              <w:bottom w:val="nil"/>
              <w:right w:val="nil"/>
            </w:tcBorders>
            <w:shd w:val="clear" w:color="auto" w:fill="auto"/>
            <w:vAlign w:val="center"/>
          </w:tcPr>
          <w:p w14:paraId="0AC4E31F" w14:textId="7AFF33D7" w:rsidR="00751801" w:rsidRPr="00C174DE" w:rsidRDefault="00751801" w:rsidP="00751801">
            <w:pPr>
              <w:spacing w:after="0" w:line="240" w:lineRule="auto"/>
              <w:rPr>
                <w:rFonts w:ascii="Times New Roman" w:eastAsia="Times New Roman" w:hAnsi="Times New Roman" w:cs="Times New Roman"/>
                <w:color w:val="222222"/>
                <w:sz w:val="20"/>
                <w:szCs w:val="20"/>
              </w:rPr>
            </w:pPr>
            <w:r>
              <w:rPr>
                <w:rFonts w:ascii="Times New Roman" w:hAnsi="Times New Roman" w:cs="Times New Roman"/>
                <w:sz w:val="20"/>
                <w:szCs w:val="24"/>
              </w:rPr>
              <w:t xml:space="preserve">&gt;5 and </w:t>
            </w:r>
            <w:r w:rsidRPr="00751801">
              <w:rPr>
                <w:rFonts w:ascii="Times New Roman" w:hAnsi="Times New Roman" w:cs="Times New Roman"/>
                <w:sz w:val="20"/>
                <w:szCs w:val="24"/>
                <w:u w:val="single"/>
              </w:rPr>
              <w:t>&lt;</w:t>
            </w:r>
            <w:r>
              <w:rPr>
                <w:rFonts w:ascii="Times New Roman" w:hAnsi="Times New Roman" w:cs="Times New Roman"/>
                <w:sz w:val="20"/>
                <w:szCs w:val="24"/>
              </w:rPr>
              <w:t xml:space="preserve"> </w:t>
            </w:r>
            <w:r w:rsidRPr="00751801">
              <w:rPr>
                <w:rFonts w:ascii="Times New Roman" w:hAnsi="Times New Roman" w:cs="Times New Roman"/>
                <w:sz w:val="20"/>
                <w:szCs w:val="24"/>
              </w:rPr>
              <w:t>20 µg/L</w:t>
            </w:r>
          </w:p>
        </w:tc>
        <w:tc>
          <w:tcPr>
            <w:tcW w:w="990" w:type="dxa"/>
            <w:tcBorders>
              <w:top w:val="single" w:sz="8" w:space="0" w:color="DDDDDD"/>
              <w:left w:val="nil"/>
              <w:bottom w:val="nil"/>
              <w:right w:val="nil"/>
            </w:tcBorders>
            <w:shd w:val="clear" w:color="auto" w:fill="auto"/>
            <w:vAlign w:val="center"/>
          </w:tcPr>
          <w:p w14:paraId="3E49C9D2" w14:textId="04CC6E91"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216</w:t>
            </w:r>
          </w:p>
        </w:tc>
        <w:tc>
          <w:tcPr>
            <w:tcW w:w="1590" w:type="dxa"/>
            <w:tcBorders>
              <w:top w:val="single" w:sz="8" w:space="0" w:color="DDDDDD"/>
              <w:left w:val="nil"/>
              <w:bottom w:val="nil"/>
              <w:right w:val="nil"/>
            </w:tcBorders>
            <w:shd w:val="clear" w:color="auto" w:fill="auto"/>
            <w:vAlign w:val="center"/>
          </w:tcPr>
          <w:p w14:paraId="2FD0418D" w14:textId="31BA54DE"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72.48 ± 5.09</w:t>
            </w:r>
          </w:p>
        </w:tc>
      </w:tr>
      <w:tr w:rsidR="00751801" w:rsidRPr="00C174DE" w14:paraId="36C32DFC" w14:textId="77777777" w:rsidTr="00447BF3">
        <w:trPr>
          <w:trHeight w:val="317"/>
        </w:trPr>
        <w:tc>
          <w:tcPr>
            <w:tcW w:w="2007" w:type="dxa"/>
            <w:tcBorders>
              <w:top w:val="single" w:sz="8" w:space="0" w:color="DDDDDD"/>
              <w:left w:val="nil"/>
              <w:bottom w:val="single" w:sz="8" w:space="0" w:color="auto"/>
              <w:right w:val="nil"/>
            </w:tcBorders>
            <w:shd w:val="clear" w:color="auto" w:fill="auto"/>
            <w:vAlign w:val="center"/>
          </w:tcPr>
          <w:p w14:paraId="48243246" w14:textId="54569839"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Poor</w:t>
            </w:r>
          </w:p>
        </w:tc>
        <w:tc>
          <w:tcPr>
            <w:tcW w:w="1773" w:type="dxa"/>
            <w:tcBorders>
              <w:top w:val="single" w:sz="8" w:space="0" w:color="DDDDDD"/>
              <w:left w:val="nil"/>
              <w:bottom w:val="single" w:sz="8" w:space="0" w:color="auto"/>
              <w:right w:val="nil"/>
            </w:tcBorders>
            <w:shd w:val="clear" w:color="auto" w:fill="auto"/>
            <w:vAlign w:val="center"/>
          </w:tcPr>
          <w:p w14:paraId="2FA97CD9" w14:textId="191A98CD"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&gt;20 µg/L</w:t>
            </w:r>
          </w:p>
        </w:tc>
        <w:tc>
          <w:tcPr>
            <w:tcW w:w="990" w:type="dxa"/>
            <w:tcBorders>
              <w:top w:val="single" w:sz="8" w:space="0" w:color="DDDDDD"/>
              <w:left w:val="nil"/>
              <w:bottom w:val="single" w:sz="8" w:space="0" w:color="auto"/>
              <w:right w:val="nil"/>
            </w:tcBorders>
            <w:shd w:val="clear" w:color="auto" w:fill="auto"/>
            <w:vAlign w:val="center"/>
          </w:tcPr>
          <w:p w14:paraId="14276D5F" w14:textId="2C64BF00"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38</w:t>
            </w:r>
          </w:p>
        </w:tc>
        <w:tc>
          <w:tcPr>
            <w:tcW w:w="1590" w:type="dxa"/>
            <w:tcBorders>
              <w:top w:val="single" w:sz="8" w:space="0" w:color="DDDDDD"/>
              <w:left w:val="nil"/>
              <w:bottom w:val="single" w:sz="8" w:space="0" w:color="auto"/>
              <w:right w:val="nil"/>
            </w:tcBorders>
            <w:shd w:val="clear" w:color="auto" w:fill="auto"/>
            <w:vAlign w:val="center"/>
          </w:tcPr>
          <w:p w14:paraId="479B9580" w14:textId="30002444"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hAnsi="Times New Roman" w:cs="Times New Roman"/>
                <w:sz w:val="20"/>
                <w:szCs w:val="24"/>
              </w:rPr>
              <w:t>12.75 ± 3.8</w:t>
            </w:r>
          </w:p>
        </w:tc>
      </w:tr>
      <w:tr w:rsidR="00751801" w:rsidRPr="00C174DE" w14:paraId="0991BCA4" w14:textId="77777777" w:rsidTr="00447BF3">
        <w:trPr>
          <w:trHeight w:val="317"/>
        </w:trPr>
        <w:tc>
          <w:tcPr>
            <w:tcW w:w="2007" w:type="dxa"/>
            <w:tcBorders>
              <w:top w:val="nil"/>
              <w:left w:val="nil"/>
              <w:bottom w:val="single" w:sz="8" w:space="0" w:color="auto"/>
              <w:right w:val="nil"/>
            </w:tcBorders>
            <w:shd w:val="clear" w:color="auto" w:fill="auto"/>
            <w:vAlign w:val="center"/>
          </w:tcPr>
          <w:p w14:paraId="78C7F842" w14:textId="107C0033" w:rsidR="00751801" w:rsidRPr="00C174DE" w:rsidRDefault="00751801" w:rsidP="00751801">
            <w:pPr>
              <w:spacing w:after="0" w:line="240" w:lineRule="auto"/>
              <w:rPr>
                <w:rFonts w:ascii="Times New Roman" w:eastAsia="Times New Roman" w:hAnsi="Times New Roman" w:cs="Times New Roman"/>
                <w:b/>
                <w:bCs/>
                <w:color w:val="222222"/>
                <w:sz w:val="20"/>
                <w:szCs w:val="20"/>
              </w:rPr>
            </w:pPr>
            <w:r w:rsidRPr="00751801">
              <w:rPr>
                <w:rFonts w:ascii="Times New Roman" w:hAnsi="Times New Roman" w:cs="Times New Roman"/>
                <w:b/>
                <w:sz w:val="20"/>
                <w:szCs w:val="24"/>
              </w:rPr>
              <w:t>Total</w:t>
            </w:r>
          </w:p>
        </w:tc>
        <w:tc>
          <w:tcPr>
            <w:tcW w:w="1773" w:type="dxa"/>
            <w:tcBorders>
              <w:top w:val="nil"/>
              <w:left w:val="nil"/>
              <w:bottom w:val="single" w:sz="8" w:space="0" w:color="auto"/>
              <w:right w:val="nil"/>
            </w:tcBorders>
            <w:shd w:val="clear" w:color="auto" w:fill="auto"/>
            <w:vAlign w:val="center"/>
          </w:tcPr>
          <w:p w14:paraId="2A8BE268" w14:textId="77777777" w:rsidR="00751801" w:rsidRPr="00C174DE" w:rsidRDefault="00751801" w:rsidP="00751801">
            <w:pPr>
              <w:spacing w:after="0" w:line="240" w:lineRule="auto"/>
              <w:rPr>
                <w:rFonts w:ascii="Calibri" w:eastAsia="Times New Roman" w:hAnsi="Calibri" w:cs="Calibri"/>
                <w:b/>
                <w:color w:val="000000"/>
                <w:sz w:val="20"/>
                <w:szCs w:val="20"/>
              </w:rPr>
            </w:pPr>
          </w:p>
        </w:tc>
        <w:tc>
          <w:tcPr>
            <w:tcW w:w="990" w:type="dxa"/>
            <w:tcBorders>
              <w:top w:val="nil"/>
              <w:left w:val="nil"/>
              <w:bottom w:val="single" w:sz="8" w:space="0" w:color="auto"/>
              <w:right w:val="nil"/>
            </w:tcBorders>
            <w:shd w:val="clear" w:color="auto" w:fill="auto"/>
            <w:vAlign w:val="center"/>
          </w:tcPr>
          <w:p w14:paraId="53796EF2" w14:textId="0020608D" w:rsidR="00751801" w:rsidRPr="00C174DE" w:rsidRDefault="00751801" w:rsidP="00751801">
            <w:pPr>
              <w:spacing w:after="0" w:line="240" w:lineRule="auto"/>
              <w:rPr>
                <w:rFonts w:ascii="Times New Roman" w:eastAsia="Times New Roman" w:hAnsi="Times New Roman" w:cs="Times New Roman"/>
                <w:b/>
                <w:bCs/>
                <w:color w:val="222222"/>
                <w:sz w:val="20"/>
                <w:szCs w:val="20"/>
              </w:rPr>
            </w:pPr>
            <w:r w:rsidRPr="00751801">
              <w:rPr>
                <w:rFonts w:ascii="Times New Roman" w:hAnsi="Times New Roman" w:cs="Times New Roman"/>
                <w:b/>
                <w:sz w:val="20"/>
                <w:szCs w:val="24"/>
              </w:rPr>
              <w:t>298</w:t>
            </w:r>
          </w:p>
        </w:tc>
        <w:tc>
          <w:tcPr>
            <w:tcW w:w="1590" w:type="dxa"/>
            <w:tcBorders>
              <w:top w:val="nil"/>
              <w:left w:val="nil"/>
              <w:bottom w:val="single" w:sz="8" w:space="0" w:color="auto"/>
              <w:right w:val="nil"/>
            </w:tcBorders>
            <w:shd w:val="clear" w:color="auto" w:fill="auto"/>
            <w:vAlign w:val="center"/>
          </w:tcPr>
          <w:p w14:paraId="74A21878" w14:textId="3F68BB86" w:rsidR="00751801" w:rsidRPr="00C174DE" w:rsidRDefault="00751801" w:rsidP="00751801">
            <w:pPr>
              <w:spacing w:after="0" w:line="240" w:lineRule="auto"/>
              <w:rPr>
                <w:rFonts w:ascii="Calibri" w:eastAsia="Times New Roman" w:hAnsi="Calibri" w:cs="Calibri"/>
                <w:color w:val="000000"/>
                <w:sz w:val="20"/>
                <w:szCs w:val="20"/>
              </w:rPr>
            </w:pPr>
          </w:p>
        </w:tc>
      </w:tr>
    </w:tbl>
    <w:p w14:paraId="36ABDE50" w14:textId="0BE34934" w:rsidR="00532301" w:rsidRPr="00FE1DDB" w:rsidRDefault="00532301" w:rsidP="00FE1DDB">
      <w:pPr>
        <w:spacing w:after="0" w:line="240" w:lineRule="auto"/>
        <w:jc w:val="both"/>
        <w:rPr>
          <w:rFonts w:ascii="Times New Roman" w:hAnsi="Times New Roman" w:cs="Times New Roman"/>
          <w:b/>
          <w:sz w:val="24"/>
          <w:szCs w:val="24"/>
        </w:rPr>
      </w:pPr>
    </w:p>
    <w:p w14:paraId="133D633B" w14:textId="401E2661" w:rsidR="00BD2727" w:rsidRPr="00FE1DDB" w:rsidRDefault="00C42BE4"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 xml:space="preserve">Near-bottom dissolved </w:t>
      </w:r>
      <w:r w:rsidR="00D327C2" w:rsidRPr="00FE1DDB">
        <w:rPr>
          <w:rFonts w:ascii="Times New Roman" w:hAnsi="Times New Roman" w:cs="Times New Roman"/>
          <w:b/>
          <w:sz w:val="24"/>
          <w:szCs w:val="24"/>
        </w:rPr>
        <w:t>o</w:t>
      </w:r>
      <w:r w:rsidRPr="00FE1DDB">
        <w:rPr>
          <w:rFonts w:ascii="Times New Roman" w:hAnsi="Times New Roman" w:cs="Times New Roman"/>
          <w:b/>
          <w:sz w:val="24"/>
          <w:szCs w:val="24"/>
        </w:rPr>
        <w:t>xygen (DO):</w:t>
      </w:r>
      <w:r w:rsidRPr="00FE1DDB">
        <w:rPr>
          <w:rFonts w:ascii="Times New Roman" w:hAnsi="Times New Roman" w:cs="Times New Roman"/>
          <w:sz w:val="24"/>
          <w:szCs w:val="24"/>
        </w:rPr>
        <w:t xml:space="preserve"> </w:t>
      </w:r>
      <w:r w:rsidR="002E037A" w:rsidRPr="00FE1DDB">
        <w:rPr>
          <w:rFonts w:ascii="Times New Roman" w:hAnsi="Times New Roman" w:cs="Times New Roman"/>
          <w:sz w:val="24"/>
          <w:szCs w:val="24"/>
        </w:rPr>
        <w:t>Acceptable</w:t>
      </w:r>
      <w:r w:rsidR="001E0B8E" w:rsidRPr="00FE1DDB">
        <w:rPr>
          <w:rFonts w:ascii="Times New Roman" w:hAnsi="Times New Roman" w:cs="Times New Roman"/>
          <w:sz w:val="24"/>
          <w:szCs w:val="24"/>
        </w:rPr>
        <w:t xml:space="preserve"> dissolved </w:t>
      </w:r>
      <w:r w:rsidR="00D327C2" w:rsidRPr="00FE1DDB">
        <w:rPr>
          <w:rFonts w:ascii="Times New Roman" w:hAnsi="Times New Roman" w:cs="Times New Roman"/>
          <w:sz w:val="24"/>
          <w:szCs w:val="24"/>
        </w:rPr>
        <w:t>o</w:t>
      </w:r>
      <w:r w:rsidR="001E0B8E" w:rsidRPr="00FE1DDB">
        <w:rPr>
          <w:rFonts w:ascii="Times New Roman" w:hAnsi="Times New Roman" w:cs="Times New Roman"/>
          <w:sz w:val="24"/>
          <w:szCs w:val="24"/>
        </w:rPr>
        <w:t>xygen concentrations are crucial for th</w:t>
      </w:r>
      <w:r w:rsidR="002E037A" w:rsidRPr="00FE1DDB">
        <w:rPr>
          <w:rFonts w:ascii="Times New Roman" w:hAnsi="Times New Roman" w:cs="Times New Roman"/>
          <w:sz w:val="24"/>
          <w:szCs w:val="24"/>
        </w:rPr>
        <w:t xml:space="preserve">e survival of all aquatic </w:t>
      </w:r>
      <w:r w:rsidR="00971F3D">
        <w:rPr>
          <w:rFonts w:ascii="Times New Roman" w:hAnsi="Times New Roman" w:cs="Times New Roman"/>
          <w:sz w:val="24"/>
          <w:szCs w:val="24"/>
        </w:rPr>
        <w:t xml:space="preserve">organisms. </w:t>
      </w:r>
      <w:r w:rsidR="001E0B8E" w:rsidRPr="00FE1DDB">
        <w:rPr>
          <w:rFonts w:ascii="Times New Roman" w:hAnsi="Times New Roman" w:cs="Times New Roman"/>
          <w:sz w:val="24"/>
          <w:szCs w:val="24"/>
        </w:rPr>
        <w:t>Near bottom d</w:t>
      </w:r>
      <w:r w:rsidR="00B632EA" w:rsidRPr="00FE1DDB">
        <w:rPr>
          <w:rFonts w:ascii="Times New Roman" w:hAnsi="Times New Roman" w:cs="Times New Roman"/>
          <w:sz w:val="24"/>
          <w:szCs w:val="24"/>
        </w:rPr>
        <w:t xml:space="preserve">issolved Oxygen concentrations </w:t>
      </w:r>
      <w:r w:rsidR="001E0B8E" w:rsidRPr="00FE1DDB">
        <w:rPr>
          <w:rFonts w:ascii="Times New Roman" w:hAnsi="Times New Roman" w:cs="Times New Roman"/>
          <w:sz w:val="24"/>
          <w:szCs w:val="24"/>
        </w:rPr>
        <w:t>are considered critical for two reasons. First, near-bottom concentrations are almost always the minimum concentrations in the DO surface</w:t>
      </w:r>
      <w:r w:rsidR="005132F9" w:rsidRPr="00FE1DDB">
        <w:rPr>
          <w:rFonts w:ascii="Times New Roman" w:hAnsi="Times New Roman" w:cs="Times New Roman"/>
          <w:sz w:val="24"/>
          <w:szCs w:val="24"/>
        </w:rPr>
        <w:t>-</w:t>
      </w:r>
      <w:r w:rsidR="001E0B8E" w:rsidRPr="00FE1DDB">
        <w:rPr>
          <w:rFonts w:ascii="Times New Roman" w:hAnsi="Times New Roman" w:cs="Times New Roman"/>
          <w:sz w:val="24"/>
          <w:szCs w:val="24"/>
        </w:rPr>
        <w:t>to</w:t>
      </w:r>
      <w:r w:rsidR="005132F9" w:rsidRPr="00FE1DDB">
        <w:rPr>
          <w:rFonts w:ascii="Times New Roman" w:hAnsi="Times New Roman" w:cs="Times New Roman"/>
          <w:sz w:val="24"/>
          <w:szCs w:val="24"/>
        </w:rPr>
        <w:t>-</w:t>
      </w:r>
      <w:r w:rsidR="001E0B8E" w:rsidRPr="00FE1DDB">
        <w:rPr>
          <w:rFonts w:ascii="Times New Roman" w:hAnsi="Times New Roman" w:cs="Times New Roman"/>
          <w:sz w:val="24"/>
          <w:szCs w:val="24"/>
        </w:rPr>
        <w:t xml:space="preserve">bottom profile, and second, they represent the Oxygen available </w:t>
      </w:r>
      <w:r w:rsidR="00210C13" w:rsidRPr="00FE1DDB">
        <w:rPr>
          <w:rFonts w:ascii="Times New Roman" w:hAnsi="Times New Roman" w:cs="Times New Roman"/>
          <w:sz w:val="24"/>
          <w:szCs w:val="24"/>
        </w:rPr>
        <w:t xml:space="preserve">to the community of </w:t>
      </w:r>
      <w:r w:rsidR="006D7E63" w:rsidRPr="00FE1DDB">
        <w:rPr>
          <w:rFonts w:ascii="Times New Roman" w:hAnsi="Times New Roman" w:cs="Times New Roman"/>
          <w:sz w:val="24"/>
          <w:szCs w:val="24"/>
        </w:rPr>
        <w:t xml:space="preserve">relatively sessile </w:t>
      </w:r>
      <w:r w:rsidR="00210C13" w:rsidRPr="00FE1DDB">
        <w:rPr>
          <w:rFonts w:ascii="Times New Roman" w:hAnsi="Times New Roman" w:cs="Times New Roman"/>
          <w:sz w:val="24"/>
          <w:szCs w:val="24"/>
        </w:rPr>
        <w:t xml:space="preserve">benthic organisms which </w:t>
      </w:r>
      <w:r w:rsidR="005132F9" w:rsidRPr="00FE1DDB">
        <w:rPr>
          <w:rFonts w:ascii="Times New Roman" w:hAnsi="Times New Roman" w:cs="Times New Roman"/>
          <w:sz w:val="24"/>
          <w:szCs w:val="24"/>
        </w:rPr>
        <w:t xml:space="preserve">are </w:t>
      </w:r>
      <w:r w:rsidR="006D7E63" w:rsidRPr="00FE1DDB">
        <w:rPr>
          <w:rFonts w:ascii="Times New Roman" w:hAnsi="Times New Roman" w:cs="Times New Roman"/>
          <w:sz w:val="24"/>
          <w:szCs w:val="24"/>
        </w:rPr>
        <w:t xml:space="preserve">often </w:t>
      </w:r>
      <w:r w:rsidR="00210C13" w:rsidRPr="00FE1DDB">
        <w:rPr>
          <w:rFonts w:ascii="Times New Roman" w:hAnsi="Times New Roman" w:cs="Times New Roman"/>
          <w:sz w:val="24"/>
          <w:szCs w:val="24"/>
        </w:rPr>
        <w:t>used for further characterizations of the</w:t>
      </w:r>
      <w:r w:rsidR="006D7E63" w:rsidRPr="00FE1DDB">
        <w:rPr>
          <w:rFonts w:ascii="Times New Roman" w:hAnsi="Times New Roman" w:cs="Times New Roman"/>
          <w:sz w:val="24"/>
          <w:szCs w:val="24"/>
        </w:rPr>
        <w:t xml:space="preserve"> ecological condition of aquatic</w:t>
      </w:r>
      <w:r w:rsidR="00210C13" w:rsidRPr="00FE1DDB">
        <w:rPr>
          <w:rFonts w:ascii="Times New Roman" w:hAnsi="Times New Roman" w:cs="Times New Roman"/>
          <w:sz w:val="24"/>
          <w:szCs w:val="24"/>
        </w:rPr>
        <w:t xml:space="preserve"> sites.</w:t>
      </w:r>
    </w:p>
    <w:p w14:paraId="696C0C33" w14:textId="77777777" w:rsidR="00015630" w:rsidRPr="00FE1DDB" w:rsidRDefault="00015630" w:rsidP="00FE1DDB">
      <w:pPr>
        <w:spacing w:after="0" w:line="240" w:lineRule="auto"/>
        <w:rPr>
          <w:rFonts w:ascii="Times New Roman" w:hAnsi="Times New Roman" w:cs="Times New Roman"/>
          <w:sz w:val="24"/>
          <w:szCs w:val="24"/>
        </w:rPr>
      </w:pPr>
    </w:p>
    <w:p w14:paraId="711CDDA9" w14:textId="2C8785C8" w:rsidR="00015630" w:rsidRDefault="00015630"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Table </w:t>
      </w:r>
      <w:r w:rsidR="00914143" w:rsidRPr="00FE1DDB">
        <w:rPr>
          <w:rFonts w:ascii="Times New Roman" w:hAnsi="Times New Roman" w:cs="Times New Roman"/>
          <w:sz w:val="24"/>
          <w:szCs w:val="24"/>
        </w:rPr>
        <w:t>4.5</w:t>
      </w:r>
      <w:r w:rsidR="00751801">
        <w:rPr>
          <w:rFonts w:ascii="Times New Roman" w:hAnsi="Times New Roman" w:cs="Times New Roman"/>
          <w:sz w:val="24"/>
          <w:szCs w:val="24"/>
        </w:rPr>
        <w:t>-6</w:t>
      </w:r>
      <w:r w:rsidRPr="00FE1DDB">
        <w:rPr>
          <w:rFonts w:ascii="Times New Roman" w:hAnsi="Times New Roman" w:cs="Times New Roman"/>
          <w:sz w:val="24"/>
          <w:szCs w:val="24"/>
        </w:rPr>
        <w:t xml:space="preserve"> summarizes the ranges of bottom DO concentrations that the NCCA has established as thresholds for water quality classes in estuarine waters of the northeastern United States, the number of Virginia probabilistic stations falling within each class, and the</w:t>
      </w:r>
      <w:r w:rsidR="002D26C7" w:rsidRPr="00FE1DDB">
        <w:rPr>
          <w:rFonts w:ascii="Times New Roman" w:hAnsi="Times New Roman" w:cs="Times New Roman"/>
          <w:sz w:val="24"/>
          <w:szCs w:val="24"/>
        </w:rPr>
        <w:t xml:space="preserve"> estimated proportions (with 95 percent</w:t>
      </w:r>
      <w:r w:rsidRPr="00FE1DDB">
        <w:rPr>
          <w:rFonts w:ascii="Times New Roman" w:hAnsi="Times New Roman" w:cs="Times New Roman"/>
          <w:sz w:val="24"/>
          <w:szCs w:val="24"/>
        </w:rPr>
        <w:t xml:space="preserve"> confidence intervals) of estuarine waters falling within each class.</w:t>
      </w:r>
      <w:r w:rsidR="002D26C7" w:rsidRPr="00FE1DDB">
        <w:rPr>
          <w:rFonts w:ascii="Times New Roman" w:hAnsi="Times New Roman" w:cs="Times New Roman"/>
          <w:sz w:val="24"/>
          <w:szCs w:val="24"/>
        </w:rPr>
        <w:t xml:space="preserve"> </w:t>
      </w:r>
    </w:p>
    <w:p w14:paraId="647F2FD9" w14:textId="099F8E17" w:rsidR="00751801" w:rsidRPr="00751801" w:rsidRDefault="00751801" w:rsidP="00447BF3">
      <w:pPr>
        <w:pStyle w:val="Caption"/>
        <w:spacing w:before="240"/>
        <w:rPr>
          <w:rFonts w:ascii="Times New Roman" w:hAnsi="Times New Roman" w:cs="Times New Roman"/>
          <w:i w:val="0"/>
          <w:color w:val="000000" w:themeColor="text1"/>
          <w:sz w:val="28"/>
          <w:szCs w:val="24"/>
        </w:rPr>
      </w:pPr>
      <w:r w:rsidRPr="00751801">
        <w:rPr>
          <w:rFonts w:ascii="Times New Roman" w:hAnsi="Times New Roman" w:cs="Times New Roman"/>
          <w:i w:val="0"/>
          <w:color w:val="000000" w:themeColor="text1"/>
          <w:sz w:val="20"/>
        </w:rPr>
        <w:t xml:space="preserve">Table 4.5- </w:t>
      </w:r>
      <w:r w:rsidRPr="00751801">
        <w:rPr>
          <w:rFonts w:ascii="Times New Roman" w:hAnsi="Times New Roman" w:cs="Times New Roman"/>
          <w:i w:val="0"/>
          <w:color w:val="000000" w:themeColor="text1"/>
          <w:sz w:val="20"/>
        </w:rPr>
        <w:fldChar w:fldCharType="begin"/>
      </w:r>
      <w:r w:rsidRPr="00751801">
        <w:rPr>
          <w:rFonts w:ascii="Times New Roman" w:hAnsi="Times New Roman" w:cs="Times New Roman"/>
          <w:i w:val="0"/>
          <w:color w:val="000000" w:themeColor="text1"/>
          <w:sz w:val="20"/>
        </w:rPr>
        <w:instrText xml:space="preserve"> SEQ Table_4.5- \* ARABIC </w:instrText>
      </w:r>
      <w:r w:rsidRPr="00751801">
        <w:rPr>
          <w:rFonts w:ascii="Times New Roman" w:hAnsi="Times New Roman" w:cs="Times New Roman"/>
          <w:i w:val="0"/>
          <w:color w:val="000000" w:themeColor="text1"/>
          <w:sz w:val="20"/>
        </w:rPr>
        <w:fldChar w:fldCharType="separate"/>
      </w:r>
      <w:r w:rsidR="00FD11B1">
        <w:rPr>
          <w:rFonts w:ascii="Times New Roman" w:hAnsi="Times New Roman" w:cs="Times New Roman"/>
          <w:i w:val="0"/>
          <w:noProof/>
          <w:color w:val="000000" w:themeColor="text1"/>
          <w:sz w:val="20"/>
        </w:rPr>
        <w:t>6</w:t>
      </w:r>
      <w:r w:rsidRPr="00751801">
        <w:rPr>
          <w:rFonts w:ascii="Times New Roman" w:hAnsi="Times New Roman" w:cs="Times New Roman"/>
          <w:i w:val="0"/>
          <w:color w:val="000000" w:themeColor="text1"/>
          <w:sz w:val="20"/>
        </w:rPr>
        <w:fldChar w:fldCharType="end"/>
      </w:r>
      <w:r w:rsidRPr="00751801">
        <w:rPr>
          <w:rFonts w:ascii="Times New Roman" w:hAnsi="Times New Roman" w:cs="Times New Roman"/>
          <w:i w:val="0"/>
          <w:color w:val="000000" w:themeColor="text1"/>
          <w:sz w:val="20"/>
        </w:rPr>
        <w:t xml:space="preserve"> Near bottom Dissolved Oxygen (DO) results compared to NCCA 2015 thresholds</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6360" w:type="dxa"/>
        <w:tblLayout w:type="fixed"/>
        <w:tblLook w:val="04A0" w:firstRow="1" w:lastRow="0" w:firstColumn="1" w:lastColumn="0" w:noHBand="0" w:noVBand="1"/>
        <w:tblCaption w:val="Table 4.5- 6 Near bottom Dissolved Oxygen (DO) results compared to NCCA 2015 thresholds."/>
        <w:tblDescription w:val="Table 4.5- 6 Near bottom Dissolved Oxygen (DO) results compared to NCCA 2015 thresholds."/>
      </w:tblPr>
      <w:tblGrid>
        <w:gridCol w:w="2007"/>
        <w:gridCol w:w="1773"/>
        <w:gridCol w:w="990"/>
        <w:gridCol w:w="1590"/>
      </w:tblGrid>
      <w:tr w:rsidR="00751801" w:rsidRPr="00751801" w14:paraId="6E4F4FAB" w14:textId="77777777" w:rsidTr="00447BF3">
        <w:trPr>
          <w:trHeight w:val="317"/>
        </w:trPr>
        <w:tc>
          <w:tcPr>
            <w:tcW w:w="2007" w:type="dxa"/>
            <w:tcBorders>
              <w:top w:val="nil"/>
              <w:left w:val="nil"/>
              <w:bottom w:val="single" w:sz="12" w:space="0" w:color="111111"/>
              <w:right w:val="nil"/>
            </w:tcBorders>
            <w:shd w:val="clear" w:color="auto" w:fill="auto"/>
            <w:vAlign w:val="center"/>
          </w:tcPr>
          <w:p w14:paraId="51BE6319" w14:textId="2E76DBC0" w:rsidR="00751801" w:rsidRPr="00C174DE" w:rsidRDefault="00751801" w:rsidP="00447BF3">
            <w:pPr>
              <w:spacing w:after="0" w:line="240" w:lineRule="auto"/>
              <w:jc w:val="both"/>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DO Quality</w:t>
            </w:r>
          </w:p>
        </w:tc>
        <w:tc>
          <w:tcPr>
            <w:tcW w:w="1773" w:type="dxa"/>
            <w:tcBorders>
              <w:top w:val="nil"/>
              <w:left w:val="nil"/>
              <w:bottom w:val="single" w:sz="12" w:space="0" w:color="111111"/>
              <w:right w:val="nil"/>
            </w:tcBorders>
            <w:shd w:val="clear" w:color="auto" w:fill="auto"/>
            <w:vAlign w:val="center"/>
          </w:tcPr>
          <w:p w14:paraId="0FEC9193" w14:textId="20D915A4" w:rsidR="00751801" w:rsidRPr="00C174DE" w:rsidRDefault="00751801" w:rsidP="00447BF3">
            <w:pPr>
              <w:spacing w:after="0" w:line="240" w:lineRule="auto"/>
              <w:jc w:val="both"/>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DO Range</w:t>
            </w:r>
          </w:p>
        </w:tc>
        <w:tc>
          <w:tcPr>
            <w:tcW w:w="990" w:type="dxa"/>
            <w:tcBorders>
              <w:top w:val="nil"/>
              <w:left w:val="nil"/>
              <w:bottom w:val="single" w:sz="12" w:space="0" w:color="111111"/>
              <w:right w:val="nil"/>
            </w:tcBorders>
            <w:shd w:val="clear" w:color="auto" w:fill="auto"/>
            <w:vAlign w:val="center"/>
          </w:tcPr>
          <w:p w14:paraId="01995F91" w14:textId="431FF398" w:rsidR="00751801" w:rsidRPr="00C174DE" w:rsidRDefault="00751801" w:rsidP="00447BF3">
            <w:pPr>
              <w:spacing w:after="0" w:line="240" w:lineRule="auto"/>
              <w:jc w:val="both"/>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Stations</w:t>
            </w:r>
          </w:p>
        </w:tc>
        <w:tc>
          <w:tcPr>
            <w:tcW w:w="1590" w:type="dxa"/>
            <w:tcBorders>
              <w:top w:val="nil"/>
              <w:left w:val="nil"/>
              <w:bottom w:val="single" w:sz="12" w:space="0" w:color="111111"/>
              <w:right w:val="nil"/>
            </w:tcBorders>
            <w:shd w:val="clear" w:color="auto" w:fill="auto"/>
            <w:vAlign w:val="center"/>
          </w:tcPr>
          <w:p w14:paraId="73F3E2C3" w14:textId="3BD0DED8" w:rsidR="00751801" w:rsidRPr="00C174DE" w:rsidRDefault="00751801" w:rsidP="00447BF3">
            <w:pPr>
              <w:spacing w:after="0" w:line="240" w:lineRule="auto"/>
              <w:jc w:val="both"/>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Percentage</w:t>
            </w:r>
          </w:p>
        </w:tc>
      </w:tr>
      <w:tr w:rsidR="00751801" w:rsidRPr="00C174DE" w14:paraId="2E9C7052" w14:textId="77777777" w:rsidTr="00447BF3">
        <w:trPr>
          <w:trHeight w:val="317"/>
        </w:trPr>
        <w:tc>
          <w:tcPr>
            <w:tcW w:w="2007" w:type="dxa"/>
            <w:tcBorders>
              <w:top w:val="nil"/>
              <w:left w:val="nil"/>
              <w:bottom w:val="nil"/>
              <w:right w:val="nil"/>
            </w:tcBorders>
            <w:shd w:val="clear" w:color="auto" w:fill="auto"/>
            <w:vAlign w:val="center"/>
          </w:tcPr>
          <w:p w14:paraId="73B05006" w14:textId="5701C907"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Good</w:t>
            </w:r>
          </w:p>
        </w:tc>
        <w:tc>
          <w:tcPr>
            <w:tcW w:w="1773" w:type="dxa"/>
            <w:tcBorders>
              <w:top w:val="nil"/>
              <w:left w:val="nil"/>
              <w:bottom w:val="nil"/>
              <w:right w:val="nil"/>
            </w:tcBorders>
            <w:shd w:val="clear" w:color="auto" w:fill="auto"/>
            <w:vAlign w:val="center"/>
          </w:tcPr>
          <w:p w14:paraId="4DFAEE97" w14:textId="7A89F319"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&gt; 5 mg/L</w:t>
            </w:r>
          </w:p>
        </w:tc>
        <w:tc>
          <w:tcPr>
            <w:tcW w:w="990" w:type="dxa"/>
            <w:tcBorders>
              <w:top w:val="nil"/>
              <w:left w:val="nil"/>
              <w:bottom w:val="nil"/>
              <w:right w:val="nil"/>
            </w:tcBorders>
            <w:shd w:val="clear" w:color="auto" w:fill="auto"/>
            <w:vAlign w:val="center"/>
          </w:tcPr>
          <w:p w14:paraId="2E9FECCD" w14:textId="193FF2F5"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243</w:t>
            </w:r>
          </w:p>
        </w:tc>
        <w:tc>
          <w:tcPr>
            <w:tcW w:w="1590" w:type="dxa"/>
            <w:tcBorders>
              <w:top w:val="nil"/>
              <w:left w:val="nil"/>
              <w:bottom w:val="nil"/>
              <w:right w:val="nil"/>
            </w:tcBorders>
            <w:shd w:val="clear" w:color="auto" w:fill="auto"/>
            <w:vAlign w:val="center"/>
          </w:tcPr>
          <w:p w14:paraId="484C3510" w14:textId="455851A2"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81.54 ± 4.42</w:t>
            </w:r>
          </w:p>
        </w:tc>
      </w:tr>
      <w:tr w:rsidR="00751801" w:rsidRPr="00C174DE" w14:paraId="2426BA02" w14:textId="77777777" w:rsidTr="00447BF3">
        <w:trPr>
          <w:trHeight w:val="317"/>
        </w:trPr>
        <w:tc>
          <w:tcPr>
            <w:tcW w:w="2007" w:type="dxa"/>
            <w:tcBorders>
              <w:top w:val="single" w:sz="8" w:space="0" w:color="DDDDDD"/>
              <w:left w:val="nil"/>
              <w:bottom w:val="nil"/>
              <w:right w:val="nil"/>
            </w:tcBorders>
            <w:shd w:val="clear" w:color="auto" w:fill="auto"/>
            <w:vAlign w:val="center"/>
          </w:tcPr>
          <w:p w14:paraId="428DB488" w14:textId="68408945"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Fair</w:t>
            </w:r>
          </w:p>
        </w:tc>
        <w:tc>
          <w:tcPr>
            <w:tcW w:w="1773" w:type="dxa"/>
            <w:tcBorders>
              <w:top w:val="single" w:sz="8" w:space="0" w:color="DDDDDD"/>
              <w:left w:val="nil"/>
              <w:bottom w:val="nil"/>
              <w:right w:val="nil"/>
            </w:tcBorders>
            <w:shd w:val="clear" w:color="auto" w:fill="auto"/>
            <w:vAlign w:val="center"/>
          </w:tcPr>
          <w:p w14:paraId="5153AED4" w14:textId="3F83085B"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u w:val="single"/>
              </w:rPr>
              <w:t>&gt;</w:t>
            </w:r>
            <w:r>
              <w:rPr>
                <w:rFonts w:ascii="Times New Roman" w:eastAsia="Times New Roman" w:hAnsi="Times New Roman" w:cs="Times New Roman"/>
                <w:color w:val="222222"/>
                <w:sz w:val="20"/>
                <w:szCs w:val="18"/>
              </w:rPr>
              <w:t xml:space="preserve"> </w:t>
            </w:r>
            <w:r w:rsidRPr="00751801">
              <w:rPr>
                <w:rFonts w:ascii="Times New Roman" w:eastAsia="Times New Roman" w:hAnsi="Times New Roman" w:cs="Times New Roman"/>
                <w:color w:val="222222"/>
                <w:sz w:val="20"/>
                <w:szCs w:val="18"/>
              </w:rPr>
              <w:t xml:space="preserve">2 </w:t>
            </w:r>
            <w:r>
              <w:rPr>
                <w:rFonts w:ascii="Times New Roman" w:eastAsia="Times New Roman" w:hAnsi="Times New Roman" w:cs="Times New Roman"/>
                <w:color w:val="222222"/>
                <w:sz w:val="20"/>
                <w:szCs w:val="18"/>
              </w:rPr>
              <w:t xml:space="preserve">and </w:t>
            </w:r>
            <w:r w:rsidRPr="00751801">
              <w:rPr>
                <w:rFonts w:ascii="Times New Roman" w:eastAsia="Times New Roman" w:hAnsi="Times New Roman" w:cs="Times New Roman"/>
                <w:color w:val="222222"/>
                <w:sz w:val="20"/>
                <w:szCs w:val="18"/>
                <w:u w:val="single"/>
              </w:rPr>
              <w:t>&lt;</w:t>
            </w:r>
            <w:r>
              <w:rPr>
                <w:rFonts w:ascii="Times New Roman" w:eastAsia="Times New Roman" w:hAnsi="Times New Roman" w:cs="Times New Roman"/>
                <w:color w:val="222222"/>
                <w:sz w:val="20"/>
                <w:szCs w:val="18"/>
              </w:rPr>
              <w:t xml:space="preserve"> </w:t>
            </w:r>
            <w:r w:rsidRPr="00751801">
              <w:rPr>
                <w:rFonts w:ascii="Times New Roman" w:eastAsia="Times New Roman" w:hAnsi="Times New Roman" w:cs="Times New Roman"/>
                <w:color w:val="222222"/>
                <w:sz w:val="20"/>
                <w:szCs w:val="18"/>
              </w:rPr>
              <w:t>5 mg/L</w:t>
            </w:r>
          </w:p>
        </w:tc>
        <w:tc>
          <w:tcPr>
            <w:tcW w:w="990" w:type="dxa"/>
            <w:tcBorders>
              <w:top w:val="single" w:sz="8" w:space="0" w:color="DDDDDD"/>
              <w:left w:val="nil"/>
              <w:bottom w:val="nil"/>
              <w:right w:val="nil"/>
            </w:tcBorders>
            <w:shd w:val="clear" w:color="auto" w:fill="auto"/>
            <w:vAlign w:val="center"/>
          </w:tcPr>
          <w:p w14:paraId="1266EAA9" w14:textId="1AF4124D"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48</w:t>
            </w:r>
          </w:p>
        </w:tc>
        <w:tc>
          <w:tcPr>
            <w:tcW w:w="1590" w:type="dxa"/>
            <w:tcBorders>
              <w:top w:val="single" w:sz="8" w:space="0" w:color="DDDDDD"/>
              <w:left w:val="nil"/>
              <w:bottom w:val="nil"/>
              <w:right w:val="nil"/>
            </w:tcBorders>
            <w:shd w:val="clear" w:color="auto" w:fill="auto"/>
            <w:vAlign w:val="center"/>
          </w:tcPr>
          <w:p w14:paraId="1145219A" w14:textId="206ECC19"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16.11 ± 4.19</w:t>
            </w:r>
          </w:p>
        </w:tc>
      </w:tr>
      <w:tr w:rsidR="00751801" w:rsidRPr="00C174DE" w14:paraId="47ED9CED" w14:textId="77777777" w:rsidTr="00447BF3">
        <w:trPr>
          <w:trHeight w:val="317"/>
        </w:trPr>
        <w:tc>
          <w:tcPr>
            <w:tcW w:w="2007" w:type="dxa"/>
            <w:tcBorders>
              <w:top w:val="single" w:sz="8" w:space="0" w:color="DDDDDD"/>
              <w:left w:val="nil"/>
              <w:bottom w:val="single" w:sz="8" w:space="0" w:color="auto"/>
              <w:right w:val="nil"/>
            </w:tcBorders>
            <w:shd w:val="clear" w:color="auto" w:fill="auto"/>
            <w:vAlign w:val="center"/>
          </w:tcPr>
          <w:p w14:paraId="7CBAA6E1" w14:textId="2B136F2A"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Poor</w:t>
            </w:r>
          </w:p>
        </w:tc>
        <w:tc>
          <w:tcPr>
            <w:tcW w:w="1773" w:type="dxa"/>
            <w:tcBorders>
              <w:top w:val="single" w:sz="8" w:space="0" w:color="DDDDDD"/>
              <w:left w:val="nil"/>
              <w:bottom w:val="single" w:sz="8" w:space="0" w:color="auto"/>
              <w:right w:val="nil"/>
            </w:tcBorders>
            <w:shd w:val="clear" w:color="auto" w:fill="auto"/>
            <w:vAlign w:val="center"/>
          </w:tcPr>
          <w:p w14:paraId="1FA102DF" w14:textId="239C5AE0"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&lt; 2 mg/L</w:t>
            </w:r>
          </w:p>
        </w:tc>
        <w:tc>
          <w:tcPr>
            <w:tcW w:w="990" w:type="dxa"/>
            <w:tcBorders>
              <w:top w:val="single" w:sz="8" w:space="0" w:color="DDDDDD"/>
              <w:left w:val="nil"/>
              <w:bottom w:val="single" w:sz="8" w:space="0" w:color="auto"/>
              <w:right w:val="nil"/>
            </w:tcBorders>
            <w:shd w:val="clear" w:color="auto" w:fill="auto"/>
            <w:vAlign w:val="center"/>
          </w:tcPr>
          <w:p w14:paraId="7EF7E5AC" w14:textId="40571B31"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7</w:t>
            </w:r>
          </w:p>
        </w:tc>
        <w:tc>
          <w:tcPr>
            <w:tcW w:w="1590" w:type="dxa"/>
            <w:tcBorders>
              <w:top w:val="single" w:sz="8" w:space="0" w:color="DDDDDD"/>
              <w:left w:val="nil"/>
              <w:bottom w:val="single" w:sz="8" w:space="0" w:color="auto"/>
              <w:right w:val="nil"/>
            </w:tcBorders>
            <w:shd w:val="clear" w:color="auto" w:fill="auto"/>
            <w:vAlign w:val="center"/>
          </w:tcPr>
          <w:p w14:paraId="0732EE53" w14:textId="68BAFC24" w:rsidR="00751801" w:rsidRPr="00C174DE" w:rsidRDefault="00751801" w:rsidP="00751801">
            <w:pPr>
              <w:spacing w:after="0" w:line="240" w:lineRule="auto"/>
              <w:rPr>
                <w:rFonts w:ascii="Times New Roman" w:eastAsia="Times New Roman" w:hAnsi="Times New Roman" w:cs="Times New Roman"/>
                <w:color w:val="222222"/>
                <w:sz w:val="20"/>
                <w:szCs w:val="20"/>
              </w:rPr>
            </w:pPr>
            <w:r w:rsidRPr="00751801">
              <w:rPr>
                <w:rFonts w:ascii="Times New Roman" w:eastAsia="Times New Roman" w:hAnsi="Times New Roman" w:cs="Times New Roman"/>
                <w:color w:val="222222"/>
                <w:sz w:val="20"/>
                <w:szCs w:val="18"/>
              </w:rPr>
              <w:t>2.35 ± 1.73</w:t>
            </w:r>
          </w:p>
        </w:tc>
      </w:tr>
      <w:tr w:rsidR="00751801" w:rsidRPr="00C174DE" w14:paraId="30E19706" w14:textId="77777777" w:rsidTr="00447BF3">
        <w:trPr>
          <w:trHeight w:val="317"/>
        </w:trPr>
        <w:tc>
          <w:tcPr>
            <w:tcW w:w="2007" w:type="dxa"/>
            <w:tcBorders>
              <w:top w:val="nil"/>
              <w:left w:val="nil"/>
              <w:bottom w:val="single" w:sz="8" w:space="0" w:color="auto"/>
              <w:right w:val="nil"/>
            </w:tcBorders>
            <w:shd w:val="clear" w:color="auto" w:fill="auto"/>
            <w:vAlign w:val="center"/>
          </w:tcPr>
          <w:p w14:paraId="01AA0179" w14:textId="6867ED02" w:rsidR="00751801" w:rsidRPr="00C174DE" w:rsidRDefault="00751801" w:rsidP="00751801">
            <w:pPr>
              <w:spacing w:after="0" w:line="240" w:lineRule="auto"/>
              <w:rPr>
                <w:rFonts w:ascii="Times New Roman" w:eastAsia="Times New Roman" w:hAnsi="Times New Roman" w:cs="Times New Roman"/>
                <w:b/>
                <w:bCs/>
                <w:color w:val="222222"/>
                <w:sz w:val="20"/>
                <w:szCs w:val="20"/>
              </w:rPr>
            </w:pPr>
            <w:r w:rsidRPr="00751801">
              <w:rPr>
                <w:rFonts w:ascii="Times New Roman" w:eastAsia="Times New Roman" w:hAnsi="Times New Roman" w:cs="Times New Roman"/>
                <w:b/>
                <w:bCs/>
                <w:color w:val="222222"/>
                <w:sz w:val="20"/>
                <w:szCs w:val="18"/>
              </w:rPr>
              <w:t>Total</w:t>
            </w:r>
          </w:p>
        </w:tc>
        <w:tc>
          <w:tcPr>
            <w:tcW w:w="1773" w:type="dxa"/>
            <w:tcBorders>
              <w:top w:val="nil"/>
              <w:left w:val="nil"/>
              <w:bottom w:val="single" w:sz="8" w:space="0" w:color="auto"/>
              <w:right w:val="nil"/>
            </w:tcBorders>
            <w:shd w:val="clear" w:color="auto" w:fill="auto"/>
            <w:vAlign w:val="center"/>
          </w:tcPr>
          <w:p w14:paraId="72073C78" w14:textId="77777777" w:rsidR="00751801" w:rsidRPr="00C174DE" w:rsidRDefault="00751801" w:rsidP="00751801">
            <w:pPr>
              <w:spacing w:after="0" w:line="240" w:lineRule="auto"/>
              <w:rPr>
                <w:rFonts w:ascii="Calibri" w:eastAsia="Times New Roman" w:hAnsi="Calibri" w:cs="Calibri"/>
                <w:b/>
                <w:color w:val="000000"/>
                <w:sz w:val="20"/>
                <w:szCs w:val="20"/>
              </w:rPr>
            </w:pPr>
          </w:p>
        </w:tc>
        <w:tc>
          <w:tcPr>
            <w:tcW w:w="990" w:type="dxa"/>
            <w:tcBorders>
              <w:top w:val="nil"/>
              <w:left w:val="nil"/>
              <w:bottom w:val="single" w:sz="8" w:space="0" w:color="auto"/>
              <w:right w:val="nil"/>
            </w:tcBorders>
            <w:shd w:val="clear" w:color="auto" w:fill="auto"/>
            <w:vAlign w:val="center"/>
          </w:tcPr>
          <w:p w14:paraId="1AA7CCAC" w14:textId="75FC5032" w:rsidR="00751801" w:rsidRPr="00C174DE" w:rsidRDefault="00751801" w:rsidP="00751801">
            <w:pPr>
              <w:spacing w:after="0" w:line="240" w:lineRule="auto"/>
              <w:rPr>
                <w:rFonts w:ascii="Times New Roman" w:eastAsia="Times New Roman" w:hAnsi="Times New Roman" w:cs="Times New Roman"/>
                <w:b/>
                <w:bCs/>
                <w:color w:val="222222"/>
                <w:sz w:val="20"/>
                <w:szCs w:val="20"/>
              </w:rPr>
            </w:pPr>
            <w:r w:rsidRPr="00751801">
              <w:rPr>
                <w:rFonts w:ascii="Times New Roman" w:eastAsia="Times New Roman" w:hAnsi="Times New Roman" w:cs="Times New Roman"/>
                <w:b/>
                <w:bCs/>
                <w:color w:val="222222"/>
                <w:sz w:val="20"/>
                <w:szCs w:val="18"/>
              </w:rPr>
              <w:t>298</w:t>
            </w:r>
          </w:p>
        </w:tc>
        <w:tc>
          <w:tcPr>
            <w:tcW w:w="1590" w:type="dxa"/>
            <w:tcBorders>
              <w:top w:val="nil"/>
              <w:left w:val="nil"/>
              <w:bottom w:val="single" w:sz="8" w:space="0" w:color="auto"/>
              <w:right w:val="nil"/>
            </w:tcBorders>
            <w:shd w:val="clear" w:color="auto" w:fill="auto"/>
            <w:vAlign w:val="center"/>
          </w:tcPr>
          <w:p w14:paraId="326391EA" w14:textId="77777777" w:rsidR="00751801" w:rsidRPr="00C174DE" w:rsidRDefault="00751801" w:rsidP="00751801">
            <w:pPr>
              <w:spacing w:after="0" w:line="240" w:lineRule="auto"/>
              <w:rPr>
                <w:rFonts w:ascii="Calibri" w:eastAsia="Times New Roman" w:hAnsi="Calibri" w:cs="Calibri"/>
                <w:color w:val="000000"/>
                <w:sz w:val="20"/>
                <w:szCs w:val="20"/>
              </w:rPr>
            </w:pPr>
          </w:p>
        </w:tc>
      </w:tr>
    </w:tbl>
    <w:p w14:paraId="667AE640" w14:textId="0E591664" w:rsidR="00751801" w:rsidRDefault="00751801" w:rsidP="00FE1DDB">
      <w:pPr>
        <w:spacing w:after="0" w:line="240" w:lineRule="auto"/>
        <w:rPr>
          <w:rFonts w:ascii="Times New Roman" w:hAnsi="Times New Roman" w:cs="Times New Roman"/>
          <w:sz w:val="24"/>
          <w:szCs w:val="24"/>
        </w:rPr>
      </w:pPr>
    </w:p>
    <w:p w14:paraId="648B04BB" w14:textId="77777777" w:rsidR="005563DB" w:rsidRPr="00FE1DDB" w:rsidRDefault="005563DB" w:rsidP="00FE1DDB">
      <w:pPr>
        <w:spacing w:after="0" w:line="240" w:lineRule="auto"/>
        <w:rPr>
          <w:rFonts w:ascii="Times New Roman" w:hAnsi="Times New Roman" w:cs="Times New Roman"/>
          <w:b/>
          <w:sz w:val="24"/>
          <w:szCs w:val="24"/>
        </w:rPr>
      </w:pPr>
    </w:p>
    <w:p w14:paraId="64812A36" w14:textId="5B629E78" w:rsidR="008B0194" w:rsidRDefault="001A2DD5" w:rsidP="008B0194">
      <w:pPr>
        <w:spacing w:line="240" w:lineRule="auto"/>
        <w:rPr>
          <w:rFonts w:ascii="Times New Roman" w:hAnsi="Times New Roman" w:cs="Times New Roman"/>
          <w:sz w:val="24"/>
          <w:szCs w:val="24"/>
        </w:rPr>
      </w:pPr>
      <w:r w:rsidRPr="00FE1DDB">
        <w:rPr>
          <w:rFonts w:ascii="Times New Roman" w:hAnsi="Times New Roman" w:cs="Times New Roman"/>
          <w:b/>
          <w:sz w:val="24"/>
          <w:szCs w:val="24"/>
        </w:rPr>
        <w:t>Water Clarity</w:t>
      </w:r>
      <w:r w:rsidR="00EE67CB" w:rsidRPr="00FE1DDB">
        <w:rPr>
          <w:rFonts w:ascii="Times New Roman" w:hAnsi="Times New Roman" w:cs="Times New Roman"/>
          <w:b/>
          <w:sz w:val="24"/>
          <w:szCs w:val="24"/>
        </w:rPr>
        <w:t xml:space="preserve"> (PAR)</w:t>
      </w:r>
      <w:r w:rsidRPr="00FE1DDB">
        <w:rPr>
          <w:rFonts w:ascii="Times New Roman" w:hAnsi="Times New Roman" w:cs="Times New Roman"/>
          <w:b/>
          <w:sz w:val="24"/>
          <w:szCs w:val="24"/>
        </w:rPr>
        <w:t>:</w:t>
      </w:r>
      <w:r w:rsidRPr="00FE1DDB">
        <w:rPr>
          <w:rFonts w:ascii="Times New Roman" w:hAnsi="Times New Roman" w:cs="Times New Roman"/>
          <w:sz w:val="24"/>
          <w:szCs w:val="24"/>
        </w:rPr>
        <w:t xml:space="preserve"> </w:t>
      </w:r>
      <w:r w:rsidR="00145E08" w:rsidRPr="007628DE">
        <w:rPr>
          <w:rFonts w:ascii="Times New Roman" w:hAnsi="Times New Roman" w:cs="Times New Roman"/>
          <w:sz w:val="24"/>
          <w:szCs w:val="24"/>
        </w:rPr>
        <w:t xml:space="preserve">Water clarity is considered an important element of water quality for several reasons. The availability of </w:t>
      </w:r>
      <w:r w:rsidR="00391FC5" w:rsidRPr="007628DE">
        <w:rPr>
          <w:rFonts w:ascii="Times New Roman" w:hAnsi="Times New Roman" w:cs="Times New Roman"/>
          <w:sz w:val="24"/>
          <w:szCs w:val="24"/>
        </w:rPr>
        <w:t xml:space="preserve">adequate </w:t>
      </w:r>
      <w:r w:rsidR="00145E08" w:rsidRPr="007628DE">
        <w:rPr>
          <w:rFonts w:ascii="Times New Roman" w:hAnsi="Times New Roman" w:cs="Times New Roman"/>
          <w:sz w:val="24"/>
          <w:szCs w:val="24"/>
        </w:rPr>
        <w:t xml:space="preserve">photosynthetically active radiation (PAR), to a depth of at least 2.0 meters, is a necessity for </w:t>
      </w:r>
      <w:r w:rsidR="00B56CAB" w:rsidRPr="007628DE">
        <w:rPr>
          <w:rFonts w:ascii="Times New Roman" w:hAnsi="Times New Roman" w:cs="Times New Roman"/>
          <w:sz w:val="24"/>
          <w:szCs w:val="24"/>
        </w:rPr>
        <w:t xml:space="preserve">the </w:t>
      </w:r>
      <w:r w:rsidR="00145E08" w:rsidRPr="007628DE">
        <w:rPr>
          <w:rFonts w:ascii="Times New Roman" w:hAnsi="Times New Roman" w:cs="Times New Roman"/>
          <w:sz w:val="24"/>
          <w:szCs w:val="24"/>
        </w:rPr>
        <w:t>survival and growth of submerged aquatic vegetation (SAV)</w:t>
      </w:r>
      <w:r w:rsidR="00165554" w:rsidRPr="007628DE">
        <w:rPr>
          <w:rFonts w:ascii="Times New Roman" w:hAnsi="Times New Roman" w:cs="Times New Roman"/>
          <w:sz w:val="24"/>
          <w:szCs w:val="24"/>
        </w:rPr>
        <w:t>,</w:t>
      </w:r>
      <w:r w:rsidR="00145E08" w:rsidRPr="007628DE">
        <w:rPr>
          <w:rFonts w:ascii="Times New Roman" w:hAnsi="Times New Roman" w:cs="Times New Roman"/>
          <w:sz w:val="24"/>
          <w:szCs w:val="24"/>
        </w:rPr>
        <w:t xml:space="preserve"> </w:t>
      </w:r>
      <w:r w:rsidR="00165554" w:rsidRPr="007628DE">
        <w:rPr>
          <w:rFonts w:ascii="Times New Roman" w:hAnsi="Times New Roman" w:cs="Times New Roman"/>
          <w:sz w:val="24"/>
          <w:szCs w:val="24"/>
        </w:rPr>
        <w:t>which</w:t>
      </w:r>
      <w:r w:rsidR="00145E08" w:rsidRPr="007628DE">
        <w:rPr>
          <w:rFonts w:ascii="Times New Roman" w:hAnsi="Times New Roman" w:cs="Times New Roman"/>
          <w:sz w:val="24"/>
          <w:szCs w:val="24"/>
        </w:rPr>
        <w:t xml:space="preserve"> provides shelter and food for numerous aquatic organisms. </w:t>
      </w:r>
      <w:r w:rsidR="00B56CAB" w:rsidRPr="007628DE">
        <w:rPr>
          <w:rFonts w:ascii="Times New Roman" w:hAnsi="Times New Roman" w:cs="Times New Roman"/>
          <w:sz w:val="24"/>
          <w:szCs w:val="24"/>
        </w:rPr>
        <w:t xml:space="preserve">Also, a lack of water clarity may indicate excessive suspended sediment and/or excessive algal blooms in the water column. </w:t>
      </w:r>
      <w:r w:rsidR="008B0194" w:rsidRPr="000865AA">
        <w:rPr>
          <w:rFonts w:ascii="Times New Roman" w:hAnsi="Times New Roman" w:cs="Times New Roman"/>
          <w:sz w:val="24"/>
          <w:szCs w:val="24"/>
        </w:rPr>
        <w:t>Table 4.5-</w:t>
      </w:r>
      <w:r w:rsidR="008B0194">
        <w:rPr>
          <w:rFonts w:ascii="Times New Roman" w:hAnsi="Times New Roman" w:cs="Times New Roman"/>
          <w:sz w:val="24"/>
          <w:szCs w:val="24"/>
        </w:rPr>
        <w:t>7</w:t>
      </w:r>
      <w:r w:rsidR="008B0194" w:rsidRPr="000865AA">
        <w:rPr>
          <w:rFonts w:ascii="Times New Roman" w:hAnsi="Times New Roman" w:cs="Times New Roman"/>
          <w:sz w:val="24"/>
          <w:szCs w:val="24"/>
        </w:rPr>
        <w:t xml:space="preserve"> provides a summary of NCCA thresholds for the generalized water clarity classes. </w:t>
      </w:r>
    </w:p>
    <w:p w14:paraId="71664997" w14:textId="20E9E5EC" w:rsidR="00447BF3" w:rsidRDefault="00447BF3" w:rsidP="008B0194">
      <w:pPr>
        <w:spacing w:line="240" w:lineRule="auto"/>
        <w:rPr>
          <w:rFonts w:ascii="Times New Roman" w:hAnsi="Times New Roman" w:cs="Times New Roman"/>
          <w:sz w:val="24"/>
          <w:szCs w:val="24"/>
        </w:rPr>
      </w:pPr>
    </w:p>
    <w:p w14:paraId="48265E62" w14:textId="77777777" w:rsidR="00447BF3" w:rsidRDefault="00447BF3" w:rsidP="008B0194">
      <w:pPr>
        <w:spacing w:line="240" w:lineRule="auto"/>
        <w:rPr>
          <w:rFonts w:ascii="Times New Roman" w:hAnsi="Times New Roman" w:cs="Times New Roman"/>
          <w:sz w:val="24"/>
          <w:szCs w:val="24"/>
        </w:rPr>
      </w:pPr>
    </w:p>
    <w:p w14:paraId="55287175" w14:textId="4120418F" w:rsidR="008B0194" w:rsidRPr="00447BF3" w:rsidRDefault="008B0194" w:rsidP="00447BF3">
      <w:pPr>
        <w:spacing w:after="0" w:line="240" w:lineRule="auto"/>
        <w:jc w:val="both"/>
        <w:rPr>
          <w:rFonts w:ascii="Times New Roman" w:hAnsi="Times New Roman" w:cs="Times New Roman"/>
          <w:sz w:val="20"/>
          <w:szCs w:val="24"/>
        </w:rPr>
      </w:pPr>
    </w:p>
    <w:tbl>
      <w:tblPr>
        <w:tblStyle w:val="TableGrid"/>
        <w:tblW w:w="0" w:type="auto"/>
        <w:tblLook w:val="04A0" w:firstRow="1" w:lastRow="0" w:firstColumn="1" w:lastColumn="0" w:noHBand="0" w:noVBand="1"/>
        <w:tblCaption w:val="Table 3.2-6. NCCA water clarity thresholds for generalized estuarine water classes."/>
        <w:tblDescription w:val=" (Adapted from Table WQ-3, page 13 of the NCCA 2010 Technical Report – US EPA, 2016.)"/>
      </w:tblPr>
      <w:tblGrid>
        <w:gridCol w:w="2969"/>
        <w:gridCol w:w="1709"/>
        <w:gridCol w:w="1799"/>
        <w:gridCol w:w="2788"/>
      </w:tblGrid>
      <w:tr w:rsidR="008B0194" w:rsidRPr="000865AA" w14:paraId="1755EB50" w14:textId="77777777" w:rsidTr="00447BF3">
        <w:trPr>
          <w:cantSplit/>
          <w:tblHeader/>
        </w:trPr>
        <w:tc>
          <w:tcPr>
            <w:tcW w:w="2969" w:type="dxa"/>
            <w:vMerge w:val="restart"/>
          </w:tcPr>
          <w:p w14:paraId="4A3D4690" w14:textId="77777777" w:rsidR="008B0194" w:rsidRPr="000865AA" w:rsidRDefault="008B0194" w:rsidP="00463E56">
            <w:pPr>
              <w:ind w:firstLine="0"/>
              <w:jc w:val="center"/>
              <w:rPr>
                <w:rFonts w:ascii="Times New Roman" w:hAnsi="Times New Roman" w:cs="Times New Roman"/>
                <w:b/>
                <w:sz w:val="24"/>
                <w:szCs w:val="24"/>
              </w:rPr>
            </w:pPr>
          </w:p>
          <w:p w14:paraId="2BC8E033"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Water Class</w:t>
            </w:r>
          </w:p>
        </w:tc>
        <w:tc>
          <w:tcPr>
            <w:tcW w:w="3508" w:type="dxa"/>
            <w:gridSpan w:val="2"/>
          </w:tcPr>
          <w:p w14:paraId="544DCEDB"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 Transmittance @ 1.0 meter*</w:t>
            </w:r>
          </w:p>
        </w:tc>
        <w:tc>
          <w:tcPr>
            <w:tcW w:w="2788" w:type="dxa"/>
          </w:tcPr>
          <w:p w14:paraId="48058897"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K</w:t>
            </w:r>
            <w:r w:rsidRPr="000865AA">
              <w:rPr>
                <w:rFonts w:ascii="Times New Roman" w:hAnsi="Times New Roman" w:cs="Times New Roman"/>
                <w:b/>
                <w:sz w:val="24"/>
                <w:szCs w:val="24"/>
                <w:vertAlign w:val="subscript"/>
              </w:rPr>
              <w:t>d</w:t>
            </w:r>
            <w:r w:rsidRPr="000865AA">
              <w:rPr>
                <w:rFonts w:ascii="Times New Roman" w:hAnsi="Times New Roman" w:cs="Times New Roman"/>
                <w:b/>
                <w:sz w:val="24"/>
                <w:szCs w:val="24"/>
              </w:rPr>
              <w:t xml:space="preserve"> = c/Secchi Depth**</w:t>
            </w:r>
          </w:p>
        </w:tc>
      </w:tr>
      <w:tr w:rsidR="008B0194" w:rsidRPr="000865AA" w14:paraId="61F1C11E" w14:textId="77777777" w:rsidTr="00447BF3">
        <w:trPr>
          <w:cantSplit/>
          <w:tblHeader/>
        </w:trPr>
        <w:tc>
          <w:tcPr>
            <w:tcW w:w="2969" w:type="dxa"/>
            <w:vMerge/>
          </w:tcPr>
          <w:p w14:paraId="56312976" w14:textId="77777777" w:rsidR="008B0194" w:rsidRPr="000865AA" w:rsidRDefault="008B0194" w:rsidP="00463E56">
            <w:pPr>
              <w:ind w:firstLine="0"/>
              <w:rPr>
                <w:rFonts w:ascii="Times New Roman" w:hAnsi="Times New Roman" w:cs="Times New Roman"/>
                <w:sz w:val="24"/>
                <w:szCs w:val="24"/>
              </w:rPr>
            </w:pPr>
          </w:p>
        </w:tc>
        <w:tc>
          <w:tcPr>
            <w:tcW w:w="1709" w:type="dxa"/>
          </w:tcPr>
          <w:p w14:paraId="3710860F" w14:textId="77777777"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b/>
                <w:sz w:val="24"/>
                <w:szCs w:val="24"/>
              </w:rPr>
              <w:t>Threshold 1</w:t>
            </w:r>
          </w:p>
          <w:p w14:paraId="0FF3C066"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Poor vs. Fair</w:t>
            </w:r>
          </w:p>
        </w:tc>
        <w:tc>
          <w:tcPr>
            <w:tcW w:w="1799" w:type="dxa"/>
          </w:tcPr>
          <w:p w14:paraId="1528BF75" w14:textId="77777777"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b/>
                <w:sz w:val="24"/>
                <w:szCs w:val="24"/>
              </w:rPr>
              <w:t>Threshold 2</w:t>
            </w:r>
          </w:p>
          <w:p w14:paraId="57459A09"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Fair vs. Good</w:t>
            </w:r>
          </w:p>
        </w:tc>
        <w:tc>
          <w:tcPr>
            <w:tcW w:w="2788" w:type="dxa"/>
          </w:tcPr>
          <w:p w14:paraId="24331D65" w14:textId="77777777" w:rsidR="008B0194" w:rsidRPr="000865AA" w:rsidRDefault="008B0194" w:rsidP="00463E56">
            <w:pPr>
              <w:ind w:firstLine="0"/>
              <w:jc w:val="center"/>
              <w:rPr>
                <w:rFonts w:ascii="Times New Roman" w:hAnsi="Times New Roman" w:cs="Times New Roman"/>
                <w:sz w:val="24"/>
                <w:szCs w:val="24"/>
              </w:rPr>
            </w:pPr>
          </w:p>
          <w:p w14:paraId="57FB622A"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Value of c</w:t>
            </w:r>
          </w:p>
        </w:tc>
      </w:tr>
      <w:tr w:rsidR="008B0194" w:rsidRPr="000865AA" w14:paraId="7147499F" w14:textId="77777777" w:rsidTr="00447BF3">
        <w:tc>
          <w:tcPr>
            <w:tcW w:w="2969" w:type="dxa"/>
          </w:tcPr>
          <w:p w14:paraId="128A9044"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Naturally Turbid</w:t>
            </w:r>
          </w:p>
        </w:tc>
        <w:tc>
          <w:tcPr>
            <w:tcW w:w="1709" w:type="dxa"/>
          </w:tcPr>
          <w:p w14:paraId="68CD378C"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5%</w:t>
            </w:r>
          </w:p>
        </w:tc>
        <w:tc>
          <w:tcPr>
            <w:tcW w:w="1799" w:type="dxa"/>
          </w:tcPr>
          <w:p w14:paraId="23D8F491"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10%</w:t>
            </w:r>
          </w:p>
        </w:tc>
        <w:tc>
          <w:tcPr>
            <w:tcW w:w="2788" w:type="dxa"/>
          </w:tcPr>
          <w:p w14:paraId="552B1812"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1.0</w:t>
            </w:r>
          </w:p>
        </w:tc>
      </w:tr>
      <w:tr w:rsidR="008B0194" w:rsidRPr="000865AA" w14:paraId="797789FF" w14:textId="77777777" w:rsidTr="00447BF3">
        <w:tc>
          <w:tcPr>
            <w:tcW w:w="2969" w:type="dxa"/>
          </w:tcPr>
          <w:p w14:paraId="56E045DB"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Normal Turbidity</w:t>
            </w:r>
          </w:p>
        </w:tc>
        <w:tc>
          <w:tcPr>
            <w:tcW w:w="1709" w:type="dxa"/>
          </w:tcPr>
          <w:p w14:paraId="74E4CE61"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10%</w:t>
            </w:r>
          </w:p>
        </w:tc>
        <w:tc>
          <w:tcPr>
            <w:tcW w:w="1799" w:type="dxa"/>
          </w:tcPr>
          <w:p w14:paraId="08CE47B1"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20%</w:t>
            </w:r>
          </w:p>
        </w:tc>
        <w:tc>
          <w:tcPr>
            <w:tcW w:w="2788" w:type="dxa"/>
          </w:tcPr>
          <w:p w14:paraId="6CA10CDE"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1.4</w:t>
            </w:r>
          </w:p>
        </w:tc>
      </w:tr>
      <w:tr w:rsidR="008B0194" w:rsidRPr="000865AA" w14:paraId="1666A932" w14:textId="77777777" w:rsidTr="00447BF3">
        <w:tc>
          <w:tcPr>
            <w:tcW w:w="2969" w:type="dxa"/>
          </w:tcPr>
          <w:p w14:paraId="79F5E475"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b/>
                <w:sz w:val="24"/>
                <w:szCs w:val="24"/>
              </w:rPr>
              <w:t>SAV Growth and Restoration</w:t>
            </w:r>
          </w:p>
        </w:tc>
        <w:tc>
          <w:tcPr>
            <w:tcW w:w="1709" w:type="dxa"/>
          </w:tcPr>
          <w:p w14:paraId="694A6133"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20%</w:t>
            </w:r>
          </w:p>
        </w:tc>
        <w:tc>
          <w:tcPr>
            <w:tcW w:w="1799" w:type="dxa"/>
          </w:tcPr>
          <w:p w14:paraId="657FD5BD"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40%</w:t>
            </w:r>
          </w:p>
        </w:tc>
        <w:tc>
          <w:tcPr>
            <w:tcW w:w="2788" w:type="dxa"/>
          </w:tcPr>
          <w:p w14:paraId="7437A94B"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1.7</w:t>
            </w:r>
          </w:p>
        </w:tc>
      </w:tr>
    </w:tbl>
    <w:p w14:paraId="6751973E" w14:textId="1F68A947" w:rsidR="00447BF3" w:rsidRDefault="00447BF3" w:rsidP="008B0194">
      <w:pPr>
        <w:spacing w:after="0" w:line="240" w:lineRule="auto"/>
        <w:rPr>
          <w:rFonts w:ascii="Times New Roman" w:hAnsi="Times New Roman" w:cs="Times New Roman"/>
          <w:b/>
          <w:sz w:val="20"/>
          <w:szCs w:val="24"/>
        </w:rPr>
      </w:pPr>
      <w:r w:rsidRPr="000865AA">
        <w:rPr>
          <w:rFonts w:ascii="Times New Roman" w:hAnsi="Times New Roman" w:cs="Times New Roman"/>
          <w:sz w:val="20"/>
          <w:szCs w:val="24"/>
        </w:rPr>
        <w:t>Table 4.5-</w:t>
      </w:r>
      <w:r>
        <w:rPr>
          <w:rFonts w:ascii="Times New Roman" w:hAnsi="Times New Roman" w:cs="Times New Roman"/>
          <w:sz w:val="20"/>
          <w:szCs w:val="24"/>
        </w:rPr>
        <w:t>7</w:t>
      </w:r>
      <w:r w:rsidRPr="000865AA">
        <w:rPr>
          <w:rFonts w:ascii="Times New Roman" w:hAnsi="Times New Roman" w:cs="Times New Roman"/>
          <w:sz w:val="20"/>
          <w:szCs w:val="24"/>
        </w:rPr>
        <w:t>. NCCA water clarity thresholds for generalized estuarine water classes</w:t>
      </w:r>
      <w:r>
        <w:rPr>
          <w:rFonts w:ascii="Times New Roman" w:hAnsi="Times New Roman" w:cs="Times New Roman"/>
          <w:sz w:val="20"/>
          <w:szCs w:val="24"/>
        </w:rPr>
        <w:t>.</w:t>
      </w:r>
    </w:p>
    <w:p w14:paraId="7B759BE2" w14:textId="71E7DE8C" w:rsidR="008B0194" w:rsidRPr="000865AA" w:rsidRDefault="008B0194" w:rsidP="008B0194">
      <w:pPr>
        <w:spacing w:after="0" w:line="240" w:lineRule="auto"/>
        <w:rPr>
          <w:rFonts w:ascii="Times New Roman" w:hAnsi="Times New Roman" w:cs="Times New Roman"/>
          <w:sz w:val="20"/>
          <w:szCs w:val="24"/>
        </w:rPr>
      </w:pPr>
      <w:r w:rsidRPr="000865AA">
        <w:rPr>
          <w:rFonts w:ascii="Times New Roman" w:hAnsi="Times New Roman" w:cs="Times New Roman"/>
          <w:b/>
          <w:sz w:val="20"/>
          <w:szCs w:val="24"/>
        </w:rPr>
        <w:t>*</w:t>
      </w:r>
      <w:r w:rsidRPr="000865AA">
        <w:rPr>
          <w:rFonts w:ascii="Times New Roman" w:hAnsi="Times New Roman" w:cs="Times New Roman"/>
          <w:sz w:val="20"/>
          <w:szCs w:val="24"/>
        </w:rPr>
        <w:t xml:space="preserve"> Transmittance (Trans) is calculated from the PAR attenuation coefficient (K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 Trans = exp(-K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*depth m)</w:t>
      </w:r>
      <w:r w:rsidRPr="000865AA">
        <w:rPr>
          <w:rFonts w:ascii="Times New Roman" w:hAnsi="Times New Roman" w:cs="Times New Roman"/>
          <w:sz w:val="20"/>
          <w:szCs w:val="24"/>
        </w:rPr>
        <w:tab/>
      </w:r>
    </w:p>
    <w:p w14:paraId="0274AF39" w14:textId="1103298C" w:rsidR="00751801" w:rsidRDefault="008B0194" w:rsidP="008B0194">
      <w:pPr>
        <w:spacing w:after="0" w:line="240" w:lineRule="auto"/>
        <w:rPr>
          <w:rFonts w:ascii="Times New Roman" w:hAnsi="Times New Roman" w:cs="Times New Roman"/>
          <w:sz w:val="20"/>
          <w:szCs w:val="24"/>
        </w:rPr>
      </w:pPr>
      <w:r w:rsidRPr="000865AA">
        <w:rPr>
          <w:rFonts w:ascii="Times New Roman" w:hAnsi="Times New Roman" w:cs="Times New Roman"/>
          <w:b/>
          <w:sz w:val="20"/>
          <w:szCs w:val="24"/>
        </w:rPr>
        <w:t>**</w:t>
      </w:r>
      <w:r w:rsidRPr="000865AA">
        <w:rPr>
          <w:rFonts w:ascii="Times New Roman" w:hAnsi="Times New Roman" w:cs="Times New Roman"/>
          <w:sz w:val="20"/>
          <w:szCs w:val="24"/>
        </w:rPr>
        <w:t xml:space="preserve"> If not directly measured, 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 xml:space="preserve"> is estimated from Secchi Depth: 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 xml:space="preserve"> = c / Secchi Depth (m)</w:t>
      </w:r>
    </w:p>
    <w:p w14:paraId="415DA7DE" w14:textId="77777777" w:rsidR="008B0194" w:rsidRPr="008B0194" w:rsidRDefault="008B0194" w:rsidP="008B0194">
      <w:pPr>
        <w:spacing w:after="0" w:line="240" w:lineRule="auto"/>
        <w:rPr>
          <w:rFonts w:ascii="Times New Roman" w:hAnsi="Times New Roman" w:cs="Times New Roman"/>
          <w:sz w:val="20"/>
          <w:szCs w:val="24"/>
        </w:rPr>
      </w:pPr>
    </w:p>
    <w:p w14:paraId="119A0E73" w14:textId="047203E6" w:rsidR="008B0194" w:rsidRPr="00447BF3" w:rsidRDefault="008B0194" w:rsidP="008B0194">
      <w:pPr>
        <w:spacing w:after="0" w:line="240" w:lineRule="auto"/>
        <w:rPr>
          <w:rFonts w:ascii="Times New Roman" w:hAnsi="Times New Roman" w:cs="Times New Roman"/>
          <w:sz w:val="24"/>
          <w:szCs w:val="24"/>
        </w:rPr>
      </w:pPr>
      <w:r w:rsidRPr="000865AA">
        <w:rPr>
          <w:rFonts w:ascii="Times New Roman" w:hAnsi="Times New Roman" w:cs="Times New Roman"/>
          <w:sz w:val="24"/>
          <w:szCs w:val="24"/>
        </w:rPr>
        <w:t>The Chesapeake Bay Program (CBP) has developed more detailed water clarity criteria for shallow water, bay grass designated use habitats, based on salinity regime, season, and application depth.</w:t>
      </w:r>
      <w:r w:rsidR="00BF5D38">
        <w:rPr>
          <w:rFonts w:ascii="Times New Roman" w:hAnsi="Times New Roman" w:cs="Times New Roman"/>
          <w:sz w:val="24"/>
          <w:szCs w:val="24"/>
        </w:rPr>
        <w:t xml:space="preserve">  The CBP criteria were used to classify all of the tidal-fresh, oligohaline and mesohaline sites; however, the temporal application</w:t>
      </w:r>
      <w:r w:rsidR="00864E2D">
        <w:rPr>
          <w:rFonts w:ascii="Times New Roman" w:hAnsi="Times New Roman" w:cs="Times New Roman"/>
          <w:sz w:val="24"/>
          <w:szCs w:val="24"/>
        </w:rPr>
        <w:t xml:space="preserve"> periods listed</w:t>
      </w:r>
      <w:r w:rsidR="00BF5D38">
        <w:rPr>
          <w:rFonts w:ascii="Times New Roman" w:hAnsi="Times New Roman" w:cs="Times New Roman"/>
          <w:sz w:val="24"/>
          <w:szCs w:val="24"/>
        </w:rPr>
        <w:t xml:space="preserve"> in Table 4.5-8 indicate that for polyhaline sites, only those sampled in September should be classified using the CBP criteria.  Therefore, s</w:t>
      </w:r>
      <w:r w:rsidRPr="000865AA">
        <w:rPr>
          <w:rFonts w:ascii="Times New Roman" w:hAnsi="Times New Roman" w:cs="Times New Roman"/>
          <w:sz w:val="24"/>
          <w:szCs w:val="24"/>
        </w:rPr>
        <w:t xml:space="preserve">hallow water polyhaline clarity measurements that were collected outside the CBP </w:t>
      </w:r>
      <w:r w:rsidR="00864E2D">
        <w:rPr>
          <w:rFonts w:ascii="Times New Roman" w:hAnsi="Times New Roman" w:cs="Times New Roman"/>
          <w:sz w:val="24"/>
          <w:szCs w:val="24"/>
        </w:rPr>
        <w:t xml:space="preserve">temporal </w:t>
      </w:r>
      <w:r w:rsidRPr="000865AA">
        <w:rPr>
          <w:rFonts w:ascii="Times New Roman" w:hAnsi="Times New Roman" w:cs="Times New Roman"/>
          <w:sz w:val="24"/>
          <w:szCs w:val="24"/>
        </w:rPr>
        <w:t xml:space="preserve">application </w:t>
      </w:r>
      <w:r w:rsidR="00864E2D">
        <w:rPr>
          <w:rFonts w:ascii="Times New Roman" w:hAnsi="Times New Roman" w:cs="Times New Roman"/>
          <w:sz w:val="24"/>
          <w:szCs w:val="24"/>
        </w:rPr>
        <w:t>period</w:t>
      </w:r>
      <w:r w:rsidR="00864E2D" w:rsidRPr="000865AA">
        <w:rPr>
          <w:rFonts w:ascii="Times New Roman" w:hAnsi="Times New Roman" w:cs="Times New Roman"/>
          <w:sz w:val="24"/>
          <w:szCs w:val="24"/>
        </w:rPr>
        <w:t xml:space="preserve"> </w:t>
      </w:r>
      <w:r w:rsidRPr="000865AA">
        <w:rPr>
          <w:rFonts w:ascii="Times New Roman" w:hAnsi="Times New Roman" w:cs="Times New Roman"/>
          <w:sz w:val="24"/>
          <w:szCs w:val="24"/>
        </w:rPr>
        <w:t>were classified using the NCCA thresholds for normal turbidity water in Table 4.5-</w:t>
      </w:r>
      <w:r>
        <w:rPr>
          <w:rFonts w:ascii="Times New Roman" w:hAnsi="Times New Roman" w:cs="Times New Roman"/>
          <w:sz w:val="24"/>
          <w:szCs w:val="24"/>
        </w:rPr>
        <w:t>7</w:t>
      </w:r>
      <w:r w:rsidRPr="000865AA">
        <w:rPr>
          <w:rFonts w:ascii="Times New Roman" w:hAnsi="Times New Roman" w:cs="Times New Roman"/>
          <w:sz w:val="24"/>
          <w:szCs w:val="24"/>
        </w:rPr>
        <w:t>. Table 4.5</w:t>
      </w:r>
      <w:r>
        <w:rPr>
          <w:rFonts w:ascii="Times New Roman" w:hAnsi="Times New Roman" w:cs="Times New Roman"/>
          <w:sz w:val="24"/>
          <w:szCs w:val="24"/>
        </w:rPr>
        <w:t>-8</w:t>
      </w:r>
      <w:r w:rsidRPr="000865AA">
        <w:rPr>
          <w:rFonts w:ascii="Times New Roman" w:hAnsi="Times New Roman" w:cs="Times New Roman"/>
          <w:sz w:val="24"/>
          <w:szCs w:val="24"/>
        </w:rPr>
        <w:t xml:space="preserve"> summarizes the habitats, criteria and seasonal applications of CBP shallow water clarity criteria.</w:t>
      </w:r>
    </w:p>
    <w:p w14:paraId="61D72FB6" w14:textId="7E9DC4CC" w:rsidR="008B0194" w:rsidRPr="008B0194" w:rsidRDefault="008B0194" w:rsidP="008B0194">
      <w:pPr>
        <w:spacing w:after="0" w:line="240" w:lineRule="auto"/>
        <w:rPr>
          <w:rFonts w:ascii="Times New Roman" w:hAnsi="Times New Roman" w:cs="Times New Roman"/>
          <w:sz w:val="20"/>
          <w:szCs w:val="24"/>
        </w:rPr>
      </w:pPr>
    </w:p>
    <w:tbl>
      <w:tblPr>
        <w:tblStyle w:val="TableGrid"/>
        <w:tblW w:w="0" w:type="auto"/>
        <w:tblLook w:val="04A0" w:firstRow="1" w:lastRow="0" w:firstColumn="1" w:lastColumn="0" w:noHBand="0" w:noVBand="1"/>
        <w:tblCaption w:val="CBP criteria for water clarity in shallow water, bay grass designated use habitats within the tidal waters of the Chesapeake Bay drainage."/>
        <w:tblDescription w:val="CBP criteria for water clarity in shallow water, bay grass designated use habitats within the tidal waters of the Chesapeake Bay drainage."/>
      </w:tblPr>
      <w:tblGrid>
        <w:gridCol w:w="2577"/>
        <w:gridCol w:w="2743"/>
        <w:gridCol w:w="3922"/>
      </w:tblGrid>
      <w:tr w:rsidR="008B0194" w:rsidRPr="000865AA" w14:paraId="400355B9" w14:textId="77777777" w:rsidTr="00447BF3">
        <w:trPr>
          <w:trHeight w:val="493"/>
          <w:tblHeader/>
        </w:trPr>
        <w:tc>
          <w:tcPr>
            <w:tcW w:w="2577" w:type="dxa"/>
          </w:tcPr>
          <w:p w14:paraId="174E34AF" w14:textId="77777777" w:rsidR="008B0194" w:rsidRPr="000865AA" w:rsidRDefault="008B0194" w:rsidP="00463E56">
            <w:pPr>
              <w:ind w:firstLine="0"/>
              <w:jc w:val="center"/>
              <w:rPr>
                <w:rFonts w:ascii="Times New Roman" w:hAnsi="Times New Roman" w:cs="Times New Roman"/>
                <w:b/>
                <w:sz w:val="24"/>
                <w:szCs w:val="24"/>
              </w:rPr>
            </w:pPr>
            <w:bookmarkStart w:id="0" w:name="_Hlk506132787"/>
          </w:p>
          <w:p w14:paraId="2E47CFB4" w14:textId="77777777"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b/>
                <w:sz w:val="24"/>
                <w:szCs w:val="24"/>
              </w:rPr>
              <w:t>Salinity Regime</w:t>
            </w:r>
          </w:p>
        </w:tc>
        <w:tc>
          <w:tcPr>
            <w:tcW w:w="2743" w:type="dxa"/>
          </w:tcPr>
          <w:p w14:paraId="13F7F3BA" w14:textId="77777777"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b/>
                <w:sz w:val="24"/>
                <w:szCs w:val="24"/>
              </w:rPr>
              <w:t>Water Clarity Criteria*</w:t>
            </w:r>
          </w:p>
          <w:p w14:paraId="2A4DD70D" w14:textId="77777777"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sz w:val="24"/>
                <w:szCs w:val="24"/>
              </w:rPr>
              <w:t>(% PAR through water)</w:t>
            </w:r>
          </w:p>
        </w:tc>
        <w:tc>
          <w:tcPr>
            <w:tcW w:w="3922" w:type="dxa"/>
          </w:tcPr>
          <w:p w14:paraId="073FD535" w14:textId="77777777" w:rsidR="008B0194" w:rsidRPr="000865AA" w:rsidRDefault="008B0194" w:rsidP="00463E56">
            <w:pPr>
              <w:ind w:firstLine="0"/>
              <w:jc w:val="center"/>
              <w:rPr>
                <w:rFonts w:ascii="Times New Roman" w:hAnsi="Times New Roman" w:cs="Times New Roman"/>
                <w:b/>
                <w:sz w:val="24"/>
                <w:szCs w:val="24"/>
              </w:rPr>
            </w:pPr>
          </w:p>
          <w:p w14:paraId="36E310AC" w14:textId="64C65564" w:rsidR="008B0194" w:rsidRPr="000865AA" w:rsidRDefault="008B0194" w:rsidP="00463E56">
            <w:pPr>
              <w:ind w:firstLine="0"/>
              <w:jc w:val="center"/>
              <w:rPr>
                <w:rFonts w:ascii="Times New Roman" w:hAnsi="Times New Roman" w:cs="Times New Roman"/>
                <w:b/>
                <w:sz w:val="24"/>
                <w:szCs w:val="24"/>
              </w:rPr>
            </w:pPr>
            <w:r w:rsidRPr="000865AA">
              <w:rPr>
                <w:rFonts w:ascii="Times New Roman" w:hAnsi="Times New Roman" w:cs="Times New Roman"/>
                <w:b/>
                <w:sz w:val="24"/>
                <w:szCs w:val="24"/>
              </w:rPr>
              <w:t>Temporal Application</w:t>
            </w:r>
            <w:r w:rsidR="00864E2D">
              <w:rPr>
                <w:rFonts w:ascii="Times New Roman" w:hAnsi="Times New Roman" w:cs="Times New Roman"/>
                <w:b/>
                <w:sz w:val="24"/>
                <w:szCs w:val="24"/>
              </w:rPr>
              <w:t xml:space="preserve"> Period</w:t>
            </w:r>
          </w:p>
        </w:tc>
      </w:tr>
      <w:tr w:rsidR="008B0194" w:rsidRPr="000865AA" w14:paraId="1029BF78" w14:textId="77777777" w:rsidTr="00447BF3">
        <w:tc>
          <w:tcPr>
            <w:tcW w:w="2577" w:type="dxa"/>
          </w:tcPr>
          <w:p w14:paraId="5AFC7FBC" w14:textId="77777777" w:rsidR="008B0194" w:rsidRPr="000865AA" w:rsidRDefault="008B0194" w:rsidP="00463E56">
            <w:pPr>
              <w:jc w:val="both"/>
              <w:rPr>
                <w:rFonts w:ascii="Times New Roman" w:hAnsi="Times New Roman" w:cs="Times New Roman"/>
                <w:b/>
                <w:sz w:val="24"/>
                <w:szCs w:val="24"/>
              </w:rPr>
            </w:pPr>
            <w:r w:rsidRPr="000865AA">
              <w:rPr>
                <w:rFonts w:ascii="Times New Roman" w:hAnsi="Times New Roman" w:cs="Times New Roman"/>
                <w:b/>
                <w:sz w:val="24"/>
                <w:szCs w:val="24"/>
              </w:rPr>
              <w:t>Tidal-fresh</w:t>
            </w:r>
          </w:p>
        </w:tc>
        <w:tc>
          <w:tcPr>
            <w:tcW w:w="2743" w:type="dxa"/>
          </w:tcPr>
          <w:p w14:paraId="23BD2DDC" w14:textId="77777777" w:rsidR="008B0194" w:rsidRPr="000865AA" w:rsidRDefault="008B0194" w:rsidP="00463E56">
            <w:pPr>
              <w:ind w:left="1024" w:firstLine="0"/>
              <w:jc w:val="both"/>
              <w:rPr>
                <w:rFonts w:ascii="Times New Roman" w:hAnsi="Times New Roman" w:cs="Times New Roman"/>
                <w:sz w:val="24"/>
                <w:szCs w:val="24"/>
              </w:rPr>
            </w:pPr>
            <w:r w:rsidRPr="000865AA">
              <w:rPr>
                <w:rFonts w:ascii="Times New Roman" w:hAnsi="Times New Roman" w:cs="Times New Roman"/>
                <w:sz w:val="24"/>
                <w:szCs w:val="24"/>
              </w:rPr>
              <w:t>13%</w:t>
            </w:r>
          </w:p>
        </w:tc>
        <w:tc>
          <w:tcPr>
            <w:tcW w:w="3922" w:type="dxa"/>
          </w:tcPr>
          <w:p w14:paraId="2B950D3E"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 April - 31 October</w:t>
            </w:r>
          </w:p>
        </w:tc>
      </w:tr>
      <w:tr w:rsidR="008B0194" w:rsidRPr="000865AA" w14:paraId="6802C664" w14:textId="77777777" w:rsidTr="00447BF3">
        <w:tc>
          <w:tcPr>
            <w:tcW w:w="2577" w:type="dxa"/>
          </w:tcPr>
          <w:p w14:paraId="2CA31E0F" w14:textId="77777777" w:rsidR="008B0194" w:rsidRPr="000865AA" w:rsidRDefault="008B0194" w:rsidP="00463E56">
            <w:pPr>
              <w:jc w:val="both"/>
              <w:rPr>
                <w:rFonts w:ascii="Times New Roman" w:hAnsi="Times New Roman" w:cs="Times New Roman"/>
                <w:b/>
                <w:sz w:val="24"/>
                <w:szCs w:val="24"/>
              </w:rPr>
            </w:pPr>
            <w:r w:rsidRPr="000865AA">
              <w:rPr>
                <w:rFonts w:ascii="Times New Roman" w:hAnsi="Times New Roman" w:cs="Times New Roman"/>
                <w:b/>
                <w:sz w:val="24"/>
                <w:szCs w:val="24"/>
              </w:rPr>
              <w:t>Oligohaline</w:t>
            </w:r>
          </w:p>
        </w:tc>
        <w:tc>
          <w:tcPr>
            <w:tcW w:w="2743" w:type="dxa"/>
          </w:tcPr>
          <w:p w14:paraId="08C4F986" w14:textId="77777777" w:rsidR="008B0194" w:rsidRPr="000865AA" w:rsidRDefault="008B0194" w:rsidP="00463E56">
            <w:pPr>
              <w:ind w:left="1024" w:firstLine="0"/>
              <w:jc w:val="both"/>
              <w:rPr>
                <w:rFonts w:ascii="Times New Roman" w:hAnsi="Times New Roman" w:cs="Times New Roman"/>
                <w:sz w:val="24"/>
                <w:szCs w:val="24"/>
              </w:rPr>
            </w:pPr>
            <w:r w:rsidRPr="000865AA">
              <w:rPr>
                <w:rFonts w:ascii="Times New Roman" w:hAnsi="Times New Roman" w:cs="Times New Roman"/>
                <w:sz w:val="24"/>
                <w:szCs w:val="24"/>
              </w:rPr>
              <w:t>13%</w:t>
            </w:r>
          </w:p>
        </w:tc>
        <w:tc>
          <w:tcPr>
            <w:tcW w:w="3922" w:type="dxa"/>
          </w:tcPr>
          <w:p w14:paraId="07A53584"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 April - 31 October</w:t>
            </w:r>
          </w:p>
        </w:tc>
      </w:tr>
      <w:tr w:rsidR="008B0194" w:rsidRPr="000865AA" w14:paraId="2AB04A95" w14:textId="77777777" w:rsidTr="00447BF3">
        <w:tc>
          <w:tcPr>
            <w:tcW w:w="2577" w:type="dxa"/>
          </w:tcPr>
          <w:p w14:paraId="4D81E86F" w14:textId="77777777" w:rsidR="008B0194" w:rsidRPr="000865AA" w:rsidRDefault="008B0194" w:rsidP="00463E56">
            <w:pPr>
              <w:jc w:val="both"/>
              <w:rPr>
                <w:rFonts w:ascii="Times New Roman" w:hAnsi="Times New Roman" w:cs="Times New Roman"/>
                <w:b/>
                <w:sz w:val="24"/>
                <w:szCs w:val="24"/>
              </w:rPr>
            </w:pPr>
            <w:r w:rsidRPr="000865AA">
              <w:rPr>
                <w:rFonts w:ascii="Times New Roman" w:hAnsi="Times New Roman" w:cs="Times New Roman"/>
                <w:b/>
                <w:sz w:val="24"/>
                <w:szCs w:val="24"/>
              </w:rPr>
              <w:t>Mesohaline</w:t>
            </w:r>
          </w:p>
        </w:tc>
        <w:tc>
          <w:tcPr>
            <w:tcW w:w="2743" w:type="dxa"/>
          </w:tcPr>
          <w:p w14:paraId="0BBEB8B4" w14:textId="77777777" w:rsidR="008B0194" w:rsidRPr="000865AA" w:rsidRDefault="008B0194" w:rsidP="00463E56">
            <w:pPr>
              <w:ind w:left="1024" w:firstLine="0"/>
              <w:jc w:val="both"/>
              <w:rPr>
                <w:rFonts w:ascii="Times New Roman" w:hAnsi="Times New Roman" w:cs="Times New Roman"/>
                <w:sz w:val="24"/>
                <w:szCs w:val="24"/>
              </w:rPr>
            </w:pPr>
            <w:r w:rsidRPr="000865AA">
              <w:rPr>
                <w:rFonts w:ascii="Times New Roman" w:hAnsi="Times New Roman" w:cs="Times New Roman"/>
                <w:sz w:val="24"/>
                <w:szCs w:val="24"/>
              </w:rPr>
              <w:t>22%</w:t>
            </w:r>
          </w:p>
        </w:tc>
        <w:tc>
          <w:tcPr>
            <w:tcW w:w="3922" w:type="dxa"/>
          </w:tcPr>
          <w:p w14:paraId="2EC084B8"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 April - 31 October</w:t>
            </w:r>
          </w:p>
        </w:tc>
      </w:tr>
      <w:tr w:rsidR="008B0194" w:rsidRPr="000865AA" w14:paraId="27ADD873" w14:textId="77777777" w:rsidTr="00447BF3">
        <w:trPr>
          <w:trHeight w:val="470"/>
        </w:trPr>
        <w:tc>
          <w:tcPr>
            <w:tcW w:w="2577" w:type="dxa"/>
          </w:tcPr>
          <w:p w14:paraId="4829F166" w14:textId="77777777" w:rsidR="008B0194" w:rsidRPr="000865AA" w:rsidRDefault="008B0194" w:rsidP="00463E56">
            <w:pPr>
              <w:jc w:val="both"/>
              <w:rPr>
                <w:rFonts w:ascii="Times New Roman" w:hAnsi="Times New Roman" w:cs="Times New Roman"/>
                <w:b/>
                <w:sz w:val="24"/>
                <w:szCs w:val="24"/>
              </w:rPr>
            </w:pPr>
          </w:p>
          <w:p w14:paraId="0C1EA389" w14:textId="77777777" w:rsidR="008B0194" w:rsidRPr="000865AA" w:rsidRDefault="008B0194" w:rsidP="00463E56">
            <w:pPr>
              <w:jc w:val="both"/>
              <w:rPr>
                <w:rFonts w:ascii="Times New Roman" w:hAnsi="Times New Roman" w:cs="Times New Roman"/>
                <w:b/>
                <w:sz w:val="24"/>
                <w:szCs w:val="24"/>
              </w:rPr>
            </w:pPr>
            <w:r w:rsidRPr="000865AA">
              <w:rPr>
                <w:rFonts w:ascii="Times New Roman" w:hAnsi="Times New Roman" w:cs="Times New Roman"/>
                <w:b/>
                <w:sz w:val="24"/>
                <w:szCs w:val="24"/>
              </w:rPr>
              <w:t>Polyhaline</w:t>
            </w:r>
          </w:p>
        </w:tc>
        <w:tc>
          <w:tcPr>
            <w:tcW w:w="2743" w:type="dxa"/>
          </w:tcPr>
          <w:p w14:paraId="0E746B35" w14:textId="77777777" w:rsidR="008B0194" w:rsidRPr="000865AA" w:rsidRDefault="008B0194" w:rsidP="00463E56">
            <w:pPr>
              <w:ind w:left="1024" w:firstLine="0"/>
              <w:jc w:val="both"/>
              <w:rPr>
                <w:rFonts w:ascii="Times New Roman" w:hAnsi="Times New Roman" w:cs="Times New Roman"/>
                <w:sz w:val="24"/>
                <w:szCs w:val="24"/>
              </w:rPr>
            </w:pPr>
          </w:p>
          <w:p w14:paraId="234178B8" w14:textId="77777777" w:rsidR="008B0194" w:rsidRPr="000865AA" w:rsidRDefault="008B0194" w:rsidP="00463E56">
            <w:pPr>
              <w:ind w:left="1024" w:firstLine="0"/>
              <w:jc w:val="both"/>
              <w:rPr>
                <w:rFonts w:ascii="Times New Roman" w:hAnsi="Times New Roman" w:cs="Times New Roman"/>
                <w:sz w:val="24"/>
                <w:szCs w:val="24"/>
              </w:rPr>
            </w:pPr>
            <w:r w:rsidRPr="000865AA">
              <w:rPr>
                <w:rFonts w:ascii="Times New Roman" w:hAnsi="Times New Roman" w:cs="Times New Roman"/>
                <w:sz w:val="24"/>
                <w:szCs w:val="24"/>
              </w:rPr>
              <w:t>22%</w:t>
            </w:r>
          </w:p>
        </w:tc>
        <w:tc>
          <w:tcPr>
            <w:tcW w:w="3922" w:type="dxa"/>
          </w:tcPr>
          <w:p w14:paraId="21C0E19E" w14:textId="77777777" w:rsidR="008B0194" w:rsidRPr="000865AA" w:rsidRDefault="008B0194" w:rsidP="00463E56">
            <w:pPr>
              <w:ind w:firstLine="0"/>
              <w:jc w:val="center"/>
              <w:rPr>
                <w:rFonts w:ascii="Times New Roman" w:hAnsi="Times New Roman" w:cs="Times New Roman"/>
                <w:sz w:val="24"/>
                <w:szCs w:val="24"/>
              </w:rPr>
            </w:pPr>
            <w:r w:rsidRPr="000865AA">
              <w:rPr>
                <w:rFonts w:ascii="Times New Roman" w:hAnsi="Times New Roman" w:cs="Times New Roman"/>
                <w:sz w:val="24"/>
                <w:szCs w:val="24"/>
              </w:rPr>
              <w:t>1 March - 31 May</w:t>
            </w:r>
          </w:p>
          <w:p w14:paraId="7F9C3BC4" w14:textId="77777777" w:rsidR="008B0194" w:rsidRPr="000865AA" w:rsidRDefault="008B0194" w:rsidP="00463E56">
            <w:pPr>
              <w:rPr>
                <w:rFonts w:ascii="Times New Roman" w:hAnsi="Times New Roman" w:cs="Times New Roman"/>
                <w:sz w:val="24"/>
                <w:szCs w:val="24"/>
              </w:rPr>
            </w:pPr>
            <w:r w:rsidRPr="000865AA">
              <w:rPr>
                <w:rFonts w:ascii="Times New Roman" w:hAnsi="Times New Roman" w:cs="Times New Roman"/>
                <w:sz w:val="24"/>
                <w:szCs w:val="24"/>
              </w:rPr>
              <w:t>1 September - 30 November</w:t>
            </w:r>
          </w:p>
        </w:tc>
      </w:tr>
    </w:tbl>
    <w:bookmarkEnd w:id="0"/>
    <w:p w14:paraId="7B454E84" w14:textId="05B3ED23" w:rsidR="00447BF3" w:rsidRDefault="00447BF3" w:rsidP="008B0194">
      <w:pPr>
        <w:spacing w:after="0" w:line="240" w:lineRule="auto"/>
        <w:rPr>
          <w:rFonts w:ascii="Times New Roman" w:hAnsi="Times New Roman" w:cs="Times New Roman"/>
          <w:b/>
          <w:sz w:val="20"/>
          <w:szCs w:val="24"/>
        </w:rPr>
      </w:pPr>
      <w:r w:rsidRPr="000865AA">
        <w:rPr>
          <w:rFonts w:ascii="Times New Roman" w:hAnsi="Times New Roman" w:cs="Times New Roman"/>
          <w:sz w:val="20"/>
          <w:szCs w:val="24"/>
        </w:rPr>
        <w:t>Table 4.5-</w:t>
      </w:r>
      <w:r>
        <w:rPr>
          <w:rFonts w:ascii="Times New Roman" w:hAnsi="Times New Roman" w:cs="Times New Roman"/>
          <w:sz w:val="20"/>
          <w:szCs w:val="24"/>
        </w:rPr>
        <w:t>8</w:t>
      </w:r>
      <w:r w:rsidRPr="000865AA">
        <w:rPr>
          <w:rFonts w:ascii="Times New Roman" w:hAnsi="Times New Roman" w:cs="Times New Roman"/>
          <w:sz w:val="20"/>
          <w:szCs w:val="24"/>
        </w:rPr>
        <w:t>. CBP criteria for water clarity in shallow water, bay grass designated use habitats within the tidal waters of the Chesapeake Bay drainage.</w:t>
      </w:r>
    </w:p>
    <w:p w14:paraId="53556C33" w14:textId="5611931B" w:rsidR="008B0194" w:rsidRPr="000865AA" w:rsidRDefault="008B0194" w:rsidP="008B0194">
      <w:pPr>
        <w:spacing w:after="0" w:line="240" w:lineRule="auto"/>
        <w:rPr>
          <w:rFonts w:ascii="Times New Roman" w:hAnsi="Times New Roman" w:cs="Times New Roman"/>
          <w:sz w:val="20"/>
          <w:szCs w:val="24"/>
        </w:rPr>
      </w:pPr>
      <w:r w:rsidRPr="000865AA">
        <w:rPr>
          <w:rFonts w:ascii="Times New Roman" w:hAnsi="Times New Roman" w:cs="Times New Roman"/>
          <w:b/>
          <w:sz w:val="20"/>
          <w:szCs w:val="24"/>
        </w:rPr>
        <w:t>*</w:t>
      </w:r>
      <w:r w:rsidRPr="000865AA">
        <w:rPr>
          <w:rFonts w:ascii="Times New Roman" w:hAnsi="Times New Roman" w:cs="Times New Roman"/>
          <w:sz w:val="20"/>
          <w:szCs w:val="24"/>
        </w:rPr>
        <w:t xml:space="preserve"> The CBP uses the "c" value of 1.45 for the Secchi depth conversion to 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 xml:space="preserve"> K</w:t>
      </w:r>
      <w:r w:rsidRPr="000865AA">
        <w:rPr>
          <w:rFonts w:ascii="Times New Roman" w:hAnsi="Times New Roman" w:cs="Times New Roman"/>
          <w:b/>
          <w:sz w:val="20"/>
          <w:szCs w:val="24"/>
          <w:vertAlign w:val="subscript"/>
        </w:rPr>
        <w:t>d</w:t>
      </w:r>
      <w:r w:rsidRPr="000865AA">
        <w:rPr>
          <w:rFonts w:ascii="Times New Roman" w:hAnsi="Times New Roman" w:cs="Times New Roman"/>
          <w:sz w:val="20"/>
          <w:szCs w:val="24"/>
        </w:rPr>
        <w:t xml:space="preserve"> = 1.45 / Secchi depth (m)</w:t>
      </w:r>
    </w:p>
    <w:p w14:paraId="0F24B1C1" w14:textId="77777777" w:rsidR="008B0194" w:rsidRPr="000865AA" w:rsidRDefault="008B0194" w:rsidP="008B0194">
      <w:pPr>
        <w:spacing w:after="0" w:line="240" w:lineRule="auto"/>
        <w:jc w:val="both"/>
        <w:rPr>
          <w:rFonts w:ascii="Times New Roman" w:hAnsi="Times New Roman" w:cs="Times New Roman"/>
          <w:sz w:val="16"/>
          <w:szCs w:val="16"/>
        </w:rPr>
      </w:pPr>
    </w:p>
    <w:p w14:paraId="0BCC737D" w14:textId="77777777" w:rsidR="00805C6A" w:rsidRDefault="007628DE" w:rsidP="00FE1DDB">
      <w:pPr>
        <w:spacing w:line="240" w:lineRule="auto"/>
        <w:rPr>
          <w:rFonts w:ascii="Times New Roman" w:hAnsi="Times New Roman" w:cs="Times New Roman"/>
          <w:sz w:val="24"/>
          <w:szCs w:val="24"/>
        </w:rPr>
      </w:pPr>
      <w:r w:rsidRPr="007628DE">
        <w:rPr>
          <w:rFonts w:ascii="Times New Roman" w:hAnsi="Times New Roman" w:cs="Times New Roman"/>
          <w:sz w:val="24"/>
          <w:szCs w:val="24"/>
        </w:rPr>
        <w:t xml:space="preserve">Photosynthetically active radiation (PAR) was measured using LI-1400 dataLOGGER units from LI-COR Biosciences. One sensor on each device measured PAR intensity (Iz) underwater at depths z (m), and a second sensor remained in the air measuring PAR intensity (Io) of ambient light. At each site, Kd for each measurement is calculated as the natural log of the negative slope of the regression </w:t>
      </w:r>
      <w:r w:rsidR="00547DEB">
        <w:rPr>
          <w:rFonts w:ascii="Times New Roman" w:hAnsi="Times New Roman" w:cs="Times New Roman"/>
          <w:sz w:val="24"/>
          <w:szCs w:val="24"/>
        </w:rPr>
        <w:t xml:space="preserve">with </w:t>
      </w:r>
      <w:r w:rsidRPr="007628DE">
        <w:rPr>
          <w:rFonts w:ascii="Times New Roman" w:hAnsi="Times New Roman" w:cs="Times New Roman"/>
          <w:sz w:val="24"/>
          <w:szCs w:val="24"/>
        </w:rPr>
        <w:t>ln(Iz/Io) on the y-axis vs. depth(m) on the x-axis using the downcast measurements. Percent transmittance is equal to e-</w:t>
      </w:r>
      <w:r w:rsidRPr="007628DE">
        <w:rPr>
          <w:rFonts w:ascii="Times New Roman" w:hAnsi="Times New Roman" w:cs="Times New Roman"/>
          <w:sz w:val="24"/>
          <w:szCs w:val="24"/>
          <w:vertAlign w:val="superscript"/>
        </w:rPr>
        <w:t>Kd*100</w:t>
      </w:r>
      <w:r w:rsidRPr="007628DE">
        <w:rPr>
          <w:rFonts w:ascii="Times New Roman" w:hAnsi="Times New Roman" w:cs="Times New Roman"/>
          <w:sz w:val="24"/>
          <w:szCs w:val="24"/>
        </w:rPr>
        <w:t>. In cases where LI-COR devices were not used (</w:t>
      </w:r>
      <w:r w:rsidRPr="007628DE">
        <w:rPr>
          <w:rFonts w:ascii="Times New Roman" w:hAnsi="Times New Roman" w:cs="Times New Roman"/>
          <w:i/>
          <w:sz w:val="24"/>
          <w:szCs w:val="24"/>
        </w:rPr>
        <w:t>n</w:t>
      </w:r>
      <w:r w:rsidRPr="007628DE">
        <w:rPr>
          <w:rFonts w:ascii="Times New Roman" w:hAnsi="Times New Roman" w:cs="Times New Roman"/>
          <w:sz w:val="24"/>
          <w:szCs w:val="24"/>
        </w:rPr>
        <w:t>=15) K</w:t>
      </w:r>
      <w:r w:rsidRPr="007628DE">
        <w:rPr>
          <w:rFonts w:ascii="Times New Roman" w:hAnsi="Times New Roman" w:cs="Times New Roman"/>
          <w:b/>
          <w:sz w:val="24"/>
          <w:szCs w:val="24"/>
          <w:vertAlign w:val="subscript"/>
        </w:rPr>
        <w:t>d</w:t>
      </w:r>
      <w:r w:rsidRPr="007628DE">
        <w:rPr>
          <w:rFonts w:ascii="Times New Roman" w:hAnsi="Times New Roman" w:cs="Times New Roman"/>
          <w:sz w:val="24"/>
          <w:szCs w:val="24"/>
        </w:rPr>
        <w:t xml:space="preserve"> was calculated using Secchi depth </w:t>
      </w:r>
      <w:r w:rsidR="00864E2D">
        <w:rPr>
          <w:rFonts w:ascii="Times New Roman" w:hAnsi="Times New Roman" w:cs="Times New Roman"/>
          <w:sz w:val="24"/>
          <w:szCs w:val="24"/>
        </w:rPr>
        <w:t>and a c-value</w:t>
      </w:r>
      <w:r w:rsidR="00805C6A">
        <w:rPr>
          <w:rFonts w:ascii="Times New Roman" w:hAnsi="Times New Roman" w:cs="Times New Roman"/>
          <w:sz w:val="24"/>
          <w:szCs w:val="24"/>
        </w:rPr>
        <w:t>, using the formula:</w:t>
      </w:r>
    </w:p>
    <w:p w14:paraId="2D0174C8" w14:textId="10693353" w:rsidR="00805C6A" w:rsidRDefault="00805C6A" w:rsidP="00FE1DDB">
      <w:pPr>
        <w:spacing w:line="240" w:lineRule="auto"/>
        <w:rPr>
          <w:rFonts w:ascii="Times New Roman" w:hAnsi="Times New Roman" w:cs="Times New Roman"/>
          <w:sz w:val="24"/>
          <w:szCs w:val="24"/>
        </w:rPr>
      </w:pPr>
      <w:r w:rsidRPr="007628DE">
        <w:rPr>
          <w:rFonts w:ascii="Times New Roman" w:hAnsi="Times New Roman" w:cs="Times New Roman"/>
          <w:sz w:val="24"/>
          <w:szCs w:val="24"/>
        </w:rPr>
        <w:t>K</w:t>
      </w:r>
      <w:r w:rsidRPr="007628DE">
        <w:rPr>
          <w:rFonts w:ascii="Times New Roman" w:hAnsi="Times New Roman" w:cs="Times New Roman"/>
          <w:b/>
          <w:sz w:val="24"/>
          <w:szCs w:val="24"/>
          <w:vertAlign w:val="subscript"/>
        </w:rPr>
        <w:t>d</w:t>
      </w:r>
      <w:r w:rsidRPr="007628DE">
        <w:rPr>
          <w:rFonts w:ascii="Times New Roman" w:hAnsi="Times New Roman" w:cs="Times New Roman"/>
          <w:sz w:val="24"/>
          <w:szCs w:val="24"/>
        </w:rPr>
        <w:t xml:space="preserve"> = c-value / Secchi Depth (m).</w:t>
      </w:r>
    </w:p>
    <w:p w14:paraId="230CB788" w14:textId="24EB6512" w:rsidR="007628DE" w:rsidRDefault="007D7FE8" w:rsidP="00FE1DDB">
      <w:pPr>
        <w:spacing w:line="240" w:lineRule="auto"/>
        <w:rPr>
          <w:rFonts w:ascii="Times New Roman" w:hAnsi="Times New Roman" w:cs="Times New Roman"/>
        </w:rPr>
      </w:pPr>
      <w:r>
        <w:rPr>
          <w:rFonts w:ascii="Times New Roman" w:hAnsi="Times New Roman" w:cs="Times New Roman"/>
          <w:sz w:val="24"/>
          <w:szCs w:val="24"/>
        </w:rPr>
        <w:t xml:space="preserve">The c-value is a conversion </w:t>
      </w:r>
      <w:r w:rsidR="00864E2D">
        <w:rPr>
          <w:rFonts w:ascii="Times New Roman" w:hAnsi="Times New Roman" w:cs="Times New Roman"/>
          <w:sz w:val="24"/>
          <w:szCs w:val="24"/>
        </w:rPr>
        <w:t>constant</w:t>
      </w:r>
      <w:r>
        <w:rPr>
          <w:rFonts w:ascii="Times New Roman" w:hAnsi="Times New Roman" w:cs="Times New Roman"/>
          <w:sz w:val="24"/>
          <w:szCs w:val="24"/>
        </w:rPr>
        <w:t xml:space="preserve">, which is </w:t>
      </w:r>
      <w:r w:rsidR="00864E2D">
        <w:rPr>
          <w:rFonts w:ascii="Times New Roman" w:hAnsi="Times New Roman" w:cs="Times New Roman"/>
          <w:sz w:val="24"/>
          <w:szCs w:val="24"/>
        </w:rPr>
        <w:t>set to 1.4 for</w:t>
      </w:r>
      <w:r>
        <w:rPr>
          <w:rFonts w:ascii="Times New Roman" w:hAnsi="Times New Roman" w:cs="Times New Roman"/>
          <w:sz w:val="24"/>
          <w:szCs w:val="24"/>
        </w:rPr>
        <w:t xml:space="preserve"> normal habitat (i.e. habitat not expected to support SAV)</w:t>
      </w:r>
      <w:r w:rsidR="00864E2D">
        <w:rPr>
          <w:rFonts w:ascii="Times New Roman" w:hAnsi="Times New Roman" w:cs="Times New Roman"/>
          <w:sz w:val="24"/>
          <w:szCs w:val="24"/>
        </w:rPr>
        <w:t xml:space="preserve"> </w:t>
      </w:r>
      <w:r>
        <w:rPr>
          <w:rFonts w:ascii="Times New Roman" w:hAnsi="Times New Roman" w:cs="Times New Roman"/>
          <w:sz w:val="24"/>
          <w:szCs w:val="24"/>
        </w:rPr>
        <w:t>or 1.7 for SAV habitat (i.e. habitat with the potential to support SAV)</w:t>
      </w:r>
      <w:r w:rsidR="00805C6A">
        <w:rPr>
          <w:rFonts w:ascii="Times New Roman" w:hAnsi="Times New Roman" w:cs="Times New Roman"/>
          <w:sz w:val="24"/>
          <w:szCs w:val="24"/>
        </w:rPr>
        <w:t xml:space="preserve">.  </w:t>
      </w:r>
      <w:r w:rsidR="00805C6A" w:rsidRPr="007628DE">
        <w:rPr>
          <w:rFonts w:ascii="Times New Roman" w:hAnsi="Times New Roman" w:cs="Times New Roman"/>
          <w:sz w:val="24"/>
          <w:szCs w:val="24"/>
        </w:rPr>
        <w:t>The c-value constant changes based on habitat type</w:t>
      </w:r>
      <w:r w:rsidR="00805C6A">
        <w:rPr>
          <w:rFonts w:ascii="Times New Roman" w:hAnsi="Times New Roman" w:cs="Times New Roman"/>
          <w:sz w:val="24"/>
          <w:szCs w:val="24"/>
        </w:rPr>
        <w:t>, as discussed</w:t>
      </w:r>
      <w:r w:rsidR="00805C6A" w:rsidRPr="007628DE">
        <w:rPr>
          <w:rFonts w:ascii="Times New Roman" w:hAnsi="Times New Roman" w:cs="Times New Roman"/>
          <w:sz w:val="24"/>
          <w:szCs w:val="24"/>
        </w:rPr>
        <w:t xml:space="preserve"> in the NCCA 2015 Technical Support Document.</w:t>
      </w:r>
      <w:r w:rsidR="00805C6A">
        <w:rPr>
          <w:rFonts w:ascii="Times New Roman" w:hAnsi="Times New Roman" w:cs="Times New Roman"/>
          <w:sz w:val="24"/>
          <w:szCs w:val="24"/>
        </w:rPr>
        <w:t xml:space="preserve">  </w:t>
      </w:r>
      <w:r w:rsidR="00864E2D">
        <w:rPr>
          <w:rFonts w:ascii="Times New Roman" w:hAnsi="Times New Roman" w:cs="Times New Roman"/>
          <w:sz w:val="24"/>
          <w:szCs w:val="24"/>
        </w:rPr>
        <w:t xml:space="preserve"> </w:t>
      </w:r>
      <w:r w:rsidR="00547DEB">
        <w:rPr>
          <w:rFonts w:ascii="Times New Roman" w:hAnsi="Times New Roman" w:cs="Times New Roman"/>
          <w:sz w:val="24"/>
          <w:szCs w:val="24"/>
        </w:rPr>
        <w:t xml:space="preserve">At 6 stations both secchi measurements and LI-COR data </w:t>
      </w:r>
      <w:r w:rsidR="00F651BB">
        <w:rPr>
          <w:rFonts w:ascii="Times New Roman" w:hAnsi="Times New Roman" w:cs="Times New Roman"/>
          <w:sz w:val="24"/>
          <w:szCs w:val="24"/>
        </w:rPr>
        <w:t>were</w:t>
      </w:r>
      <w:r w:rsidR="00547DEB">
        <w:rPr>
          <w:rFonts w:ascii="Times New Roman" w:hAnsi="Times New Roman" w:cs="Times New Roman"/>
          <w:sz w:val="24"/>
          <w:szCs w:val="24"/>
        </w:rPr>
        <w:t xml:space="preserve"> not available</w:t>
      </w:r>
      <w:r w:rsidR="00805C6A">
        <w:rPr>
          <w:rFonts w:ascii="Times New Roman" w:hAnsi="Times New Roman" w:cs="Times New Roman"/>
          <w:sz w:val="24"/>
          <w:szCs w:val="24"/>
        </w:rPr>
        <w:t xml:space="preserve"> and therefore no water clarity classifications were made</w:t>
      </w:r>
    </w:p>
    <w:p w14:paraId="5007BC5C" w14:textId="27319EE1" w:rsidR="007628DE" w:rsidRDefault="007628DE" w:rsidP="002C13A4">
      <w:pPr>
        <w:pStyle w:val="Caption"/>
        <w:keepNext/>
        <w:rPr>
          <w:rFonts w:ascii="Times New Roman" w:hAnsi="Times New Roman" w:cs="Times New Roman"/>
          <w:i w:val="0"/>
          <w:color w:val="000000" w:themeColor="text1"/>
          <w:sz w:val="20"/>
        </w:rPr>
      </w:pPr>
      <w:r w:rsidRPr="007628DE">
        <w:rPr>
          <w:rFonts w:ascii="Times New Roman" w:hAnsi="Times New Roman" w:cs="Times New Roman"/>
          <w:i w:val="0"/>
          <w:color w:val="000000" w:themeColor="text1"/>
          <w:sz w:val="20"/>
        </w:rPr>
        <w:lastRenderedPageBreak/>
        <w:t xml:space="preserve">Table 4.5- </w:t>
      </w:r>
      <w:r w:rsidR="008B0194">
        <w:rPr>
          <w:rFonts w:ascii="Times New Roman" w:hAnsi="Times New Roman" w:cs="Times New Roman"/>
          <w:i w:val="0"/>
          <w:color w:val="000000" w:themeColor="text1"/>
          <w:sz w:val="20"/>
        </w:rPr>
        <w:t>9</w:t>
      </w:r>
      <w:r w:rsidR="008B0194" w:rsidRPr="007628DE">
        <w:rPr>
          <w:rFonts w:ascii="Times New Roman" w:hAnsi="Times New Roman" w:cs="Times New Roman"/>
          <w:i w:val="0"/>
          <w:color w:val="000000" w:themeColor="text1"/>
          <w:sz w:val="20"/>
        </w:rPr>
        <w:t xml:space="preserve"> </w:t>
      </w:r>
      <w:r w:rsidRPr="007628DE">
        <w:rPr>
          <w:rFonts w:ascii="Times New Roman" w:hAnsi="Times New Roman" w:cs="Times New Roman"/>
          <w:i w:val="0"/>
          <w:color w:val="000000" w:themeColor="text1"/>
          <w:sz w:val="20"/>
        </w:rPr>
        <w:t xml:space="preserve">PAR quality following NCCA </w:t>
      </w:r>
      <w:r>
        <w:rPr>
          <w:rFonts w:ascii="Times New Roman" w:hAnsi="Times New Roman" w:cs="Times New Roman"/>
          <w:i w:val="0"/>
          <w:color w:val="000000" w:themeColor="text1"/>
          <w:sz w:val="20"/>
        </w:rPr>
        <w:t>2015</w:t>
      </w:r>
      <w:r w:rsidRPr="007628DE">
        <w:rPr>
          <w:rFonts w:ascii="Times New Roman" w:hAnsi="Times New Roman" w:cs="Times New Roman"/>
          <w:i w:val="0"/>
          <w:color w:val="000000" w:themeColor="text1"/>
          <w:sz w:val="20"/>
        </w:rPr>
        <w:t xml:space="preserve"> thresholds for normal habitat or CBP thresholds for </w:t>
      </w:r>
      <w:r>
        <w:rPr>
          <w:rFonts w:ascii="Times New Roman" w:hAnsi="Times New Roman" w:cs="Times New Roman"/>
          <w:i w:val="0"/>
          <w:color w:val="000000" w:themeColor="text1"/>
          <w:sz w:val="20"/>
        </w:rPr>
        <w:t xml:space="preserve">stations sampled in </w:t>
      </w:r>
      <w:r w:rsidRPr="007628DE">
        <w:rPr>
          <w:rFonts w:ascii="Times New Roman" w:hAnsi="Times New Roman" w:cs="Times New Roman"/>
          <w:i w:val="0"/>
          <w:color w:val="000000" w:themeColor="text1"/>
          <w:sz w:val="20"/>
        </w:rPr>
        <w:t xml:space="preserve">habitat </w:t>
      </w:r>
      <w:r>
        <w:rPr>
          <w:rFonts w:ascii="Times New Roman" w:hAnsi="Times New Roman" w:cs="Times New Roman"/>
          <w:i w:val="0"/>
          <w:color w:val="000000" w:themeColor="text1"/>
          <w:sz w:val="20"/>
        </w:rPr>
        <w:t xml:space="preserve">with potential to support </w:t>
      </w:r>
      <w:r w:rsidRPr="007628DE">
        <w:rPr>
          <w:rFonts w:ascii="Times New Roman" w:hAnsi="Times New Roman" w:cs="Times New Roman"/>
          <w:i w:val="0"/>
          <w:color w:val="000000" w:themeColor="text1"/>
          <w:sz w:val="20"/>
        </w:rPr>
        <w:t>SAV</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7380" w:type="dxa"/>
        <w:tblLook w:val="04A0" w:firstRow="1" w:lastRow="0" w:firstColumn="1" w:lastColumn="0" w:noHBand="0" w:noVBand="1"/>
        <w:tblCaption w:val="Table 4.5- 8 PAR quality following NCCA 2015 thresholds for normal habitat or CBP thresholds for stations sampled in habitat with potential to support SAV"/>
        <w:tblDescription w:val="Table 4.5- 8 PAR quality following NCCA 2015 thresholds for normal habitat or CBP thresholds for stations sampled in habitat with potential to support SAV"/>
      </w:tblPr>
      <w:tblGrid>
        <w:gridCol w:w="880"/>
        <w:gridCol w:w="1370"/>
        <w:gridCol w:w="2160"/>
        <w:gridCol w:w="906"/>
        <w:gridCol w:w="930"/>
        <w:gridCol w:w="1260"/>
        <w:gridCol w:w="90"/>
      </w:tblGrid>
      <w:tr w:rsidR="00547DEB" w:rsidRPr="00547DEB" w14:paraId="373DE644" w14:textId="77777777" w:rsidTr="002C13A4">
        <w:trPr>
          <w:gridAfter w:val="1"/>
          <w:wAfter w:w="90" w:type="dxa"/>
          <w:trHeight w:val="300"/>
        </w:trPr>
        <w:tc>
          <w:tcPr>
            <w:tcW w:w="880" w:type="dxa"/>
            <w:tcBorders>
              <w:top w:val="nil"/>
              <w:left w:val="nil"/>
              <w:bottom w:val="single" w:sz="4" w:space="0" w:color="auto"/>
              <w:right w:val="nil"/>
            </w:tcBorders>
            <w:shd w:val="clear" w:color="auto" w:fill="auto"/>
            <w:noWrap/>
            <w:vAlign w:val="bottom"/>
            <w:hideMark/>
          </w:tcPr>
          <w:p w14:paraId="2897241C"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Habitat</w:t>
            </w:r>
          </w:p>
        </w:tc>
        <w:tc>
          <w:tcPr>
            <w:tcW w:w="1370" w:type="dxa"/>
            <w:tcBorders>
              <w:top w:val="nil"/>
              <w:left w:val="nil"/>
              <w:bottom w:val="single" w:sz="4" w:space="0" w:color="auto"/>
              <w:right w:val="nil"/>
            </w:tcBorders>
            <w:shd w:val="clear" w:color="auto" w:fill="auto"/>
            <w:noWrap/>
            <w:vAlign w:val="bottom"/>
            <w:hideMark/>
          </w:tcPr>
          <w:p w14:paraId="49511BBD"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PAR Quality</w:t>
            </w:r>
          </w:p>
        </w:tc>
        <w:tc>
          <w:tcPr>
            <w:tcW w:w="2160" w:type="dxa"/>
            <w:tcBorders>
              <w:top w:val="nil"/>
              <w:left w:val="nil"/>
              <w:bottom w:val="single" w:sz="4" w:space="0" w:color="auto"/>
              <w:right w:val="nil"/>
            </w:tcBorders>
            <w:shd w:val="clear" w:color="auto" w:fill="auto"/>
            <w:noWrap/>
            <w:vAlign w:val="bottom"/>
            <w:hideMark/>
          </w:tcPr>
          <w:p w14:paraId="47A20C22" w14:textId="77777777" w:rsidR="00547DEB" w:rsidRPr="00547DEB" w:rsidRDefault="00547DEB" w:rsidP="000B1BA5">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PAR Range (%)</w:t>
            </w:r>
          </w:p>
        </w:tc>
        <w:tc>
          <w:tcPr>
            <w:tcW w:w="690" w:type="dxa"/>
            <w:tcBorders>
              <w:top w:val="nil"/>
              <w:left w:val="nil"/>
              <w:bottom w:val="single" w:sz="4" w:space="0" w:color="auto"/>
              <w:right w:val="nil"/>
            </w:tcBorders>
            <w:shd w:val="clear" w:color="auto" w:fill="auto"/>
            <w:noWrap/>
            <w:vAlign w:val="bottom"/>
            <w:hideMark/>
          </w:tcPr>
          <w:p w14:paraId="2EB85276"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Stations</w:t>
            </w:r>
          </w:p>
        </w:tc>
        <w:tc>
          <w:tcPr>
            <w:tcW w:w="930" w:type="dxa"/>
            <w:tcBorders>
              <w:top w:val="nil"/>
              <w:left w:val="nil"/>
              <w:bottom w:val="single" w:sz="4" w:space="0" w:color="auto"/>
              <w:right w:val="nil"/>
            </w:tcBorders>
            <w:shd w:val="clear" w:color="auto" w:fill="auto"/>
            <w:noWrap/>
            <w:vAlign w:val="bottom"/>
            <w:hideMark/>
          </w:tcPr>
          <w:p w14:paraId="70405819"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c-values</w:t>
            </w:r>
          </w:p>
        </w:tc>
        <w:tc>
          <w:tcPr>
            <w:tcW w:w="1260" w:type="dxa"/>
            <w:tcBorders>
              <w:top w:val="nil"/>
              <w:left w:val="nil"/>
              <w:bottom w:val="single" w:sz="4" w:space="0" w:color="auto"/>
              <w:right w:val="nil"/>
            </w:tcBorders>
            <w:shd w:val="clear" w:color="auto" w:fill="auto"/>
            <w:noWrap/>
            <w:vAlign w:val="bottom"/>
            <w:hideMark/>
          </w:tcPr>
          <w:p w14:paraId="6F80B21D"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Percentage</w:t>
            </w:r>
          </w:p>
        </w:tc>
      </w:tr>
      <w:tr w:rsidR="00547DEB" w:rsidRPr="00547DEB" w14:paraId="3BA143A8" w14:textId="77777777" w:rsidTr="002C13A4">
        <w:trPr>
          <w:trHeight w:val="300"/>
        </w:trPr>
        <w:tc>
          <w:tcPr>
            <w:tcW w:w="880" w:type="dxa"/>
            <w:vMerge w:val="restart"/>
            <w:tcBorders>
              <w:top w:val="nil"/>
              <w:left w:val="nil"/>
              <w:bottom w:val="single" w:sz="4" w:space="0" w:color="000000"/>
              <w:right w:val="nil"/>
            </w:tcBorders>
            <w:shd w:val="clear" w:color="auto" w:fill="auto"/>
            <w:noWrap/>
            <w:vAlign w:val="center"/>
            <w:hideMark/>
          </w:tcPr>
          <w:p w14:paraId="5CB78F8D"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 xml:space="preserve">Normal </w:t>
            </w:r>
          </w:p>
        </w:tc>
        <w:tc>
          <w:tcPr>
            <w:tcW w:w="1370" w:type="dxa"/>
            <w:tcBorders>
              <w:top w:val="nil"/>
              <w:left w:val="nil"/>
              <w:bottom w:val="nil"/>
              <w:right w:val="nil"/>
            </w:tcBorders>
            <w:shd w:val="clear" w:color="auto" w:fill="auto"/>
            <w:noWrap/>
            <w:vAlign w:val="bottom"/>
            <w:hideMark/>
          </w:tcPr>
          <w:p w14:paraId="090AEDB1"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Good</w:t>
            </w:r>
          </w:p>
        </w:tc>
        <w:tc>
          <w:tcPr>
            <w:tcW w:w="2160" w:type="dxa"/>
            <w:tcBorders>
              <w:top w:val="nil"/>
              <w:left w:val="nil"/>
              <w:bottom w:val="nil"/>
              <w:right w:val="nil"/>
            </w:tcBorders>
            <w:shd w:val="clear" w:color="auto" w:fill="auto"/>
            <w:noWrap/>
            <w:vAlign w:val="bottom"/>
            <w:hideMark/>
          </w:tcPr>
          <w:p w14:paraId="034D4E23"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&gt; 20</w:t>
            </w:r>
          </w:p>
        </w:tc>
        <w:tc>
          <w:tcPr>
            <w:tcW w:w="690" w:type="dxa"/>
            <w:tcBorders>
              <w:top w:val="nil"/>
              <w:left w:val="nil"/>
              <w:bottom w:val="nil"/>
              <w:right w:val="nil"/>
            </w:tcBorders>
            <w:shd w:val="clear" w:color="auto" w:fill="auto"/>
            <w:hideMark/>
          </w:tcPr>
          <w:p w14:paraId="47BB35FC"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85</w:t>
            </w:r>
          </w:p>
        </w:tc>
        <w:tc>
          <w:tcPr>
            <w:tcW w:w="930" w:type="dxa"/>
            <w:vMerge w:val="restart"/>
            <w:tcBorders>
              <w:top w:val="nil"/>
              <w:left w:val="nil"/>
              <w:bottom w:val="single" w:sz="4" w:space="0" w:color="000000"/>
              <w:right w:val="nil"/>
            </w:tcBorders>
            <w:shd w:val="clear" w:color="auto" w:fill="auto"/>
            <w:noWrap/>
            <w:vAlign w:val="center"/>
            <w:hideMark/>
          </w:tcPr>
          <w:p w14:paraId="7412D0E6" w14:textId="77777777" w:rsidR="00547DEB" w:rsidRPr="00547DEB" w:rsidRDefault="00547DEB" w:rsidP="00547DEB">
            <w:pPr>
              <w:spacing w:after="0" w:line="240" w:lineRule="auto"/>
              <w:jc w:val="center"/>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1.4</w:t>
            </w:r>
          </w:p>
        </w:tc>
        <w:tc>
          <w:tcPr>
            <w:tcW w:w="1350" w:type="dxa"/>
            <w:gridSpan w:val="2"/>
            <w:tcBorders>
              <w:top w:val="nil"/>
              <w:left w:val="nil"/>
              <w:bottom w:val="nil"/>
              <w:right w:val="nil"/>
            </w:tcBorders>
            <w:shd w:val="clear" w:color="auto" w:fill="auto"/>
            <w:hideMark/>
          </w:tcPr>
          <w:p w14:paraId="10E4FBEC"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50.6 ± 7.62</w:t>
            </w:r>
          </w:p>
        </w:tc>
      </w:tr>
      <w:tr w:rsidR="00547DEB" w:rsidRPr="00547DEB" w14:paraId="4564CEB4" w14:textId="77777777" w:rsidTr="002C13A4">
        <w:trPr>
          <w:trHeight w:val="300"/>
        </w:trPr>
        <w:tc>
          <w:tcPr>
            <w:tcW w:w="880" w:type="dxa"/>
            <w:vMerge/>
            <w:tcBorders>
              <w:top w:val="nil"/>
              <w:left w:val="nil"/>
              <w:bottom w:val="single" w:sz="4" w:space="0" w:color="000000"/>
              <w:right w:val="nil"/>
            </w:tcBorders>
            <w:vAlign w:val="center"/>
            <w:hideMark/>
          </w:tcPr>
          <w:p w14:paraId="34AD6357"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hideMark/>
          </w:tcPr>
          <w:p w14:paraId="7AC8DC3D"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Fair</w:t>
            </w:r>
          </w:p>
        </w:tc>
        <w:tc>
          <w:tcPr>
            <w:tcW w:w="2160" w:type="dxa"/>
            <w:tcBorders>
              <w:top w:val="nil"/>
              <w:left w:val="nil"/>
              <w:bottom w:val="nil"/>
              <w:right w:val="nil"/>
            </w:tcBorders>
            <w:shd w:val="clear" w:color="auto" w:fill="auto"/>
            <w:noWrap/>
            <w:vAlign w:val="bottom"/>
            <w:hideMark/>
          </w:tcPr>
          <w:p w14:paraId="06B615FC"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u w:val="single"/>
              </w:rPr>
              <w:t>&lt;</w:t>
            </w:r>
            <w:r w:rsidRPr="00547DEB">
              <w:rPr>
                <w:rFonts w:ascii="Times New Roman" w:eastAsia="Times New Roman" w:hAnsi="Times New Roman" w:cs="Times New Roman"/>
                <w:color w:val="000000"/>
                <w:sz w:val="20"/>
                <w:szCs w:val="20"/>
              </w:rPr>
              <w:t xml:space="preserve"> 20 &amp; &gt; 10</w:t>
            </w:r>
          </w:p>
        </w:tc>
        <w:tc>
          <w:tcPr>
            <w:tcW w:w="690" w:type="dxa"/>
            <w:tcBorders>
              <w:top w:val="nil"/>
              <w:left w:val="nil"/>
              <w:bottom w:val="nil"/>
              <w:right w:val="nil"/>
            </w:tcBorders>
            <w:shd w:val="clear" w:color="auto" w:fill="auto"/>
            <w:hideMark/>
          </w:tcPr>
          <w:p w14:paraId="127627E9"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32</w:t>
            </w:r>
          </w:p>
        </w:tc>
        <w:tc>
          <w:tcPr>
            <w:tcW w:w="930" w:type="dxa"/>
            <w:vMerge/>
            <w:tcBorders>
              <w:top w:val="nil"/>
              <w:left w:val="nil"/>
              <w:bottom w:val="single" w:sz="4" w:space="0" w:color="000000"/>
              <w:right w:val="nil"/>
            </w:tcBorders>
            <w:vAlign w:val="center"/>
            <w:hideMark/>
          </w:tcPr>
          <w:p w14:paraId="59E5D46F"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nil"/>
              <w:right w:val="nil"/>
            </w:tcBorders>
            <w:shd w:val="clear" w:color="auto" w:fill="auto"/>
            <w:hideMark/>
          </w:tcPr>
          <w:p w14:paraId="61138867"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19.05 ± 5.98</w:t>
            </w:r>
          </w:p>
        </w:tc>
      </w:tr>
      <w:tr w:rsidR="00547DEB" w:rsidRPr="00547DEB" w14:paraId="0F42DCE1" w14:textId="77777777" w:rsidTr="002C13A4">
        <w:trPr>
          <w:trHeight w:val="300"/>
        </w:trPr>
        <w:tc>
          <w:tcPr>
            <w:tcW w:w="880" w:type="dxa"/>
            <w:vMerge/>
            <w:tcBorders>
              <w:top w:val="nil"/>
              <w:left w:val="nil"/>
              <w:bottom w:val="single" w:sz="4" w:space="0" w:color="000000"/>
              <w:right w:val="nil"/>
            </w:tcBorders>
            <w:vAlign w:val="center"/>
            <w:hideMark/>
          </w:tcPr>
          <w:p w14:paraId="475AAFD3"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hideMark/>
          </w:tcPr>
          <w:p w14:paraId="7D1802B9"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Poor</w:t>
            </w:r>
          </w:p>
        </w:tc>
        <w:tc>
          <w:tcPr>
            <w:tcW w:w="2160" w:type="dxa"/>
            <w:tcBorders>
              <w:top w:val="nil"/>
              <w:left w:val="nil"/>
              <w:bottom w:val="nil"/>
              <w:right w:val="nil"/>
            </w:tcBorders>
            <w:shd w:val="clear" w:color="auto" w:fill="auto"/>
            <w:noWrap/>
            <w:vAlign w:val="bottom"/>
            <w:hideMark/>
          </w:tcPr>
          <w:p w14:paraId="1D2D6194"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&lt; 10</w:t>
            </w:r>
          </w:p>
        </w:tc>
        <w:tc>
          <w:tcPr>
            <w:tcW w:w="690" w:type="dxa"/>
            <w:tcBorders>
              <w:top w:val="nil"/>
              <w:left w:val="nil"/>
              <w:bottom w:val="nil"/>
              <w:right w:val="nil"/>
            </w:tcBorders>
            <w:shd w:val="clear" w:color="auto" w:fill="auto"/>
            <w:hideMark/>
          </w:tcPr>
          <w:p w14:paraId="710533AB"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46</w:t>
            </w:r>
          </w:p>
        </w:tc>
        <w:tc>
          <w:tcPr>
            <w:tcW w:w="930" w:type="dxa"/>
            <w:vMerge/>
            <w:tcBorders>
              <w:top w:val="nil"/>
              <w:left w:val="nil"/>
              <w:bottom w:val="single" w:sz="4" w:space="0" w:color="000000"/>
              <w:right w:val="nil"/>
            </w:tcBorders>
            <w:vAlign w:val="center"/>
            <w:hideMark/>
          </w:tcPr>
          <w:p w14:paraId="6F9C1D35"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nil"/>
              <w:right w:val="nil"/>
            </w:tcBorders>
            <w:shd w:val="clear" w:color="auto" w:fill="auto"/>
            <w:hideMark/>
          </w:tcPr>
          <w:p w14:paraId="53195E48"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27.38 ± 6.79</w:t>
            </w:r>
          </w:p>
        </w:tc>
      </w:tr>
      <w:tr w:rsidR="00547DEB" w:rsidRPr="00547DEB" w14:paraId="7267E521" w14:textId="77777777" w:rsidTr="002C13A4">
        <w:trPr>
          <w:trHeight w:val="300"/>
        </w:trPr>
        <w:tc>
          <w:tcPr>
            <w:tcW w:w="880" w:type="dxa"/>
            <w:vMerge/>
            <w:tcBorders>
              <w:top w:val="nil"/>
              <w:left w:val="nil"/>
              <w:bottom w:val="single" w:sz="4" w:space="0" w:color="000000"/>
              <w:right w:val="nil"/>
            </w:tcBorders>
            <w:vAlign w:val="center"/>
            <w:hideMark/>
          </w:tcPr>
          <w:p w14:paraId="13206CB9"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single" w:sz="4" w:space="0" w:color="auto"/>
              <w:right w:val="nil"/>
            </w:tcBorders>
            <w:shd w:val="clear" w:color="auto" w:fill="auto"/>
            <w:noWrap/>
            <w:vAlign w:val="bottom"/>
            <w:hideMark/>
          </w:tcPr>
          <w:p w14:paraId="5DF7A589"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Missing</w:t>
            </w:r>
          </w:p>
        </w:tc>
        <w:tc>
          <w:tcPr>
            <w:tcW w:w="2160" w:type="dxa"/>
            <w:tcBorders>
              <w:top w:val="nil"/>
              <w:left w:val="nil"/>
              <w:bottom w:val="single" w:sz="4" w:space="0" w:color="auto"/>
              <w:right w:val="nil"/>
            </w:tcBorders>
            <w:shd w:val="clear" w:color="auto" w:fill="auto"/>
            <w:noWrap/>
            <w:vAlign w:val="bottom"/>
            <w:hideMark/>
          </w:tcPr>
          <w:p w14:paraId="009658AF" w14:textId="50A2AFA5"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p>
        </w:tc>
        <w:tc>
          <w:tcPr>
            <w:tcW w:w="690" w:type="dxa"/>
            <w:tcBorders>
              <w:top w:val="nil"/>
              <w:left w:val="nil"/>
              <w:bottom w:val="single" w:sz="4" w:space="0" w:color="auto"/>
              <w:right w:val="nil"/>
            </w:tcBorders>
            <w:shd w:val="clear" w:color="auto" w:fill="auto"/>
            <w:hideMark/>
          </w:tcPr>
          <w:p w14:paraId="22D4D1DF"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5</w:t>
            </w:r>
          </w:p>
        </w:tc>
        <w:tc>
          <w:tcPr>
            <w:tcW w:w="930" w:type="dxa"/>
            <w:vMerge/>
            <w:tcBorders>
              <w:top w:val="nil"/>
              <w:left w:val="nil"/>
              <w:bottom w:val="single" w:sz="4" w:space="0" w:color="000000"/>
              <w:right w:val="nil"/>
            </w:tcBorders>
            <w:vAlign w:val="center"/>
            <w:hideMark/>
          </w:tcPr>
          <w:p w14:paraId="59841680"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single" w:sz="4" w:space="0" w:color="auto"/>
              <w:right w:val="nil"/>
            </w:tcBorders>
            <w:shd w:val="clear" w:color="auto" w:fill="auto"/>
            <w:hideMark/>
          </w:tcPr>
          <w:p w14:paraId="3B602493"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2.98 ± 2.59</w:t>
            </w:r>
          </w:p>
        </w:tc>
      </w:tr>
      <w:tr w:rsidR="00547DEB" w:rsidRPr="00547DEB" w14:paraId="22FA1657" w14:textId="77777777" w:rsidTr="002C13A4">
        <w:trPr>
          <w:trHeight w:val="300"/>
        </w:trPr>
        <w:tc>
          <w:tcPr>
            <w:tcW w:w="880" w:type="dxa"/>
            <w:vMerge w:val="restart"/>
            <w:tcBorders>
              <w:top w:val="nil"/>
              <w:left w:val="nil"/>
              <w:bottom w:val="single" w:sz="4" w:space="0" w:color="000000"/>
              <w:right w:val="nil"/>
            </w:tcBorders>
            <w:shd w:val="clear" w:color="auto" w:fill="auto"/>
            <w:noWrap/>
            <w:vAlign w:val="center"/>
            <w:hideMark/>
          </w:tcPr>
          <w:p w14:paraId="16CE1901"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 xml:space="preserve">SAV </w:t>
            </w:r>
          </w:p>
        </w:tc>
        <w:tc>
          <w:tcPr>
            <w:tcW w:w="1370" w:type="dxa"/>
            <w:tcBorders>
              <w:top w:val="nil"/>
              <w:left w:val="nil"/>
              <w:bottom w:val="nil"/>
              <w:right w:val="nil"/>
            </w:tcBorders>
            <w:shd w:val="clear" w:color="auto" w:fill="auto"/>
            <w:noWrap/>
            <w:vAlign w:val="bottom"/>
            <w:hideMark/>
          </w:tcPr>
          <w:p w14:paraId="7BA1F222"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Good</w:t>
            </w:r>
          </w:p>
        </w:tc>
        <w:tc>
          <w:tcPr>
            <w:tcW w:w="2160" w:type="dxa"/>
            <w:tcBorders>
              <w:top w:val="nil"/>
              <w:left w:val="nil"/>
              <w:bottom w:val="nil"/>
              <w:right w:val="nil"/>
            </w:tcBorders>
            <w:shd w:val="clear" w:color="auto" w:fill="auto"/>
            <w:noWrap/>
            <w:vAlign w:val="bottom"/>
            <w:hideMark/>
          </w:tcPr>
          <w:p w14:paraId="0ED2FA17"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&gt; 40</w:t>
            </w:r>
          </w:p>
        </w:tc>
        <w:tc>
          <w:tcPr>
            <w:tcW w:w="690" w:type="dxa"/>
            <w:tcBorders>
              <w:top w:val="nil"/>
              <w:left w:val="nil"/>
              <w:bottom w:val="nil"/>
              <w:right w:val="nil"/>
            </w:tcBorders>
            <w:shd w:val="clear" w:color="auto" w:fill="auto"/>
            <w:hideMark/>
          </w:tcPr>
          <w:p w14:paraId="4ED10205"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7</w:t>
            </w:r>
          </w:p>
        </w:tc>
        <w:tc>
          <w:tcPr>
            <w:tcW w:w="930" w:type="dxa"/>
            <w:vMerge w:val="restart"/>
            <w:tcBorders>
              <w:top w:val="nil"/>
              <w:left w:val="nil"/>
              <w:bottom w:val="single" w:sz="4" w:space="0" w:color="000000"/>
              <w:right w:val="nil"/>
            </w:tcBorders>
            <w:shd w:val="clear" w:color="auto" w:fill="auto"/>
            <w:noWrap/>
            <w:vAlign w:val="center"/>
            <w:hideMark/>
          </w:tcPr>
          <w:p w14:paraId="43476676" w14:textId="77777777" w:rsidR="00547DEB" w:rsidRPr="00547DEB" w:rsidRDefault="00547DEB" w:rsidP="00547DEB">
            <w:pPr>
              <w:spacing w:after="0" w:line="240" w:lineRule="auto"/>
              <w:jc w:val="center"/>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1.7</w:t>
            </w:r>
          </w:p>
        </w:tc>
        <w:tc>
          <w:tcPr>
            <w:tcW w:w="1350" w:type="dxa"/>
            <w:gridSpan w:val="2"/>
            <w:tcBorders>
              <w:top w:val="nil"/>
              <w:left w:val="nil"/>
              <w:bottom w:val="nil"/>
              <w:right w:val="nil"/>
            </w:tcBorders>
            <w:shd w:val="clear" w:color="auto" w:fill="auto"/>
            <w:hideMark/>
          </w:tcPr>
          <w:p w14:paraId="2532A53F"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5.38 ± 3.92</w:t>
            </w:r>
          </w:p>
        </w:tc>
      </w:tr>
      <w:tr w:rsidR="00547DEB" w:rsidRPr="00547DEB" w14:paraId="559917C6" w14:textId="77777777" w:rsidTr="002C13A4">
        <w:trPr>
          <w:trHeight w:val="300"/>
        </w:trPr>
        <w:tc>
          <w:tcPr>
            <w:tcW w:w="880" w:type="dxa"/>
            <w:vMerge/>
            <w:tcBorders>
              <w:top w:val="nil"/>
              <w:left w:val="nil"/>
              <w:bottom w:val="single" w:sz="4" w:space="0" w:color="000000"/>
              <w:right w:val="nil"/>
            </w:tcBorders>
            <w:vAlign w:val="center"/>
            <w:hideMark/>
          </w:tcPr>
          <w:p w14:paraId="6F37C0C6"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hideMark/>
          </w:tcPr>
          <w:p w14:paraId="48EB5C79"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Fair</w:t>
            </w:r>
          </w:p>
        </w:tc>
        <w:tc>
          <w:tcPr>
            <w:tcW w:w="2160" w:type="dxa"/>
            <w:tcBorders>
              <w:top w:val="nil"/>
              <w:left w:val="nil"/>
              <w:bottom w:val="nil"/>
              <w:right w:val="nil"/>
            </w:tcBorders>
            <w:shd w:val="clear" w:color="auto" w:fill="auto"/>
            <w:noWrap/>
            <w:vAlign w:val="bottom"/>
            <w:hideMark/>
          </w:tcPr>
          <w:p w14:paraId="08476135"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&lt; 40 &amp; &gt; CBP Criteria</w:t>
            </w:r>
          </w:p>
        </w:tc>
        <w:tc>
          <w:tcPr>
            <w:tcW w:w="690" w:type="dxa"/>
            <w:tcBorders>
              <w:top w:val="nil"/>
              <w:left w:val="nil"/>
              <w:bottom w:val="nil"/>
              <w:right w:val="nil"/>
            </w:tcBorders>
            <w:shd w:val="clear" w:color="auto" w:fill="auto"/>
            <w:hideMark/>
          </w:tcPr>
          <w:p w14:paraId="3568DA2A"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21</w:t>
            </w:r>
          </w:p>
        </w:tc>
        <w:tc>
          <w:tcPr>
            <w:tcW w:w="930" w:type="dxa"/>
            <w:vMerge/>
            <w:tcBorders>
              <w:top w:val="nil"/>
              <w:left w:val="nil"/>
              <w:bottom w:val="single" w:sz="4" w:space="0" w:color="000000"/>
              <w:right w:val="nil"/>
            </w:tcBorders>
            <w:vAlign w:val="center"/>
            <w:hideMark/>
          </w:tcPr>
          <w:p w14:paraId="128641AC"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nil"/>
              <w:right w:val="nil"/>
            </w:tcBorders>
            <w:shd w:val="clear" w:color="auto" w:fill="auto"/>
            <w:hideMark/>
          </w:tcPr>
          <w:p w14:paraId="439210BE"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16.15 ± 6.39</w:t>
            </w:r>
          </w:p>
        </w:tc>
      </w:tr>
      <w:tr w:rsidR="00547DEB" w:rsidRPr="00547DEB" w14:paraId="16531B70" w14:textId="77777777" w:rsidTr="002C13A4">
        <w:trPr>
          <w:trHeight w:val="300"/>
        </w:trPr>
        <w:tc>
          <w:tcPr>
            <w:tcW w:w="880" w:type="dxa"/>
            <w:vMerge/>
            <w:tcBorders>
              <w:top w:val="nil"/>
              <w:left w:val="nil"/>
              <w:bottom w:val="single" w:sz="4" w:space="0" w:color="000000"/>
              <w:right w:val="nil"/>
            </w:tcBorders>
            <w:vAlign w:val="center"/>
            <w:hideMark/>
          </w:tcPr>
          <w:p w14:paraId="6D31DD18"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hideMark/>
          </w:tcPr>
          <w:p w14:paraId="2CFBDD94"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Poor</w:t>
            </w:r>
          </w:p>
        </w:tc>
        <w:tc>
          <w:tcPr>
            <w:tcW w:w="2160" w:type="dxa"/>
            <w:tcBorders>
              <w:top w:val="nil"/>
              <w:left w:val="nil"/>
              <w:bottom w:val="nil"/>
              <w:right w:val="nil"/>
            </w:tcBorders>
            <w:shd w:val="clear" w:color="auto" w:fill="auto"/>
            <w:noWrap/>
            <w:vAlign w:val="bottom"/>
            <w:hideMark/>
          </w:tcPr>
          <w:p w14:paraId="557033FB" w14:textId="7777777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&lt;  CBP Criteria</w:t>
            </w:r>
          </w:p>
        </w:tc>
        <w:tc>
          <w:tcPr>
            <w:tcW w:w="690" w:type="dxa"/>
            <w:tcBorders>
              <w:top w:val="nil"/>
              <w:left w:val="nil"/>
              <w:bottom w:val="nil"/>
              <w:right w:val="nil"/>
            </w:tcBorders>
            <w:shd w:val="clear" w:color="auto" w:fill="auto"/>
            <w:hideMark/>
          </w:tcPr>
          <w:p w14:paraId="4C870D62"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101</w:t>
            </w:r>
          </w:p>
        </w:tc>
        <w:tc>
          <w:tcPr>
            <w:tcW w:w="930" w:type="dxa"/>
            <w:vMerge/>
            <w:tcBorders>
              <w:top w:val="nil"/>
              <w:left w:val="nil"/>
              <w:bottom w:val="single" w:sz="4" w:space="0" w:color="000000"/>
              <w:right w:val="nil"/>
            </w:tcBorders>
            <w:vAlign w:val="center"/>
            <w:hideMark/>
          </w:tcPr>
          <w:p w14:paraId="74194356"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nil"/>
              <w:right w:val="nil"/>
            </w:tcBorders>
            <w:shd w:val="clear" w:color="auto" w:fill="auto"/>
            <w:hideMark/>
          </w:tcPr>
          <w:p w14:paraId="0839392D"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77.69 ± 7.22</w:t>
            </w:r>
          </w:p>
        </w:tc>
      </w:tr>
      <w:tr w:rsidR="00547DEB" w:rsidRPr="00547DEB" w14:paraId="7AF48D24" w14:textId="77777777" w:rsidTr="002C13A4">
        <w:trPr>
          <w:trHeight w:val="300"/>
        </w:trPr>
        <w:tc>
          <w:tcPr>
            <w:tcW w:w="880" w:type="dxa"/>
            <w:vMerge/>
            <w:tcBorders>
              <w:top w:val="nil"/>
              <w:left w:val="nil"/>
              <w:bottom w:val="single" w:sz="4" w:space="0" w:color="000000"/>
              <w:right w:val="nil"/>
            </w:tcBorders>
            <w:vAlign w:val="center"/>
            <w:hideMark/>
          </w:tcPr>
          <w:p w14:paraId="0D5051FC"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70" w:type="dxa"/>
            <w:tcBorders>
              <w:top w:val="nil"/>
              <w:left w:val="nil"/>
              <w:bottom w:val="single" w:sz="4" w:space="0" w:color="auto"/>
              <w:right w:val="nil"/>
            </w:tcBorders>
            <w:shd w:val="clear" w:color="auto" w:fill="auto"/>
            <w:noWrap/>
            <w:vAlign w:val="bottom"/>
            <w:hideMark/>
          </w:tcPr>
          <w:p w14:paraId="5D65F029"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Missing</w:t>
            </w:r>
          </w:p>
        </w:tc>
        <w:tc>
          <w:tcPr>
            <w:tcW w:w="2160" w:type="dxa"/>
            <w:tcBorders>
              <w:top w:val="nil"/>
              <w:left w:val="nil"/>
              <w:bottom w:val="single" w:sz="4" w:space="0" w:color="auto"/>
              <w:right w:val="nil"/>
            </w:tcBorders>
            <w:shd w:val="clear" w:color="auto" w:fill="auto"/>
            <w:noWrap/>
            <w:vAlign w:val="bottom"/>
            <w:hideMark/>
          </w:tcPr>
          <w:p w14:paraId="2ABB36E7" w14:textId="7E166A27" w:rsidR="00547DEB" w:rsidRPr="00547DEB" w:rsidRDefault="00547DEB" w:rsidP="000B1BA5">
            <w:pPr>
              <w:spacing w:after="0" w:line="240" w:lineRule="auto"/>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p>
        </w:tc>
        <w:tc>
          <w:tcPr>
            <w:tcW w:w="690" w:type="dxa"/>
            <w:tcBorders>
              <w:top w:val="nil"/>
              <w:left w:val="nil"/>
              <w:bottom w:val="single" w:sz="4" w:space="0" w:color="auto"/>
              <w:right w:val="nil"/>
            </w:tcBorders>
            <w:shd w:val="clear" w:color="auto" w:fill="auto"/>
            <w:hideMark/>
          </w:tcPr>
          <w:p w14:paraId="6B3605DF"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w:t>
            </w:r>
          </w:p>
        </w:tc>
        <w:tc>
          <w:tcPr>
            <w:tcW w:w="930" w:type="dxa"/>
            <w:vMerge/>
            <w:tcBorders>
              <w:top w:val="nil"/>
              <w:left w:val="nil"/>
              <w:bottom w:val="single" w:sz="4" w:space="0" w:color="000000"/>
              <w:right w:val="nil"/>
            </w:tcBorders>
            <w:vAlign w:val="center"/>
            <w:hideMark/>
          </w:tcPr>
          <w:p w14:paraId="128C2092" w14:textId="77777777" w:rsidR="00547DEB" w:rsidRPr="00547DEB" w:rsidRDefault="00547DEB" w:rsidP="00547DEB">
            <w:pPr>
              <w:spacing w:after="0" w:line="240" w:lineRule="auto"/>
              <w:rPr>
                <w:rFonts w:ascii="Times New Roman" w:eastAsia="Times New Roman" w:hAnsi="Times New Roman" w:cs="Times New Roman"/>
                <w:color w:val="000000"/>
                <w:sz w:val="20"/>
                <w:szCs w:val="20"/>
              </w:rPr>
            </w:pPr>
          </w:p>
        </w:tc>
        <w:tc>
          <w:tcPr>
            <w:tcW w:w="1350" w:type="dxa"/>
            <w:gridSpan w:val="2"/>
            <w:tcBorders>
              <w:top w:val="nil"/>
              <w:left w:val="nil"/>
              <w:bottom w:val="single" w:sz="4" w:space="0" w:color="auto"/>
              <w:right w:val="nil"/>
            </w:tcBorders>
            <w:shd w:val="clear" w:color="auto" w:fill="auto"/>
            <w:hideMark/>
          </w:tcPr>
          <w:p w14:paraId="24CA2B87"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0.77 ± 1.52</w:t>
            </w:r>
          </w:p>
        </w:tc>
      </w:tr>
      <w:tr w:rsidR="00547DEB" w:rsidRPr="00547DEB" w14:paraId="4843B69B" w14:textId="77777777" w:rsidTr="002C13A4">
        <w:trPr>
          <w:trHeight w:val="305"/>
        </w:trPr>
        <w:tc>
          <w:tcPr>
            <w:tcW w:w="880" w:type="dxa"/>
            <w:tcBorders>
              <w:top w:val="nil"/>
              <w:left w:val="nil"/>
              <w:bottom w:val="nil"/>
              <w:right w:val="nil"/>
            </w:tcBorders>
            <w:shd w:val="clear" w:color="auto" w:fill="auto"/>
            <w:noWrap/>
            <w:vAlign w:val="bottom"/>
            <w:hideMark/>
          </w:tcPr>
          <w:p w14:paraId="12D799A3"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p>
        </w:tc>
        <w:tc>
          <w:tcPr>
            <w:tcW w:w="1370" w:type="dxa"/>
            <w:tcBorders>
              <w:top w:val="nil"/>
              <w:left w:val="nil"/>
              <w:bottom w:val="nil"/>
              <w:right w:val="nil"/>
            </w:tcBorders>
            <w:shd w:val="clear" w:color="auto" w:fill="auto"/>
            <w:noWrap/>
            <w:vAlign w:val="bottom"/>
            <w:hideMark/>
          </w:tcPr>
          <w:p w14:paraId="742DC9EB"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Total</w:t>
            </w:r>
          </w:p>
        </w:tc>
        <w:tc>
          <w:tcPr>
            <w:tcW w:w="2160" w:type="dxa"/>
            <w:tcBorders>
              <w:top w:val="nil"/>
              <w:left w:val="nil"/>
              <w:bottom w:val="nil"/>
              <w:right w:val="nil"/>
            </w:tcBorders>
            <w:shd w:val="clear" w:color="auto" w:fill="auto"/>
            <w:noWrap/>
            <w:vAlign w:val="bottom"/>
            <w:hideMark/>
          </w:tcPr>
          <w:p w14:paraId="1BA8360F"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690" w:type="dxa"/>
            <w:tcBorders>
              <w:top w:val="nil"/>
              <w:left w:val="nil"/>
              <w:bottom w:val="nil"/>
              <w:right w:val="nil"/>
            </w:tcBorders>
            <w:shd w:val="clear" w:color="auto" w:fill="auto"/>
            <w:noWrap/>
            <w:vAlign w:val="bottom"/>
            <w:hideMark/>
          </w:tcPr>
          <w:p w14:paraId="1F2E9054"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r w:rsidRPr="00547DEB">
              <w:rPr>
                <w:rFonts w:ascii="Times New Roman" w:eastAsia="Times New Roman" w:hAnsi="Times New Roman" w:cs="Times New Roman"/>
                <w:b/>
                <w:bCs/>
                <w:color w:val="000000"/>
                <w:sz w:val="20"/>
                <w:szCs w:val="20"/>
              </w:rPr>
              <w:t>298</w:t>
            </w:r>
          </w:p>
        </w:tc>
        <w:tc>
          <w:tcPr>
            <w:tcW w:w="930" w:type="dxa"/>
            <w:tcBorders>
              <w:top w:val="nil"/>
              <w:left w:val="nil"/>
              <w:bottom w:val="nil"/>
              <w:right w:val="nil"/>
            </w:tcBorders>
            <w:shd w:val="clear" w:color="auto" w:fill="auto"/>
            <w:noWrap/>
            <w:vAlign w:val="bottom"/>
            <w:hideMark/>
          </w:tcPr>
          <w:p w14:paraId="5863A6CE"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1350" w:type="dxa"/>
            <w:gridSpan w:val="2"/>
            <w:tcBorders>
              <w:top w:val="nil"/>
              <w:left w:val="nil"/>
              <w:bottom w:val="nil"/>
              <w:right w:val="nil"/>
            </w:tcBorders>
            <w:shd w:val="clear" w:color="auto" w:fill="auto"/>
            <w:noWrap/>
            <w:vAlign w:val="bottom"/>
            <w:hideMark/>
          </w:tcPr>
          <w:p w14:paraId="020300D6" w14:textId="77777777" w:rsidR="00547DEB" w:rsidRPr="00547DEB" w:rsidRDefault="00547DEB" w:rsidP="00547DEB">
            <w:pPr>
              <w:spacing w:after="0" w:line="240" w:lineRule="auto"/>
              <w:rPr>
                <w:rFonts w:ascii="Times New Roman" w:eastAsia="Times New Roman" w:hAnsi="Times New Roman" w:cs="Times New Roman"/>
                <w:sz w:val="20"/>
                <w:szCs w:val="20"/>
              </w:rPr>
            </w:pPr>
          </w:p>
        </w:tc>
      </w:tr>
      <w:tr w:rsidR="00547DEB" w:rsidRPr="00547DEB" w14:paraId="6C4B0527" w14:textId="77777777" w:rsidTr="002C13A4">
        <w:trPr>
          <w:trHeight w:val="90"/>
        </w:trPr>
        <w:tc>
          <w:tcPr>
            <w:tcW w:w="880" w:type="dxa"/>
            <w:tcBorders>
              <w:top w:val="nil"/>
              <w:left w:val="nil"/>
              <w:bottom w:val="nil"/>
              <w:right w:val="nil"/>
            </w:tcBorders>
            <w:shd w:val="clear" w:color="auto" w:fill="auto"/>
            <w:noWrap/>
            <w:vAlign w:val="bottom"/>
          </w:tcPr>
          <w:p w14:paraId="6616BD63" w14:textId="77777777" w:rsidR="00547DEB" w:rsidRPr="00547DEB" w:rsidRDefault="00547DEB" w:rsidP="00547DEB">
            <w:pPr>
              <w:spacing w:after="0" w:line="240" w:lineRule="auto"/>
              <w:rPr>
                <w:rFonts w:ascii="Times New Roman" w:eastAsia="Times New Roman" w:hAnsi="Times New Roman" w:cs="Times New Roman"/>
                <w:color w:val="222222"/>
                <w:sz w:val="20"/>
                <w:szCs w:val="20"/>
              </w:rPr>
            </w:pPr>
          </w:p>
        </w:tc>
        <w:tc>
          <w:tcPr>
            <w:tcW w:w="1370" w:type="dxa"/>
            <w:tcBorders>
              <w:top w:val="nil"/>
              <w:left w:val="nil"/>
              <w:bottom w:val="nil"/>
              <w:right w:val="nil"/>
            </w:tcBorders>
            <w:shd w:val="clear" w:color="auto" w:fill="auto"/>
            <w:noWrap/>
            <w:vAlign w:val="bottom"/>
          </w:tcPr>
          <w:p w14:paraId="116C5942"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2160" w:type="dxa"/>
            <w:tcBorders>
              <w:top w:val="nil"/>
              <w:left w:val="nil"/>
              <w:bottom w:val="nil"/>
              <w:right w:val="nil"/>
            </w:tcBorders>
            <w:shd w:val="clear" w:color="auto" w:fill="auto"/>
            <w:noWrap/>
            <w:vAlign w:val="bottom"/>
          </w:tcPr>
          <w:p w14:paraId="04A8E7BC"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690" w:type="dxa"/>
            <w:tcBorders>
              <w:top w:val="nil"/>
              <w:left w:val="nil"/>
              <w:bottom w:val="nil"/>
              <w:right w:val="nil"/>
            </w:tcBorders>
            <w:shd w:val="clear" w:color="auto" w:fill="auto"/>
            <w:noWrap/>
            <w:vAlign w:val="bottom"/>
          </w:tcPr>
          <w:p w14:paraId="5ECED7F5"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930" w:type="dxa"/>
            <w:tcBorders>
              <w:top w:val="nil"/>
              <w:left w:val="nil"/>
              <w:bottom w:val="nil"/>
              <w:right w:val="nil"/>
            </w:tcBorders>
            <w:shd w:val="clear" w:color="auto" w:fill="auto"/>
            <w:noWrap/>
            <w:vAlign w:val="bottom"/>
          </w:tcPr>
          <w:p w14:paraId="403FC8D7" w14:textId="77777777" w:rsidR="00547DEB" w:rsidRPr="00547DEB" w:rsidRDefault="00547DEB" w:rsidP="00547DEB">
            <w:pPr>
              <w:spacing w:after="0" w:line="240" w:lineRule="auto"/>
              <w:rPr>
                <w:rFonts w:ascii="Times New Roman" w:eastAsia="Times New Roman" w:hAnsi="Times New Roman" w:cs="Times New Roman"/>
                <w:b/>
                <w:bCs/>
                <w:color w:val="000000"/>
                <w:sz w:val="20"/>
                <w:szCs w:val="20"/>
              </w:rPr>
            </w:pPr>
          </w:p>
        </w:tc>
        <w:tc>
          <w:tcPr>
            <w:tcW w:w="1350" w:type="dxa"/>
            <w:gridSpan w:val="2"/>
            <w:tcBorders>
              <w:top w:val="nil"/>
              <w:left w:val="nil"/>
              <w:bottom w:val="nil"/>
              <w:right w:val="nil"/>
            </w:tcBorders>
            <w:shd w:val="clear" w:color="auto" w:fill="auto"/>
            <w:noWrap/>
            <w:vAlign w:val="bottom"/>
          </w:tcPr>
          <w:p w14:paraId="6A08BD17" w14:textId="77777777" w:rsidR="00547DEB" w:rsidRPr="00547DEB" w:rsidRDefault="00547DEB" w:rsidP="00547DEB">
            <w:pPr>
              <w:spacing w:after="0" w:line="240" w:lineRule="auto"/>
              <w:rPr>
                <w:rFonts w:ascii="Times New Roman" w:eastAsia="Times New Roman" w:hAnsi="Times New Roman" w:cs="Times New Roman"/>
                <w:sz w:val="20"/>
                <w:szCs w:val="20"/>
              </w:rPr>
            </w:pPr>
          </w:p>
        </w:tc>
      </w:tr>
    </w:tbl>
    <w:p w14:paraId="6EC6B470" w14:textId="0FD2E3B3" w:rsidR="003A7009" w:rsidRPr="00547DEB" w:rsidRDefault="007628DE" w:rsidP="002C13A4">
      <w:pPr>
        <w:spacing w:line="240" w:lineRule="auto"/>
        <w:rPr>
          <w:rFonts w:ascii="Times New Roman" w:hAnsi="Times New Roman" w:cs="Times New Roman"/>
          <w:sz w:val="20"/>
        </w:rPr>
      </w:pPr>
      <w:r w:rsidRPr="007628DE">
        <w:rPr>
          <w:rFonts w:ascii="Times New Roman" w:hAnsi="Times New Roman" w:cs="Times New Roman"/>
          <w:sz w:val="20"/>
          <w:vertAlign w:val="superscript"/>
        </w:rPr>
        <w:t>1</w:t>
      </w:r>
      <w:r w:rsidRPr="007628DE">
        <w:rPr>
          <w:rFonts w:ascii="Times New Roman" w:hAnsi="Times New Roman" w:cs="Times New Roman"/>
          <w:sz w:val="20"/>
        </w:rPr>
        <w:t xml:space="preserve">Stations that met </w:t>
      </w:r>
      <w:r>
        <w:rPr>
          <w:rFonts w:ascii="Times New Roman" w:hAnsi="Times New Roman" w:cs="Times New Roman"/>
          <w:sz w:val="20"/>
        </w:rPr>
        <w:t>CBP</w:t>
      </w:r>
      <w:r w:rsidRPr="007628DE">
        <w:rPr>
          <w:rFonts w:ascii="Times New Roman" w:hAnsi="Times New Roman" w:cs="Times New Roman"/>
          <w:sz w:val="20"/>
        </w:rPr>
        <w:t xml:space="preserve"> SAV criteria were compared to respective values in Table 4.5-</w:t>
      </w:r>
      <w:r w:rsidR="008B0194">
        <w:rPr>
          <w:rFonts w:ascii="Times New Roman" w:hAnsi="Times New Roman" w:cs="Times New Roman"/>
          <w:sz w:val="20"/>
        </w:rPr>
        <w:t>8</w:t>
      </w:r>
      <w:r>
        <w:rPr>
          <w:rFonts w:ascii="Times New Roman" w:hAnsi="Times New Roman" w:cs="Times New Roman"/>
          <w:sz w:val="20"/>
        </w:rPr>
        <w:t>.</w:t>
      </w:r>
    </w:p>
    <w:p w14:paraId="3C83178E" w14:textId="4D90A173" w:rsidR="00547DEB" w:rsidRDefault="00EE67CB"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 xml:space="preserve">Water Quality Index (WQI): </w:t>
      </w:r>
      <w:r w:rsidRPr="00FE1DDB">
        <w:rPr>
          <w:rFonts w:ascii="Times New Roman" w:hAnsi="Times New Roman" w:cs="Times New Roman"/>
          <w:sz w:val="24"/>
          <w:szCs w:val="24"/>
        </w:rPr>
        <w:t>The five individual elements of water quality evaluated above</w:t>
      </w:r>
      <w:r w:rsidR="00D92FC7" w:rsidRPr="00FE1DDB">
        <w:rPr>
          <w:rFonts w:ascii="Times New Roman" w:hAnsi="Times New Roman" w:cs="Times New Roman"/>
          <w:sz w:val="24"/>
          <w:szCs w:val="24"/>
        </w:rPr>
        <w:t xml:space="preserve"> may not always agree in their </w:t>
      </w:r>
      <w:r w:rsidR="00552E0B" w:rsidRPr="00FE1DDB">
        <w:rPr>
          <w:rFonts w:ascii="Times New Roman" w:hAnsi="Times New Roman" w:cs="Times New Roman"/>
          <w:sz w:val="24"/>
          <w:szCs w:val="24"/>
        </w:rPr>
        <w:t>separate</w:t>
      </w:r>
      <w:r w:rsidR="00D92FC7" w:rsidRPr="00FE1DDB">
        <w:rPr>
          <w:rFonts w:ascii="Times New Roman" w:hAnsi="Times New Roman" w:cs="Times New Roman"/>
          <w:sz w:val="24"/>
          <w:szCs w:val="24"/>
        </w:rPr>
        <w:t xml:space="preserve"> characterizations of water quality. For example, a decrease in dissolved nutrients (DIP and DIN) might be interpreted as an improvement of water quality, but if the decrease was caused by the rapid uptake of nutrients by an expanding population of algae (a bloom), an increase in chlorophyll-a (Chl-a) and a decrease in water clarity (PAR) would result. Both of the la</w:t>
      </w:r>
      <w:r w:rsidR="00547DEB">
        <w:rPr>
          <w:rFonts w:ascii="Times New Roman" w:hAnsi="Times New Roman" w:cs="Times New Roman"/>
          <w:sz w:val="24"/>
          <w:szCs w:val="24"/>
        </w:rPr>
        <w:t>t</w:t>
      </w:r>
      <w:r w:rsidR="00D92FC7" w:rsidRPr="00FE1DDB">
        <w:rPr>
          <w:rFonts w:ascii="Times New Roman" w:hAnsi="Times New Roman" w:cs="Times New Roman"/>
          <w:sz w:val="24"/>
          <w:szCs w:val="24"/>
        </w:rPr>
        <w:t>ter</w:t>
      </w:r>
      <w:r w:rsidR="00BB6145" w:rsidRPr="00FE1DDB">
        <w:rPr>
          <w:rFonts w:ascii="Times New Roman" w:hAnsi="Times New Roman" w:cs="Times New Roman"/>
          <w:sz w:val="24"/>
          <w:szCs w:val="24"/>
        </w:rPr>
        <w:t xml:space="preserve"> (as well as an algal bloom)</w:t>
      </w:r>
      <w:r w:rsidR="00D92FC7" w:rsidRPr="00FE1DDB">
        <w:rPr>
          <w:rFonts w:ascii="Times New Roman" w:hAnsi="Times New Roman" w:cs="Times New Roman"/>
          <w:sz w:val="24"/>
          <w:szCs w:val="24"/>
        </w:rPr>
        <w:t xml:space="preserve"> would be considered degradation</w:t>
      </w:r>
      <w:r w:rsidR="006653B0" w:rsidRPr="00FE1DDB">
        <w:rPr>
          <w:rFonts w:ascii="Times New Roman" w:hAnsi="Times New Roman" w:cs="Times New Roman"/>
          <w:sz w:val="24"/>
          <w:szCs w:val="24"/>
        </w:rPr>
        <w:t>s</w:t>
      </w:r>
      <w:r w:rsidR="00D92FC7" w:rsidRPr="00FE1DDB">
        <w:rPr>
          <w:rFonts w:ascii="Times New Roman" w:hAnsi="Times New Roman" w:cs="Times New Roman"/>
          <w:sz w:val="24"/>
          <w:szCs w:val="24"/>
        </w:rPr>
        <w:t xml:space="preserve"> of water quality. Increased photosynthesis by an algal bloom would improve local (surface) DO concentrations during the day, but nighttime metabolism by algae </w:t>
      </w:r>
      <w:r w:rsidR="001E6E13" w:rsidRPr="00FE1DDB">
        <w:rPr>
          <w:rFonts w:ascii="Times New Roman" w:hAnsi="Times New Roman" w:cs="Times New Roman"/>
          <w:sz w:val="24"/>
          <w:szCs w:val="24"/>
        </w:rPr>
        <w:t>might</w:t>
      </w:r>
      <w:r w:rsidR="00D92FC7" w:rsidRPr="00FE1DDB">
        <w:rPr>
          <w:rFonts w:ascii="Times New Roman" w:hAnsi="Times New Roman" w:cs="Times New Roman"/>
          <w:sz w:val="24"/>
          <w:szCs w:val="24"/>
        </w:rPr>
        <w:t xml:space="preserve"> greatly depress DO concentrations. Also, the decomposition of dying algae</w:t>
      </w:r>
      <w:r w:rsidR="006653B0" w:rsidRPr="00FE1DDB">
        <w:rPr>
          <w:rFonts w:ascii="Times New Roman" w:hAnsi="Times New Roman" w:cs="Times New Roman"/>
          <w:sz w:val="24"/>
          <w:szCs w:val="24"/>
        </w:rPr>
        <w:t>,</w:t>
      </w:r>
      <w:r w:rsidR="00D92FC7" w:rsidRPr="00FE1DDB">
        <w:rPr>
          <w:rFonts w:ascii="Times New Roman" w:hAnsi="Times New Roman" w:cs="Times New Roman"/>
          <w:sz w:val="24"/>
          <w:szCs w:val="24"/>
        </w:rPr>
        <w:t xml:space="preserve"> later in the bloom</w:t>
      </w:r>
      <w:r w:rsidR="006653B0" w:rsidRPr="00FE1DDB">
        <w:rPr>
          <w:rFonts w:ascii="Times New Roman" w:hAnsi="Times New Roman" w:cs="Times New Roman"/>
          <w:sz w:val="24"/>
          <w:szCs w:val="24"/>
        </w:rPr>
        <w:t>, would further depress DO concentrations, especially deeper in the water column.</w:t>
      </w:r>
      <w:r w:rsidR="001478DB" w:rsidRPr="00FE1DDB">
        <w:rPr>
          <w:rFonts w:ascii="Times New Roman" w:hAnsi="Times New Roman" w:cs="Times New Roman"/>
          <w:sz w:val="24"/>
          <w:szCs w:val="24"/>
        </w:rPr>
        <w:t xml:space="preserve"> </w:t>
      </w:r>
      <w:r w:rsidR="006653B0" w:rsidRPr="00FE1DDB">
        <w:rPr>
          <w:rFonts w:ascii="Times New Roman" w:hAnsi="Times New Roman" w:cs="Times New Roman"/>
          <w:sz w:val="24"/>
          <w:szCs w:val="24"/>
        </w:rPr>
        <w:t>Consequently, a</w:t>
      </w:r>
      <w:r w:rsidRPr="00FE1DDB">
        <w:rPr>
          <w:rFonts w:ascii="Times New Roman" w:hAnsi="Times New Roman" w:cs="Times New Roman"/>
          <w:sz w:val="24"/>
          <w:szCs w:val="24"/>
        </w:rPr>
        <w:t>ll five water quality elements discussed above (DIP, DIN, Chl-a, DO, and PAR) are integrated into a single WQI to provide a general characterization of water quality</w:t>
      </w:r>
      <w:r w:rsidR="006653B0" w:rsidRPr="00FE1DDB">
        <w:rPr>
          <w:rFonts w:ascii="Times New Roman" w:hAnsi="Times New Roman" w:cs="Times New Roman"/>
          <w:sz w:val="24"/>
          <w:szCs w:val="24"/>
        </w:rPr>
        <w:t xml:space="preserve"> at </w:t>
      </w:r>
      <w:r w:rsidR="001478DB" w:rsidRPr="00FE1DDB">
        <w:rPr>
          <w:rFonts w:ascii="Times New Roman" w:hAnsi="Times New Roman" w:cs="Times New Roman"/>
          <w:sz w:val="24"/>
          <w:szCs w:val="24"/>
        </w:rPr>
        <w:t>each</w:t>
      </w:r>
      <w:r w:rsidR="006653B0" w:rsidRPr="00FE1DDB">
        <w:rPr>
          <w:rFonts w:ascii="Times New Roman" w:hAnsi="Times New Roman" w:cs="Times New Roman"/>
          <w:sz w:val="24"/>
          <w:szCs w:val="24"/>
        </w:rPr>
        <w:t xml:space="preserve"> site. This integration is performed by evaluating the observed class of each of the five elements and combining them using the thresholds described in Table </w:t>
      </w:r>
      <w:r w:rsidR="00914143" w:rsidRPr="00FE1DDB">
        <w:rPr>
          <w:rFonts w:ascii="Times New Roman" w:hAnsi="Times New Roman" w:cs="Times New Roman"/>
          <w:sz w:val="24"/>
          <w:szCs w:val="24"/>
        </w:rPr>
        <w:t>4.5</w:t>
      </w:r>
      <w:r w:rsidR="006653B0" w:rsidRPr="00FE1DDB">
        <w:rPr>
          <w:rFonts w:ascii="Times New Roman" w:hAnsi="Times New Roman" w:cs="Times New Roman"/>
          <w:sz w:val="24"/>
          <w:szCs w:val="24"/>
        </w:rPr>
        <w:t>-</w:t>
      </w:r>
      <w:r w:rsidR="008B0194">
        <w:rPr>
          <w:rFonts w:ascii="Times New Roman" w:hAnsi="Times New Roman" w:cs="Times New Roman"/>
          <w:sz w:val="24"/>
          <w:szCs w:val="24"/>
        </w:rPr>
        <w:t>10</w:t>
      </w:r>
      <w:r w:rsidR="006653B0" w:rsidRPr="00FE1DDB">
        <w:rPr>
          <w:rFonts w:ascii="Times New Roman" w:hAnsi="Times New Roman" w:cs="Times New Roman"/>
          <w:sz w:val="24"/>
          <w:szCs w:val="24"/>
        </w:rPr>
        <w:t>.</w:t>
      </w:r>
      <w:r w:rsidR="00BB6145" w:rsidRPr="00FE1DDB">
        <w:rPr>
          <w:rFonts w:ascii="Times New Roman" w:hAnsi="Times New Roman" w:cs="Times New Roman"/>
          <w:sz w:val="24"/>
          <w:szCs w:val="24"/>
        </w:rPr>
        <w:t xml:space="preserve"> </w:t>
      </w:r>
    </w:p>
    <w:p w14:paraId="4C59366F" w14:textId="54171877" w:rsidR="00547DEB" w:rsidRDefault="00547DEB" w:rsidP="00FE1DDB">
      <w:pPr>
        <w:spacing w:after="0" w:line="240" w:lineRule="auto"/>
        <w:rPr>
          <w:rFonts w:ascii="Times New Roman" w:hAnsi="Times New Roman" w:cs="Times New Roman"/>
          <w:sz w:val="24"/>
          <w:szCs w:val="24"/>
        </w:rPr>
      </w:pPr>
    </w:p>
    <w:p w14:paraId="1FD78026" w14:textId="66241A9B" w:rsidR="00547DEB" w:rsidRPr="00547DEB" w:rsidRDefault="00547DEB" w:rsidP="00CC29E0">
      <w:pPr>
        <w:pStyle w:val="Caption"/>
        <w:keepNext/>
        <w:spacing w:after="0"/>
        <w:rPr>
          <w:rFonts w:ascii="Times New Roman" w:hAnsi="Times New Roman" w:cs="Times New Roman"/>
          <w:i w:val="0"/>
          <w:color w:val="000000" w:themeColor="text1"/>
          <w:sz w:val="20"/>
        </w:rPr>
      </w:pPr>
      <w:r w:rsidRPr="00547DEB">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10</w:t>
      </w:r>
      <w:r w:rsidR="008B0194" w:rsidRPr="00547DEB">
        <w:rPr>
          <w:rFonts w:ascii="Times New Roman" w:hAnsi="Times New Roman" w:cs="Times New Roman"/>
          <w:i w:val="0"/>
          <w:color w:val="000000" w:themeColor="text1"/>
          <w:sz w:val="20"/>
        </w:rPr>
        <w:t xml:space="preserve"> </w:t>
      </w:r>
      <w:r w:rsidRPr="00547DEB">
        <w:rPr>
          <w:rFonts w:ascii="Times New Roman" w:hAnsi="Times New Roman" w:cs="Times New Roman"/>
          <w:i w:val="0"/>
          <w:color w:val="000000" w:themeColor="text1"/>
          <w:sz w:val="20"/>
        </w:rPr>
        <w:t>Water Quality Index (WQI) scores based on individual site characterizations of near-surface DIP, DIN, and Chl-a, near-bottom DO, and water clarity</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r w:rsidRPr="00547DEB">
        <w:rPr>
          <w:rFonts w:ascii="Times New Roman" w:hAnsi="Times New Roman" w:cs="Times New Roman"/>
          <w:i w:val="0"/>
          <w:color w:val="000000" w:themeColor="text1"/>
          <w:sz w:val="20"/>
        </w:rPr>
        <w:t xml:space="preserve">. </w:t>
      </w:r>
      <w:r w:rsidR="008B0194">
        <w:rPr>
          <w:rFonts w:ascii="Times New Roman" w:hAnsi="Times New Roman" w:cs="Times New Roman"/>
          <w:i w:val="0"/>
          <w:color w:val="000000" w:themeColor="text1"/>
          <w:sz w:val="20"/>
        </w:rPr>
        <w:t xml:space="preserve">Class Attributes and thresholds </w:t>
      </w:r>
      <w:r w:rsidRPr="00547DEB">
        <w:rPr>
          <w:rFonts w:ascii="Times New Roman" w:hAnsi="Times New Roman" w:cs="Times New Roman"/>
          <w:i w:val="0"/>
          <w:color w:val="000000" w:themeColor="text1"/>
          <w:sz w:val="20"/>
        </w:rPr>
        <w:t>are from the NCCA 2015 Technical Report</w:t>
      </w:r>
      <w:r w:rsidR="00CC29E0">
        <w:rPr>
          <w:rFonts w:ascii="Times New Roman" w:hAnsi="Times New Roman" w:cs="Times New Roman"/>
          <w:i w:val="0"/>
          <w:color w:val="000000" w:themeColor="text1"/>
          <w:sz w:val="20"/>
        </w:rPr>
        <w:t>.</w:t>
      </w:r>
    </w:p>
    <w:tbl>
      <w:tblPr>
        <w:tblW w:w="0" w:type="auto"/>
        <w:tblLayout w:type="fixed"/>
        <w:tblLook w:val="04A0" w:firstRow="1" w:lastRow="0" w:firstColumn="1" w:lastColumn="0" w:noHBand="0" w:noVBand="1"/>
      </w:tblPr>
      <w:tblGrid>
        <w:gridCol w:w="1170"/>
        <w:gridCol w:w="2250"/>
        <w:gridCol w:w="920"/>
        <w:gridCol w:w="1240"/>
      </w:tblGrid>
      <w:tr w:rsidR="00547DEB" w:rsidRPr="00547DEB" w14:paraId="7B64EE5E" w14:textId="77777777" w:rsidTr="00307B7A">
        <w:trPr>
          <w:trHeight w:val="525"/>
        </w:trPr>
        <w:tc>
          <w:tcPr>
            <w:tcW w:w="1170" w:type="dxa"/>
            <w:tcBorders>
              <w:top w:val="nil"/>
              <w:left w:val="nil"/>
              <w:bottom w:val="single" w:sz="4" w:space="0" w:color="auto"/>
              <w:right w:val="nil"/>
            </w:tcBorders>
            <w:shd w:val="clear" w:color="auto" w:fill="auto"/>
            <w:vAlign w:val="bottom"/>
            <w:hideMark/>
          </w:tcPr>
          <w:p w14:paraId="0D39EF11"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WQI Score</w:t>
            </w:r>
          </w:p>
        </w:tc>
        <w:tc>
          <w:tcPr>
            <w:tcW w:w="2250" w:type="dxa"/>
            <w:tcBorders>
              <w:top w:val="nil"/>
              <w:left w:val="nil"/>
              <w:bottom w:val="single" w:sz="4" w:space="0" w:color="auto"/>
              <w:right w:val="nil"/>
            </w:tcBorders>
            <w:shd w:val="clear" w:color="auto" w:fill="auto"/>
            <w:vAlign w:val="bottom"/>
            <w:hideMark/>
          </w:tcPr>
          <w:p w14:paraId="02951AF9" w14:textId="3357F0F5" w:rsidR="00547DEB" w:rsidRPr="00547DEB" w:rsidRDefault="008B0194" w:rsidP="00547DEB">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Class Attributes</w:t>
            </w:r>
          </w:p>
        </w:tc>
        <w:tc>
          <w:tcPr>
            <w:tcW w:w="920" w:type="dxa"/>
            <w:tcBorders>
              <w:top w:val="nil"/>
              <w:left w:val="nil"/>
              <w:bottom w:val="single" w:sz="4" w:space="0" w:color="auto"/>
              <w:right w:val="nil"/>
            </w:tcBorders>
            <w:shd w:val="clear" w:color="auto" w:fill="auto"/>
            <w:vAlign w:val="bottom"/>
            <w:hideMark/>
          </w:tcPr>
          <w:p w14:paraId="2D3873FC"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Stations</w:t>
            </w:r>
          </w:p>
        </w:tc>
        <w:tc>
          <w:tcPr>
            <w:tcW w:w="1240" w:type="dxa"/>
            <w:tcBorders>
              <w:top w:val="nil"/>
              <w:left w:val="nil"/>
              <w:bottom w:val="single" w:sz="4" w:space="0" w:color="auto"/>
              <w:right w:val="nil"/>
            </w:tcBorders>
            <w:shd w:val="clear" w:color="auto" w:fill="auto"/>
            <w:vAlign w:val="bottom"/>
            <w:hideMark/>
          </w:tcPr>
          <w:p w14:paraId="69C666DC" w14:textId="088AA71B"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Percentage</w:t>
            </w:r>
            <w:r w:rsidR="008B0194">
              <w:rPr>
                <w:rFonts w:ascii="Times New Roman" w:eastAsia="Times New Roman" w:hAnsi="Times New Roman" w:cs="Times New Roman"/>
                <w:color w:val="222222"/>
                <w:sz w:val="20"/>
                <w:szCs w:val="20"/>
              </w:rPr>
              <w:t>s</w:t>
            </w:r>
          </w:p>
        </w:tc>
      </w:tr>
      <w:tr w:rsidR="00547DEB" w:rsidRPr="00547DEB" w14:paraId="70CD977D" w14:textId="77777777" w:rsidTr="00307B7A">
        <w:trPr>
          <w:trHeight w:val="360"/>
        </w:trPr>
        <w:tc>
          <w:tcPr>
            <w:tcW w:w="1170" w:type="dxa"/>
            <w:tcBorders>
              <w:top w:val="single" w:sz="4" w:space="0" w:color="auto"/>
              <w:left w:val="nil"/>
              <w:bottom w:val="single" w:sz="4" w:space="0" w:color="D9D9D9" w:themeColor="background1" w:themeShade="D9"/>
              <w:right w:val="nil"/>
            </w:tcBorders>
            <w:shd w:val="clear" w:color="auto" w:fill="auto"/>
            <w:vAlign w:val="center"/>
            <w:hideMark/>
          </w:tcPr>
          <w:p w14:paraId="6A19944A"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Good</w:t>
            </w:r>
          </w:p>
        </w:tc>
        <w:tc>
          <w:tcPr>
            <w:tcW w:w="2250" w:type="dxa"/>
            <w:tcBorders>
              <w:top w:val="single" w:sz="4" w:space="0" w:color="auto"/>
              <w:left w:val="nil"/>
              <w:bottom w:val="single" w:sz="4" w:space="0" w:color="D9D9D9" w:themeColor="background1" w:themeShade="D9"/>
              <w:right w:val="nil"/>
            </w:tcBorders>
            <w:shd w:val="clear" w:color="auto" w:fill="auto"/>
            <w:vAlign w:val="center"/>
            <w:hideMark/>
          </w:tcPr>
          <w:p w14:paraId="725ADCBB" w14:textId="5E68F1AB" w:rsidR="00547DEB" w:rsidRPr="008B0194" w:rsidRDefault="00547DEB" w:rsidP="00947C41">
            <w:pPr>
              <w:spacing w:after="0" w:line="240" w:lineRule="auto"/>
              <w:jc w:val="center"/>
              <w:rPr>
                <w:rFonts w:ascii="Times New Roman" w:eastAsia="Times New Roman" w:hAnsi="Times New Roman" w:cs="Times New Roman"/>
                <w:color w:val="222222"/>
                <w:sz w:val="20"/>
                <w:szCs w:val="20"/>
              </w:rPr>
            </w:pPr>
            <w:r w:rsidRPr="008B0194">
              <w:rPr>
                <w:rFonts w:ascii="Times New Roman" w:eastAsia="Times New Roman" w:hAnsi="Times New Roman" w:cs="Times New Roman"/>
                <w:color w:val="222222"/>
                <w:sz w:val="20"/>
                <w:szCs w:val="20"/>
              </w:rPr>
              <w:t xml:space="preserve">0 </w:t>
            </w:r>
            <w:r w:rsidR="00B632EE" w:rsidRPr="008B0194">
              <w:rPr>
                <w:rFonts w:ascii="Times New Roman" w:eastAsia="Times New Roman" w:hAnsi="Times New Roman" w:cs="Times New Roman"/>
                <w:color w:val="222222"/>
                <w:sz w:val="20"/>
                <w:szCs w:val="20"/>
              </w:rPr>
              <w:t xml:space="preserve">Poor </w:t>
            </w:r>
            <w:r w:rsidRPr="008B0194">
              <w:rPr>
                <w:rFonts w:ascii="Times New Roman" w:eastAsia="Times New Roman" w:hAnsi="Times New Roman" w:cs="Times New Roman"/>
                <w:color w:val="222222"/>
                <w:sz w:val="20"/>
                <w:szCs w:val="20"/>
              </w:rPr>
              <w:t>and ≤ 1</w:t>
            </w:r>
            <w:r w:rsidR="00B632EE" w:rsidRPr="008B0194">
              <w:rPr>
                <w:rFonts w:ascii="Times New Roman" w:eastAsia="Times New Roman" w:hAnsi="Times New Roman" w:cs="Times New Roman"/>
                <w:color w:val="222222"/>
                <w:sz w:val="20"/>
                <w:szCs w:val="20"/>
              </w:rPr>
              <w:t xml:space="preserve"> Fair</w:t>
            </w:r>
          </w:p>
        </w:tc>
        <w:tc>
          <w:tcPr>
            <w:tcW w:w="920" w:type="dxa"/>
            <w:tcBorders>
              <w:top w:val="single" w:sz="4" w:space="0" w:color="auto"/>
              <w:left w:val="nil"/>
              <w:bottom w:val="single" w:sz="4" w:space="0" w:color="D9D9D9" w:themeColor="background1" w:themeShade="D9"/>
              <w:right w:val="nil"/>
            </w:tcBorders>
            <w:shd w:val="clear" w:color="auto" w:fill="auto"/>
            <w:vAlign w:val="center"/>
            <w:hideMark/>
          </w:tcPr>
          <w:p w14:paraId="22D2E9D2"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42</w:t>
            </w:r>
          </w:p>
        </w:tc>
        <w:tc>
          <w:tcPr>
            <w:tcW w:w="1240" w:type="dxa"/>
            <w:tcBorders>
              <w:top w:val="single" w:sz="4" w:space="0" w:color="auto"/>
              <w:left w:val="nil"/>
              <w:bottom w:val="single" w:sz="4" w:space="0" w:color="D9D9D9" w:themeColor="background1" w:themeShade="D9"/>
              <w:right w:val="nil"/>
            </w:tcBorders>
            <w:shd w:val="clear" w:color="auto" w:fill="auto"/>
            <w:vAlign w:val="center"/>
            <w:hideMark/>
          </w:tcPr>
          <w:p w14:paraId="1060E8BF"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14.09 ± 3.97</w:t>
            </w:r>
          </w:p>
        </w:tc>
      </w:tr>
      <w:tr w:rsidR="00547DEB" w:rsidRPr="00547DEB" w14:paraId="71F72D03" w14:textId="77777777" w:rsidTr="00307B7A">
        <w:trPr>
          <w:trHeight w:val="300"/>
        </w:trPr>
        <w:tc>
          <w:tcPr>
            <w:tcW w:w="117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1A3987C8"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Fair</w:t>
            </w:r>
          </w:p>
        </w:tc>
        <w:tc>
          <w:tcPr>
            <w:tcW w:w="225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2C1AB064" w14:textId="22BDC08D" w:rsidR="00547DEB" w:rsidRPr="008B0194" w:rsidRDefault="00547DEB" w:rsidP="008B0194">
            <w:pPr>
              <w:spacing w:after="0" w:line="240" w:lineRule="auto"/>
              <w:jc w:val="center"/>
              <w:rPr>
                <w:rFonts w:ascii="Times New Roman" w:eastAsia="Times New Roman" w:hAnsi="Times New Roman" w:cs="Times New Roman"/>
                <w:color w:val="000000"/>
                <w:sz w:val="20"/>
                <w:szCs w:val="20"/>
              </w:rPr>
            </w:pPr>
            <w:r w:rsidRPr="008B0194">
              <w:rPr>
                <w:rFonts w:ascii="Times New Roman" w:eastAsia="Times New Roman" w:hAnsi="Times New Roman" w:cs="Times New Roman"/>
                <w:color w:val="000000"/>
                <w:sz w:val="20"/>
                <w:szCs w:val="20"/>
              </w:rPr>
              <w:t>1</w:t>
            </w:r>
            <w:r w:rsidR="00947C41" w:rsidRPr="008B0194">
              <w:rPr>
                <w:rFonts w:ascii="Times New Roman" w:eastAsia="Times New Roman" w:hAnsi="Times New Roman" w:cs="Times New Roman"/>
                <w:color w:val="000000"/>
                <w:sz w:val="20"/>
                <w:szCs w:val="20"/>
              </w:rPr>
              <w:t xml:space="preserve"> </w:t>
            </w:r>
            <w:r w:rsidR="00B632EE" w:rsidRPr="008B0194">
              <w:rPr>
                <w:rFonts w:ascii="Times New Roman" w:eastAsia="Times New Roman" w:hAnsi="Times New Roman" w:cs="Times New Roman"/>
                <w:color w:val="000000"/>
                <w:sz w:val="20"/>
                <w:szCs w:val="20"/>
              </w:rPr>
              <w:t xml:space="preserve">Poor or </w:t>
            </w:r>
            <w:r w:rsidR="00B632EE" w:rsidRPr="008B0194">
              <w:rPr>
                <w:rFonts w:ascii="Times New Roman" w:eastAsia="Times New Roman" w:hAnsi="Times New Roman" w:cs="Times New Roman"/>
                <w:color w:val="000000"/>
                <w:sz w:val="20"/>
                <w:szCs w:val="20"/>
                <w:u w:val="single"/>
              </w:rPr>
              <w:t>&gt;</w:t>
            </w:r>
            <w:r w:rsidR="008B0194" w:rsidRPr="008B0194">
              <w:rPr>
                <w:rFonts w:ascii="Times New Roman" w:eastAsia="Times New Roman" w:hAnsi="Times New Roman" w:cs="Times New Roman"/>
                <w:color w:val="000000"/>
                <w:sz w:val="20"/>
                <w:szCs w:val="20"/>
              </w:rPr>
              <w:t xml:space="preserve"> </w:t>
            </w:r>
            <w:r w:rsidRPr="008B0194">
              <w:rPr>
                <w:rFonts w:ascii="Times New Roman" w:eastAsia="Times New Roman" w:hAnsi="Times New Roman" w:cs="Times New Roman"/>
                <w:color w:val="000000"/>
                <w:sz w:val="20"/>
                <w:szCs w:val="20"/>
              </w:rPr>
              <w:t>2</w:t>
            </w:r>
            <w:r w:rsidR="00B632EE" w:rsidRPr="008B0194">
              <w:rPr>
                <w:rFonts w:ascii="Times New Roman" w:eastAsia="Times New Roman" w:hAnsi="Times New Roman" w:cs="Times New Roman"/>
                <w:color w:val="000000"/>
                <w:sz w:val="20"/>
                <w:szCs w:val="20"/>
              </w:rPr>
              <w:t xml:space="preserve"> Fair</w:t>
            </w:r>
          </w:p>
        </w:tc>
        <w:tc>
          <w:tcPr>
            <w:tcW w:w="92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16EDB0AA"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225</w:t>
            </w:r>
          </w:p>
        </w:tc>
        <w:tc>
          <w:tcPr>
            <w:tcW w:w="124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379F3669"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75.5 ± 4.9</w:t>
            </w:r>
          </w:p>
        </w:tc>
      </w:tr>
      <w:tr w:rsidR="00547DEB" w:rsidRPr="00547DEB" w14:paraId="70D22734" w14:textId="77777777" w:rsidTr="00307B7A">
        <w:trPr>
          <w:trHeight w:val="300"/>
        </w:trPr>
        <w:tc>
          <w:tcPr>
            <w:tcW w:w="117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3286C83F"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Poor</w:t>
            </w:r>
          </w:p>
        </w:tc>
        <w:tc>
          <w:tcPr>
            <w:tcW w:w="225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77BCF1F9" w14:textId="65E19831"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 2</w:t>
            </w:r>
            <w:r w:rsidR="00B632EE" w:rsidRPr="008B0194">
              <w:rPr>
                <w:rFonts w:ascii="Times New Roman" w:eastAsia="Times New Roman" w:hAnsi="Times New Roman" w:cs="Times New Roman"/>
                <w:color w:val="222222"/>
                <w:sz w:val="20"/>
                <w:szCs w:val="20"/>
              </w:rPr>
              <w:t xml:space="preserve"> Poor</w:t>
            </w:r>
          </w:p>
        </w:tc>
        <w:tc>
          <w:tcPr>
            <w:tcW w:w="92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269BDC8A"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31</w:t>
            </w:r>
          </w:p>
        </w:tc>
        <w:tc>
          <w:tcPr>
            <w:tcW w:w="124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4685002"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10.4 ± 3.48</w:t>
            </w:r>
          </w:p>
        </w:tc>
      </w:tr>
      <w:tr w:rsidR="00547DEB" w:rsidRPr="00547DEB" w14:paraId="2101B1A1" w14:textId="77777777" w:rsidTr="00307B7A">
        <w:trPr>
          <w:trHeight w:val="300"/>
        </w:trPr>
        <w:tc>
          <w:tcPr>
            <w:tcW w:w="1170" w:type="dxa"/>
            <w:tcBorders>
              <w:top w:val="single" w:sz="4" w:space="0" w:color="D9D9D9" w:themeColor="background1" w:themeShade="D9"/>
              <w:left w:val="nil"/>
              <w:bottom w:val="single" w:sz="4" w:space="0" w:color="auto"/>
              <w:right w:val="nil"/>
            </w:tcBorders>
            <w:shd w:val="clear" w:color="auto" w:fill="auto"/>
            <w:vAlign w:val="center"/>
            <w:hideMark/>
          </w:tcPr>
          <w:p w14:paraId="4936E4DC"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Missing</w:t>
            </w:r>
          </w:p>
        </w:tc>
        <w:tc>
          <w:tcPr>
            <w:tcW w:w="2250" w:type="dxa"/>
            <w:tcBorders>
              <w:top w:val="single" w:sz="4" w:space="0" w:color="D9D9D9" w:themeColor="background1" w:themeShade="D9"/>
              <w:left w:val="nil"/>
              <w:bottom w:val="single" w:sz="4" w:space="0" w:color="auto"/>
              <w:right w:val="nil"/>
            </w:tcBorders>
            <w:shd w:val="clear" w:color="auto" w:fill="auto"/>
            <w:noWrap/>
            <w:vAlign w:val="center"/>
            <w:hideMark/>
          </w:tcPr>
          <w:p w14:paraId="59F6A636" w14:textId="2AE2BB11" w:rsidR="00547DEB" w:rsidRPr="00547DEB" w:rsidRDefault="00547DEB" w:rsidP="0089521E">
            <w:pPr>
              <w:spacing w:after="0" w:line="240" w:lineRule="auto"/>
              <w:jc w:val="center"/>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 2 elements missing</w:t>
            </w:r>
          </w:p>
        </w:tc>
        <w:tc>
          <w:tcPr>
            <w:tcW w:w="920" w:type="dxa"/>
            <w:tcBorders>
              <w:top w:val="single" w:sz="4" w:space="0" w:color="D9D9D9" w:themeColor="background1" w:themeShade="D9"/>
              <w:left w:val="nil"/>
              <w:bottom w:val="single" w:sz="4" w:space="0" w:color="auto"/>
              <w:right w:val="nil"/>
            </w:tcBorders>
            <w:shd w:val="clear" w:color="auto" w:fill="auto"/>
            <w:vAlign w:val="center"/>
            <w:hideMark/>
          </w:tcPr>
          <w:p w14:paraId="66533ABC" w14:textId="77777777" w:rsidR="00547DEB" w:rsidRPr="00547DEB" w:rsidRDefault="00547DEB" w:rsidP="00547DEB">
            <w:pPr>
              <w:spacing w:after="0" w:line="240" w:lineRule="auto"/>
              <w:jc w:val="center"/>
              <w:rPr>
                <w:rFonts w:ascii="Times New Roman" w:eastAsia="Times New Roman" w:hAnsi="Times New Roman" w:cs="Times New Roman"/>
                <w:color w:val="222222"/>
                <w:sz w:val="20"/>
                <w:szCs w:val="20"/>
              </w:rPr>
            </w:pPr>
            <w:r w:rsidRPr="00547DEB">
              <w:rPr>
                <w:rFonts w:ascii="Times New Roman" w:eastAsia="Times New Roman" w:hAnsi="Times New Roman" w:cs="Times New Roman"/>
                <w:color w:val="222222"/>
                <w:sz w:val="20"/>
                <w:szCs w:val="20"/>
              </w:rPr>
              <w:t>0</w:t>
            </w:r>
          </w:p>
        </w:tc>
        <w:tc>
          <w:tcPr>
            <w:tcW w:w="1240" w:type="dxa"/>
            <w:tcBorders>
              <w:top w:val="single" w:sz="4" w:space="0" w:color="D9D9D9" w:themeColor="background1" w:themeShade="D9"/>
              <w:left w:val="nil"/>
              <w:bottom w:val="single" w:sz="4" w:space="0" w:color="auto"/>
              <w:right w:val="nil"/>
            </w:tcBorders>
            <w:shd w:val="clear" w:color="auto" w:fill="auto"/>
            <w:noWrap/>
            <w:vAlign w:val="center"/>
            <w:hideMark/>
          </w:tcPr>
          <w:p w14:paraId="22012553" w14:textId="77777777" w:rsidR="00547DEB" w:rsidRPr="00547DEB" w:rsidRDefault="00547DEB" w:rsidP="00547DEB">
            <w:pPr>
              <w:spacing w:after="0" w:line="240" w:lineRule="auto"/>
              <w:jc w:val="center"/>
              <w:rPr>
                <w:rFonts w:ascii="Times New Roman" w:eastAsia="Times New Roman" w:hAnsi="Times New Roman" w:cs="Times New Roman"/>
                <w:color w:val="000000"/>
                <w:sz w:val="20"/>
                <w:szCs w:val="20"/>
              </w:rPr>
            </w:pPr>
            <w:r w:rsidRPr="00547DEB">
              <w:rPr>
                <w:rFonts w:ascii="Times New Roman" w:eastAsia="Times New Roman" w:hAnsi="Times New Roman" w:cs="Times New Roman"/>
                <w:color w:val="000000"/>
                <w:sz w:val="20"/>
                <w:szCs w:val="20"/>
              </w:rPr>
              <w:t>0</w:t>
            </w:r>
          </w:p>
        </w:tc>
      </w:tr>
      <w:tr w:rsidR="00547DEB" w:rsidRPr="00547DEB" w14:paraId="6DFDEED8" w14:textId="77777777" w:rsidTr="00307B7A">
        <w:trPr>
          <w:trHeight w:val="300"/>
        </w:trPr>
        <w:tc>
          <w:tcPr>
            <w:tcW w:w="1170" w:type="dxa"/>
            <w:tcBorders>
              <w:top w:val="nil"/>
              <w:left w:val="nil"/>
              <w:bottom w:val="nil"/>
              <w:right w:val="nil"/>
            </w:tcBorders>
            <w:shd w:val="clear" w:color="auto" w:fill="auto"/>
            <w:hideMark/>
          </w:tcPr>
          <w:p w14:paraId="5908241C" w14:textId="77777777" w:rsidR="00547DEB" w:rsidRPr="00547DEB" w:rsidRDefault="00547DEB" w:rsidP="00547DEB">
            <w:pPr>
              <w:spacing w:after="0" w:line="240" w:lineRule="auto"/>
              <w:jc w:val="center"/>
              <w:rPr>
                <w:rFonts w:ascii="Times New Roman" w:eastAsia="Times New Roman" w:hAnsi="Times New Roman" w:cs="Times New Roman"/>
                <w:b/>
                <w:bCs/>
                <w:color w:val="222222"/>
                <w:sz w:val="20"/>
                <w:szCs w:val="20"/>
              </w:rPr>
            </w:pPr>
            <w:r w:rsidRPr="00547DEB">
              <w:rPr>
                <w:rFonts w:ascii="Times New Roman" w:eastAsia="Times New Roman" w:hAnsi="Times New Roman" w:cs="Times New Roman"/>
                <w:b/>
                <w:bCs/>
                <w:color w:val="222222"/>
                <w:sz w:val="20"/>
                <w:szCs w:val="20"/>
              </w:rPr>
              <w:t>Total</w:t>
            </w:r>
          </w:p>
        </w:tc>
        <w:tc>
          <w:tcPr>
            <w:tcW w:w="2250" w:type="dxa"/>
            <w:tcBorders>
              <w:top w:val="nil"/>
              <w:left w:val="nil"/>
              <w:bottom w:val="nil"/>
              <w:right w:val="nil"/>
            </w:tcBorders>
            <w:shd w:val="clear" w:color="auto" w:fill="auto"/>
            <w:hideMark/>
          </w:tcPr>
          <w:p w14:paraId="285E2FF9" w14:textId="77777777" w:rsidR="00547DEB" w:rsidRPr="00547DEB" w:rsidRDefault="00547DEB" w:rsidP="00547DEB">
            <w:pPr>
              <w:spacing w:after="0" w:line="240" w:lineRule="auto"/>
              <w:jc w:val="center"/>
              <w:rPr>
                <w:rFonts w:ascii="Times New Roman" w:eastAsia="Times New Roman" w:hAnsi="Times New Roman" w:cs="Times New Roman"/>
                <w:b/>
                <w:bCs/>
                <w:color w:val="222222"/>
                <w:sz w:val="20"/>
                <w:szCs w:val="20"/>
              </w:rPr>
            </w:pPr>
          </w:p>
        </w:tc>
        <w:tc>
          <w:tcPr>
            <w:tcW w:w="920" w:type="dxa"/>
            <w:tcBorders>
              <w:top w:val="nil"/>
              <w:left w:val="nil"/>
              <w:bottom w:val="nil"/>
              <w:right w:val="nil"/>
            </w:tcBorders>
            <w:shd w:val="clear" w:color="auto" w:fill="auto"/>
            <w:hideMark/>
          </w:tcPr>
          <w:p w14:paraId="40632937" w14:textId="77777777" w:rsidR="00547DEB" w:rsidRPr="00547DEB" w:rsidRDefault="00547DEB" w:rsidP="00547DEB">
            <w:pPr>
              <w:spacing w:after="0" w:line="240" w:lineRule="auto"/>
              <w:jc w:val="center"/>
              <w:rPr>
                <w:rFonts w:ascii="Times New Roman" w:eastAsia="Times New Roman" w:hAnsi="Times New Roman" w:cs="Times New Roman"/>
                <w:b/>
                <w:bCs/>
                <w:color w:val="222222"/>
                <w:sz w:val="20"/>
                <w:szCs w:val="20"/>
              </w:rPr>
            </w:pPr>
            <w:r w:rsidRPr="00547DEB">
              <w:rPr>
                <w:rFonts w:ascii="Times New Roman" w:eastAsia="Times New Roman" w:hAnsi="Times New Roman" w:cs="Times New Roman"/>
                <w:b/>
                <w:bCs/>
                <w:color w:val="222222"/>
                <w:sz w:val="20"/>
                <w:szCs w:val="20"/>
              </w:rPr>
              <w:t>298</w:t>
            </w:r>
          </w:p>
        </w:tc>
        <w:tc>
          <w:tcPr>
            <w:tcW w:w="1240" w:type="dxa"/>
            <w:tcBorders>
              <w:top w:val="nil"/>
              <w:left w:val="nil"/>
              <w:bottom w:val="nil"/>
              <w:right w:val="nil"/>
            </w:tcBorders>
            <w:shd w:val="clear" w:color="auto" w:fill="auto"/>
            <w:noWrap/>
            <w:vAlign w:val="bottom"/>
            <w:hideMark/>
          </w:tcPr>
          <w:p w14:paraId="373100F1" w14:textId="77777777" w:rsidR="00547DEB" w:rsidRPr="00547DEB" w:rsidRDefault="00547DEB" w:rsidP="00547DEB">
            <w:pPr>
              <w:spacing w:after="0" w:line="240" w:lineRule="auto"/>
              <w:jc w:val="center"/>
              <w:rPr>
                <w:rFonts w:ascii="Times New Roman" w:eastAsia="Times New Roman" w:hAnsi="Times New Roman" w:cs="Times New Roman"/>
                <w:b/>
                <w:bCs/>
                <w:color w:val="222222"/>
                <w:sz w:val="20"/>
                <w:szCs w:val="20"/>
              </w:rPr>
            </w:pPr>
          </w:p>
        </w:tc>
      </w:tr>
    </w:tbl>
    <w:p w14:paraId="7FCBAC73" w14:textId="3818F0FE" w:rsidR="000B1BA5" w:rsidRPr="00FE1DDB" w:rsidRDefault="000B1BA5" w:rsidP="000B1BA5">
      <w:pPr>
        <w:spacing w:after="0" w:line="240" w:lineRule="auto"/>
        <w:rPr>
          <w:rFonts w:ascii="Times New Roman" w:hAnsi="Times New Roman" w:cs="Times New Roman"/>
          <w:b/>
          <w:sz w:val="24"/>
          <w:szCs w:val="24"/>
        </w:rPr>
      </w:pPr>
    </w:p>
    <w:p w14:paraId="61BBAEFD" w14:textId="290C10B7" w:rsidR="0036617D" w:rsidRPr="00FE1DDB" w:rsidRDefault="0036617D"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General</w:t>
      </w:r>
      <w:r w:rsidR="001164DC" w:rsidRPr="00FE1DDB">
        <w:rPr>
          <w:rFonts w:ascii="Times New Roman" w:hAnsi="Times New Roman" w:cs="Times New Roman"/>
          <w:b/>
          <w:sz w:val="24"/>
          <w:szCs w:val="24"/>
        </w:rPr>
        <w:t>ized</w:t>
      </w:r>
      <w:r w:rsidRPr="00FE1DDB">
        <w:rPr>
          <w:rFonts w:ascii="Times New Roman" w:hAnsi="Times New Roman" w:cs="Times New Roman"/>
          <w:b/>
          <w:sz w:val="24"/>
          <w:szCs w:val="24"/>
        </w:rPr>
        <w:t xml:space="preserve">, Statewide Water Quality Characterization: </w:t>
      </w:r>
      <w:r w:rsidRPr="00FE1DDB">
        <w:rPr>
          <w:rFonts w:ascii="Times New Roman" w:hAnsi="Times New Roman" w:cs="Times New Roman"/>
          <w:sz w:val="24"/>
          <w:szCs w:val="24"/>
        </w:rPr>
        <w:t xml:space="preserve">In past reports on NCCA </w:t>
      </w:r>
      <w:r w:rsidR="001C1EBA" w:rsidRPr="00FE1DDB">
        <w:rPr>
          <w:rFonts w:ascii="Times New Roman" w:hAnsi="Times New Roman" w:cs="Times New Roman"/>
          <w:sz w:val="24"/>
          <w:szCs w:val="24"/>
        </w:rPr>
        <w:t>surveys</w:t>
      </w:r>
      <w:r w:rsidR="001E1068">
        <w:rPr>
          <w:rFonts w:ascii="Times New Roman" w:hAnsi="Times New Roman" w:cs="Times New Roman"/>
          <w:sz w:val="24"/>
          <w:szCs w:val="24"/>
        </w:rPr>
        <w:t xml:space="preserve"> </w:t>
      </w:r>
      <w:r w:rsidR="001C1EBA" w:rsidRPr="00FE1DDB">
        <w:rPr>
          <w:rFonts w:ascii="Times New Roman" w:hAnsi="Times New Roman" w:cs="Times New Roman"/>
          <w:sz w:val="24"/>
          <w:szCs w:val="24"/>
        </w:rPr>
        <w:t xml:space="preserve">EPA has provided </w:t>
      </w:r>
      <w:r w:rsidR="001164DC" w:rsidRPr="00FE1DDB">
        <w:rPr>
          <w:rFonts w:ascii="Times New Roman" w:hAnsi="Times New Roman" w:cs="Times New Roman"/>
          <w:sz w:val="24"/>
          <w:szCs w:val="24"/>
        </w:rPr>
        <w:t>guidelines</w:t>
      </w:r>
      <w:r w:rsidR="001C1EBA" w:rsidRPr="00FE1DDB">
        <w:rPr>
          <w:rFonts w:ascii="Times New Roman" w:hAnsi="Times New Roman" w:cs="Times New Roman"/>
          <w:sz w:val="24"/>
          <w:szCs w:val="24"/>
        </w:rPr>
        <w:t xml:space="preserve"> </w:t>
      </w:r>
      <w:r w:rsidR="00C174DE">
        <w:rPr>
          <w:rFonts w:ascii="Times New Roman" w:hAnsi="Times New Roman" w:cs="Times New Roman"/>
          <w:sz w:val="24"/>
          <w:szCs w:val="24"/>
        </w:rPr>
        <w:t xml:space="preserve">in the </w:t>
      </w:r>
      <w:r w:rsidR="00C174DE" w:rsidRPr="00C174DE">
        <w:rPr>
          <w:rFonts w:ascii="Times New Roman" w:hAnsi="Times New Roman" w:cs="Times New Roman"/>
          <w:sz w:val="24"/>
          <w:szCs w:val="24"/>
        </w:rPr>
        <w:t>Technical Support Document</w:t>
      </w:r>
      <w:r w:rsidR="00C174DE">
        <w:rPr>
          <w:rFonts w:ascii="Times New Roman" w:hAnsi="Times New Roman" w:cs="Times New Roman"/>
          <w:sz w:val="24"/>
          <w:szCs w:val="24"/>
        </w:rPr>
        <w:t xml:space="preserve"> (TSD)</w:t>
      </w:r>
      <w:r w:rsidR="00C174DE" w:rsidRPr="00C174DE">
        <w:rPr>
          <w:rFonts w:ascii="Times New Roman" w:hAnsi="Times New Roman" w:cs="Times New Roman"/>
          <w:sz w:val="24"/>
          <w:szCs w:val="24"/>
        </w:rPr>
        <w:t xml:space="preserve"> </w:t>
      </w:r>
      <w:r w:rsidR="001C1EBA" w:rsidRPr="00FE1DDB">
        <w:rPr>
          <w:rFonts w:ascii="Times New Roman" w:hAnsi="Times New Roman" w:cs="Times New Roman"/>
          <w:sz w:val="24"/>
          <w:szCs w:val="24"/>
        </w:rPr>
        <w:t xml:space="preserve">for characterizing regional </w:t>
      </w:r>
      <w:r w:rsidR="00D6765E" w:rsidRPr="00FE1DDB">
        <w:rPr>
          <w:rFonts w:ascii="Times New Roman" w:hAnsi="Times New Roman" w:cs="Times New Roman"/>
          <w:sz w:val="24"/>
          <w:szCs w:val="24"/>
        </w:rPr>
        <w:t>attributes</w:t>
      </w:r>
      <w:r w:rsidR="001C1EBA" w:rsidRPr="00FE1DDB">
        <w:rPr>
          <w:rFonts w:ascii="Times New Roman" w:hAnsi="Times New Roman" w:cs="Times New Roman"/>
          <w:sz w:val="24"/>
          <w:szCs w:val="24"/>
        </w:rPr>
        <w:t xml:space="preserve"> based on the proportions of individual sites </w:t>
      </w:r>
      <w:r w:rsidR="00D6765E" w:rsidRPr="00FE1DDB">
        <w:rPr>
          <w:rFonts w:ascii="Times New Roman" w:hAnsi="Times New Roman" w:cs="Times New Roman"/>
          <w:sz w:val="24"/>
          <w:szCs w:val="24"/>
        </w:rPr>
        <w:t xml:space="preserve">that </w:t>
      </w:r>
      <w:r w:rsidR="001C1EBA" w:rsidRPr="00FE1DDB">
        <w:rPr>
          <w:rFonts w:ascii="Times New Roman" w:hAnsi="Times New Roman" w:cs="Times New Roman"/>
          <w:sz w:val="24"/>
          <w:szCs w:val="24"/>
        </w:rPr>
        <w:t xml:space="preserve">fell into the classes of </w:t>
      </w:r>
      <w:r w:rsidR="00AC492D" w:rsidRPr="00FE1DDB">
        <w:rPr>
          <w:rFonts w:ascii="Times New Roman" w:hAnsi="Times New Roman" w:cs="Times New Roman"/>
          <w:sz w:val="24"/>
          <w:szCs w:val="24"/>
        </w:rPr>
        <w:t>“</w:t>
      </w:r>
      <w:r w:rsidR="001C1EBA" w:rsidRPr="00FE1DDB">
        <w:rPr>
          <w:rFonts w:ascii="Times New Roman" w:hAnsi="Times New Roman" w:cs="Times New Roman"/>
          <w:sz w:val="24"/>
          <w:szCs w:val="24"/>
        </w:rPr>
        <w:t>Good</w:t>
      </w:r>
      <w:r w:rsidR="00AC492D" w:rsidRPr="00FE1DDB">
        <w:rPr>
          <w:rFonts w:ascii="Times New Roman" w:hAnsi="Times New Roman" w:cs="Times New Roman"/>
          <w:sz w:val="24"/>
          <w:szCs w:val="24"/>
        </w:rPr>
        <w:t>”</w:t>
      </w:r>
      <w:r w:rsidR="001C1EBA" w:rsidRPr="00FE1DDB">
        <w:rPr>
          <w:rFonts w:ascii="Times New Roman" w:hAnsi="Times New Roman" w:cs="Times New Roman"/>
          <w:sz w:val="24"/>
          <w:szCs w:val="24"/>
        </w:rPr>
        <w:t xml:space="preserve">, </w:t>
      </w:r>
      <w:r w:rsidR="00AC492D" w:rsidRPr="00FE1DDB">
        <w:rPr>
          <w:rFonts w:ascii="Times New Roman" w:hAnsi="Times New Roman" w:cs="Times New Roman"/>
          <w:sz w:val="24"/>
          <w:szCs w:val="24"/>
        </w:rPr>
        <w:t>“</w:t>
      </w:r>
      <w:r w:rsidR="001C1EBA" w:rsidRPr="00FE1DDB">
        <w:rPr>
          <w:rFonts w:ascii="Times New Roman" w:hAnsi="Times New Roman" w:cs="Times New Roman"/>
          <w:sz w:val="24"/>
          <w:szCs w:val="24"/>
        </w:rPr>
        <w:t>Fair</w:t>
      </w:r>
      <w:r w:rsidR="00AC492D" w:rsidRPr="00FE1DDB">
        <w:rPr>
          <w:rFonts w:ascii="Times New Roman" w:hAnsi="Times New Roman" w:cs="Times New Roman"/>
          <w:sz w:val="24"/>
          <w:szCs w:val="24"/>
        </w:rPr>
        <w:t>”</w:t>
      </w:r>
      <w:r w:rsidR="001C1EBA" w:rsidRPr="00FE1DDB">
        <w:rPr>
          <w:rFonts w:ascii="Times New Roman" w:hAnsi="Times New Roman" w:cs="Times New Roman"/>
          <w:sz w:val="24"/>
          <w:szCs w:val="24"/>
        </w:rPr>
        <w:t>, or</w:t>
      </w:r>
      <w:r w:rsidR="00387A5C" w:rsidRPr="00FE1DDB">
        <w:rPr>
          <w:rFonts w:ascii="Times New Roman" w:hAnsi="Times New Roman" w:cs="Times New Roman"/>
          <w:sz w:val="24"/>
          <w:szCs w:val="24"/>
        </w:rPr>
        <w:t xml:space="preserve"> “Poor”</w:t>
      </w:r>
      <w:r w:rsidR="001E1068">
        <w:rPr>
          <w:rFonts w:ascii="Times New Roman" w:hAnsi="Times New Roman" w:cs="Times New Roman"/>
          <w:sz w:val="24"/>
          <w:szCs w:val="24"/>
        </w:rPr>
        <w:t xml:space="preserve"> (Table 4.5-1</w:t>
      </w:r>
      <w:r w:rsidR="008B0194">
        <w:rPr>
          <w:rFonts w:ascii="Times New Roman" w:hAnsi="Times New Roman" w:cs="Times New Roman"/>
          <w:sz w:val="24"/>
          <w:szCs w:val="24"/>
        </w:rPr>
        <w:t>1</w:t>
      </w:r>
      <w:r w:rsidR="001E1068">
        <w:rPr>
          <w:rFonts w:ascii="Times New Roman" w:hAnsi="Times New Roman" w:cs="Times New Roman"/>
          <w:sz w:val="24"/>
          <w:szCs w:val="24"/>
        </w:rPr>
        <w:t>)</w:t>
      </w:r>
      <w:r w:rsidR="001C1EBA" w:rsidRPr="00FE1DDB">
        <w:rPr>
          <w:rFonts w:ascii="Times New Roman" w:hAnsi="Times New Roman" w:cs="Times New Roman"/>
          <w:sz w:val="24"/>
          <w:szCs w:val="24"/>
        </w:rPr>
        <w:t xml:space="preserve">. </w:t>
      </w:r>
      <w:r w:rsidR="001E1068" w:rsidRPr="001E1068">
        <w:rPr>
          <w:rFonts w:ascii="Times New Roman" w:hAnsi="Times New Roman" w:cs="Times New Roman"/>
          <w:sz w:val="24"/>
          <w:szCs w:val="24"/>
        </w:rPr>
        <w:t xml:space="preserve">Virginia’s statewide estuarine waters earn a score of </w:t>
      </w:r>
      <w:r w:rsidR="001E1068" w:rsidRPr="001E1068">
        <w:rPr>
          <w:rFonts w:ascii="Times New Roman" w:hAnsi="Times New Roman" w:cs="Times New Roman"/>
          <w:sz w:val="24"/>
          <w:szCs w:val="24"/>
        </w:rPr>
        <w:lastRenderedPageBreak/>
        <w:t>“Fair” for generalized water quality, because more than 10 percent of the sites were classified as “Poor” and fewer than 50 percent of the sites were classified as “Good</w:t>
      </w:r>
      <w:r w:rsidR="001E1068" w:rsidRPr="00FE1DDB">
        <w:rPr>
          <w:rFonts w:ascii="Times New Roman" w:hAnsi="Times New Roman" w:cs="Times New Roman"/>
          <w:sz w:val="24"/>
          <w:szCs w:val="24"/>
        </w:rPr>
        <w:t>” on their water quality characterizations.</w:t>
      </w:r>
    </w:p>
    <w:p w14:paraId="2E3A31EA" w14:textId="4CE20D11" w:rsidR="002528E6" w:rsidRPr="00FE1DDB" w:rsidRDefault="002528E6" w:rsidP="00FE1DDB">
      <w:pPr>
        <w:spacing w:after="0" w:line="240" w:lineRule="auto"/>
        <w:jc w:val="both"/>
        <w:rPr>
          <w:rFonts w:ascii="Times New Roman" w:hAnsi="Times New Roman" w:cs="Times New Roman"/>
          <w:sz w:val="24"/>
          <w:szCs w:val="24"/>
        </w:rPr>
      </w:pPr>
    </w:p>
    <w:p w14:paraId="36EEC902" w14:textId="2D720A67" w:rsidR="001E1068" w:rsidRPr="001E1068" w:rsidRDefault="001E1068" w:rsidP="001E1068">
      <w:pPr>
        <w:pStyle w:val="Caption"/>
        <w:keepNext/>
        <w:rPr>
          <w:rFonts w:ascii="Times New Roman" w:hAnsi="Times New Roman" w:cs="Times New Roman"/>
          <w:i w:val="0"/>
          <w:color w:val="000000" w:themeColor="text1"/>
          <w:sz w:val="20"/>
        </w:rPr>
      </w:pPr>
      <w:r w:rsidRPr="001E1068">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11</w:t>
      </w:r>
      <w:r w:rsidRPr="001E1068">
        <w:rPr>
          <w:rFonts w:ascii="Times New Roman" w:hAnsi="Times New Roman" w:cs="Times New Roman"/>
          <w:i w:val="0"/>
          <w:color w:val="000000" w:themeColor="text1"/>
          <w:sz w:val="20"/>
        </w:rPr>
        <w:t xml:space="preserve"> Criteria for Regional</w:t>
      </w:r>
      <w:r>
        <w:rPr>
          <w:rFonts w:ascii="Times New Roman" w:hAnsi="Times New Roman" w:cs="Times New Roman"/>
          <w:i w:val="0"/>
          <w:color w:val="000000" w:themeColor="text1"/>
          <w:sz w:val="20"/>
        </w:rPr>
        <w:t xml:space="preserve"> Water Quality</w:t>
      </w:r>
      <w:r w:rsidRPr="001E1068">
        <w:rPr>
          <w:rFonts w:ascii="Times New Roman" w:hAnsi="Times New Roman" w:cs="Times New Roman"/>
          <w:i w:val="0"/>
          <w:color w:val="000000" w:themeColor="text1"/>
          <w:sz w:val="20"/>
        </w:rPr>
        <w:t xml:space="preserve"> Rating based on NCCA 2015</w:t>
      </w:r>
      <w:r>
        <w:rPr>
          <w:rFonts w:ascii="Times New Roman" w:hAnsi="Times New Roman" w:cs="Times New Roman"/>
          <w:i w:val="0"/>
          <w:color w:val="000000" w:themeColor="text1"/>
          <w:sz w:val="20"/>
        </w:rPr>
        <w:t xml:space="preserve"> thresholds</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r>
        <w:rPr>
          <w:rFonts w:ascii="Times New Roman" w:hAnsi="Times New Roman" w:cs="Times New Roman"/>
          <w:i w:val="0"/>
          <w:color w:val="000000" w:themeColor="text1"/>
          <w:sz w:val="20"/>
        </w:rPr>
        <w:t>.</w:t>
      </w:r>
    </w:p>
    <w:tbl>
      <w:tblPr>
        <w:tblW w:w="0" w:type="auto"/>
        <w:tblLayout w:type="fixed"/>
        <w:tblLook w:val="04A0" w:firstRow="1" w:lastRow="0" w:firstColumn="1" w:lastColumn="0" w:noHBand="0" w:noVBand="1"/>
        <w:tblCaption w:val="Table 4.5- 10 Criteria for Regional Water Quality Rating based on NCCA 2015 thresholds."/>
        <w:tblDescription w:val="Table 4.5- 10 Criteria for Regional Water Quality Rating based on NCCA 2015 thresholds."/>
      </w:tblPr>
      <w:tblGrid>
        <w:gridCol w:w="1800"/>
        <w:gridCol w:w="5080"/>
      </w:tblGrid>
      <w:tr w:rsidR="001E1068" w:rsidRPr="001E1068" w14:paraId="5DE103B6" w14:textId="77777777" w:rsidTr="00307B7A">
        <w:trPr>
          <w:trHeight w:val="510"/>
        </w:trPr>
        <w:tc>
          <w:tcPr>
            <w:tcW w:w="1800" w:type="dxa"/>
            <w:tcBorders>
              <w:top w:val="nil"/>
              <w:left w:val="nil"/>
              <w:bottom w:val="single" w:sz="4" w:space="0" w:color="auto"/>
              <w:right w:val="nil"/>
            </w:tcBorders>
            <w:shd w:val="clear" w:color="auto" w:fill="auto"/>
            <w:vAlign w:val="center"/>
            <w:hideMark/>
          </w:tcPr>
          <w:p w14:paraId="1ABAE963" w14:textId="4D2CD15D" w:rsidR="001E1068" w:rsidRPr="001E1068" w:rsidRDefault="001E1068" w:rsidP="001E1068">
            <w:pPr>
              <w:spacing w:after="0" w:line="240" w:lineRule="auto"/>
              <w:rPr>
                <w:rFonts w:ascii="Times New Roman" w:eastAsia="Times New Roman" w:hAnsi="Times New Roman" w:cs="Times New Roman"/>
                <w:b/>
                <w:bCs/>
                <w:color w:val="000000"/>
                <w:sz w:val="20"/>
                <w:szCs w:val="20"/>
              </w:rPr>
            </w:pPr>
            <w:r w:rsidRPr="001E1068">
              <w:rPr>
                <w:rFonts w:ascii="Times New Roman" w:eastAsia="Times New Roman" w:hAnsi="Times New Roman" w:cs="Times New Roman"/>
                <w:b/>
                <w:bCs/>
                <w:color w:val="000000"/>
                <w:sz w:val="20"/>
                <w:szCs w:val="20"/>
              </w:rPr>
              <w:t>Rating</w:t>
            </w:r>
          </w:p>
        </w:tc>
        <w:tc>
          <w:tcPr>
            <w:tcW w:w="5080" w:type="dxa"/>
            <w:tcBorders>
              <w:top w:val="nil"/>
              <w:left w:val="nil"/>
              <w:bottom w:val="single" w:sz="4" w:space="0" w:color="auto"/>
              <w:right w:val="nil"/>
            </w:tcBorders>
            <w:shd w:val="clear" w:color="auto" w:fill="auto"/>
            <w:vAlign w:val="center"/>
            <w:hideMark/>
          </w:tcPr>
          <w:p w14:paraId="0F983975" w14:textId="37691633" w:rsidR="001E1068" w:rsidRPr="001E1068" w:rsidRDefault="001E1068" w:rsidP="001E1068">
            <w:pPr>
              <w:spacing w:after="0" w:line="240" w:lineRule="auto"/>
              <w:rPr>
                <w:rFonts w:ascii="Times New Roman" w:eastAsia="Times New Roman" w:hAnsi="Times New Roman" w:cs="Times New Roman"/>
                <w:b/>
                <w:bCs/>
                <w:color w:val="000000"/>
                <w:sz w:val="20"/>
                <w:szCs w:val="20"/>
              </w:rPr>
            </w:pPr>
            <w:r w:rsidRPr="001E1068">
              <w:rPr>
                <w:rFonts w:ascii="Times New Roman" w:hAnsi="Times New Roman" w:cs="Times New Roman"/>
                <w:b/>
                <w:sz w:val="20"/>
                <w:szCs w:val="20"/>
              </w:rPr>
              <w:t>Statewide Water Quality Characterization</w:t>
            </w:r>
            <w:r w:rsidRPr="001E1068">
              <w:rPr>
                <w:rFonts w:ascii="Times New Roman" w:eastAsia="Times New Roman" w:hAnsi="Times New Roman" w:cs="Times New Roman"/>
                <w:b/>
                <w:bCs/>
                <w:color w:val="000000"/>
                <w:sz w:val="20"/>
                <w:szCs w:val="20"/>
              </w:rPr>
              <w:t xml:space="preserve"> Criteria </w:t>
            </w:r>
          </w:p>
        </w:tc>
      </w:tr>
      <w:tr w:rsidR="001E1068" w:rsidRPr="001E1068" w14:paraId="033D5B33" w14:textId="77777777" w:rsidTr="00307B7A">
        <w:trPr>
          <w:trHeight w:val="525"/>
        </w:trPr>
        <w:tc>
          <w:tcPr>
            <w:tcW w:w="1800" w:type="dxa"/>
            <w:tcBorders>
              <w:top w:val="single" w:sz="4" w:space="0" w:color="auto"/>
              <w:left w:val="nil"/>
              <w:bottom w:val="single" w:sz="4" w:space="0" w:color="D9D9D9" w:themeColor="background1" w:themeShade="D9"/>
              <w:right w:val="nil"/>
            </w:tcBorders>
            <w:shd w:val="clear" w:color="auto" w:fill="auto"/>
            <w:vAlign w:val="center"/>
            <w:hideMark/>
          </w:tcPr>
          <w:p w14:paraId="1C583E87"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Good</w:t>
            </w:r>
          </w:p>
        </w:tc>
        <w:tc>
          <w:tcPr>
            <w:tcW w:w="5080" w:type="dxa"/>
            <w:tcBorders>
              <w:top w:val="single" w:sz="4" w:space="0" w:color="auto"/>
              <w:left w:val="nil"/>
              <w:bottom w:val="single" w:sz="4" w:space="0" w:color="D9D9D9" w:themeColor="background1" w:themeShade="D9"/>
              <w:right w:val="nil"/>
            </w:tcBorders>
            <w:shd w:val="clear" w:color="auto" w:fill="auto"/>
            <w:vAlign w:val="center"/>
            <w:hideMark/>
          </w:tcPr>
          <w:p w14:paraId="0063799E"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Fewer than 10% of the sites are in "Poor" condition, and more than 50% of the sites are in "Good" Condition</w:t>
            </w:r>
          </w:p>
        </w:tc>
      </w:tr>
      <w:tr w:rsidR="001E1068" w:rsidRPr="001E1068" w14:paraId="05689B88" w14:textId="77777777" w:rsidTr="00307B7A">
        <w:trPr>
          <w:trHeight w:val="525"/>
        </w:trPr>
        <w:tc>
          <w:tcPr>
            <w:tcW w:w="180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63E05ADD"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Fair</w:t>
            </w:r>
          </w:p>
        </w:tc>
        <w:tc>
          <w:tcPr>
            <w:tcW w:w="508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310AC65D"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Ten to 20% of the sites are in "Poor" condition, or 50% or fewer of the sites are in "Good" condition.</w:t>
            </w:r>
          </w:p>
        </w:tc>
      </w:tr>
      <w:tr w:rsidR="001E1068" w:rsidRPr="001E1068" w14:paraId="44C455B0" w14:textId="77777777" w:rsidTr="00307B7A">
        <w:trPr>
          <w:trHeight w:val="525"/>
        </w:trPr>
        <w:tc>
          <w:tcPr>
            <w:tcW w:w="1800" w:type="dxa"/>
            <w:tcBorders>
              <w:top w:val="single" w:sz="4" w:space="0" w:color="D9D9D9" w:themeColor="background1" w:themeShade="D9"/>
              <w:left w:val="nil"/>
              <w:bottom w:val="single" w:sz="4" w:space="0" w:color="auto"/>
              <w:right w:val="nil"/>
            </w:tcBorders>
            <w:shd w:val="clear" w:color="auto" w:fill="auto"/>
            <w:vAlign w:val="center"/>
            <w:hideMark/>
          </w:tcPr>
          <w:p w14:paraId="1923574C"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Poor</w:t>
            </w:r>
          </w:p>
        </w:tc>
        <w:tc>
          <w:tcPr>
            <w:tcW w:w="5080" w:type="dxa"/>
            <w:tcBorders>
              <w:top w:val="single" w:sz="4" w:space="0" w:color="D9D9D9" w:themeColor="background1" w:themeShade="D9"/>
              <w:left w:val="nil"/>
              <w:bottom w:val="single" w:sz="4" w:space="0" w:color="auto"/>
              <w:right w:val="nil"/>
            </w:tcBorders>
            <w:shd w:val="clear" w:color="auto" w:fill="auto"/>
            <w:vAlign w:val="center"/>
            <w:hideMark/>
          </w:tcPr>
          <w:p w14:paraId="7BD8BC7F" w14:textId="77777777" w:rsidR="001E1068" w:rsidRPr="001E1068" w:rsidRDefault="001E1068" w:rsidP="001E1068">
            <w:pPr>
              <w:spacing w:after="0" w:line="240" w:lineRule="auto"/>
              <w:rPr>
                <w:rFonts w:ascii="Times New Roman" w:eastAsia="Times New Roman" w:hAnsi="Times New Roman" w:cs="Times New Roman"/>
                <w:color w:val="000000"/>
                <w:sz w:val="20"/>
                <w:szCs w:val="20"/>
              </w:rPr>
            </w:pPr>
            <w:r w:rsidRPr="001E1068">
              <w:rPr>
                <w:rFonts w:ascii="Times New Roman" w:eastAsia="Times New Roman" w:hAnsi="Times New Roman" w:cs="Times New Roman"/>
                <w:color w:val="000000"/>
                <w:sz w:val="20"/>
                <w:szCs w:val="24"/>
              </w:rPr>
              <w:t>More than 20% of the sites are in "Poor" condition.</w:t>
            </w:r>
          </w:p>
        </w:tc>
      </w:tr>
    </w:tbl>
    <w:p w14:paraId="790CCDC8" w14:textId="77777777" w:rsidR="00086DC2" w:rsidRPr="00FE1DDB" w:rsidRDefault="00086DC2" w:rsidP="00FE1DDB">
      <w:pPr>
        <w:spacing w:after="0" w:line="240" w:lineRule="auto"/>
        <w:rPr>
          <w:rFonts w:ascii="Times New Roman" w:hAnsi="Times New Roman" w:cs="Times New Roman"/>
          <w:b/>
          <w:sz w:val="16"/>
          <w:szCs w:val="24"/>
        </w:rPr>
      </w:pPr>
    </w:p>
    <w:p w14:paraId="5B26B3FD" w14:textId="7EC277A1" w:rsidR="0036617D" w:rsidRPr="00FE1DDB" w:rsidRDefault="001C1EBA"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ab/>
      </w:r>
      <w:r w:rsidRPr="00FE1DDB">
        <w:rPr>
          <w:rFonts w:ascii="Times New Roman" w:hAnsi="Times New Roman" w:cs="Times New Roman"/>
          <w:sz w:val="24"/>
          <w:szCs w:val="24"/>
        </w:rPr>
        <w:tab/>
      </w:r>
      <w:r w:rsidRPr="00FE1DDB">
        <w:rPr>
          <w:rFonts w:ascii="Times New Roman" w:hAnsi="Times New Roman" w:cs="Times New Roman"/>
          <w:sz w:val="24"/>
          <w:szCs w:val="24"/>
        </w:rPr>
        <w:tab/>
      </w:r>
      <w:r w:rsidRPr="00FE1DDB">
        <w:rPr>
          <w:rFonts w:ascii="Times New Roman" w:hAnsi="Times New Roman" w:cs="Times New Roman"/>
          <w:sz w:val="24"/>
          <w:szCs w:val="24"/>
        </w:rPr>
        <w:tab/>
      </w:r>
    </w:p>
    <w:p w14:paraId="4B8D516A" w14:textId="78350630" w:rsidR="002F28F3" w:rsidRPr="00FE1DDB" w:rsidRDefault="002F28F3" w:rsidP="00FE1DDB">
      <w:pPr>
        <w:spacing w:line="240" w:lineRule="auto"/>
        <w:rPr>
          <w:rFonts w:ascii="Times New Roman" w:hAnsi="Times New Roman" w:cs="Times New Roman"/>
          <w:sz w:val="24"/>
          <w:szCs w:val="24"/>
        </w:rPr>
      </w:pPr>
      <w:r w:rsidRPr="00FE1DDB">
        <w:rPr>
          <w:rFonts w:ascii="Times New Roman" w:hAnsi="Times New Roman" w:cs="Times New Roman"/>
          <w:b/>
          <w:sz w:val="24"/>
          <w:szCs w:val="24"/>
        </w:rPr>
        <w:t>Other Water Quality Attributes:</w:t>
      </w:r>
      <w:r w:rsidRPr="00FE1DDB">
        <w:rPr>
          <w:rFonts w:ascii="Times New Roman" w:hAnsi="Times New Roman" w:cs="Times New Roman"/>
          <w:sz w:val="24"/>
          <w:szCs w:val="24"/>
        </w:rPr>
        <w:t xml:space="preserve"> Virginia has established water quality standards for several additional water quality attributes that have not been included among those traditionally evaluated by the NCCA Program. </w:t>
      </w:r>
      <w:r w:rsidR="00ED52DE" w:rsidRPr="00FE1DDB">
        <w:rPr>
          <w:rFonts w:ascii="Times New Roman" w:hAnsi="Times New Roman" w:cs="Times New Roman"/>
          <w:sz w:val="24"/>
          <w:szCs w:val="24"/>
        </w:rPr>
        <w:t>Summaries of the following attributes are presented only for the purpose of characterizing the state’s estuarine waters as a whole, and the single observed values at individual sites are not appropriate for site-specific assessments.</w:t>
      </w:r>
    </w:p>
    <w:p w14:paraId="60808490" w14:textId="32768D2A" w:rsidR="00ED52DE" w:rsidRPr="00FE1DDB" w:rsidRDefault="00BC12C3" w:rsidP="00FE1DDB">
      <w:pPr>
        <w:spacing w:line="240" w:lineRule="auto"/>
        <w:rPr>
          <w:rFonts w:ascii="Times New Roman" w:hAnsi="Times New Roman" w:cs="Times New Roman"/>
          <w:sz w:val="24"/>
          <w:szCs w:val="24"/>
        </w:rPr>
      </w:pPr>
      <w:r w:rsidRPr="00FE1DDB">
        <w:rPr>
          <w:rFonts w:ascii="Times New Roman" w:hAnsi="Times New Roman" w:cs="Times New Roman"/>
          <w:b/>
          <w:sz w:val="24"/>
          <w:szCs w:val="24"/>
        </w:rPr>
        <w:t>Acidity-Alkalinity (pH):</w:t>
      </w:r>
      <w:r w:rsidRPr="00FE1DDB">
        <w:rPr>
          <w:rFonts w:ascii="Times New Roman" w:hAnsi="Times New Roman" w:cs="Times New Roman"/>
          <w:sz w:val="24"/>
          <w:szCs w:val="24"/>
        </w:rPr>
        <w:t xml:space="preserve"> Virginia has established a single range of pH values to be acceptable for all classes of fresh and salt waters</w:t>
      </w:r>
      <w:r w:rsidR="00EC23F1" w:rsidRPr="00FE1DDB">
        <w:rPr>
          <w:rFonts w:ascii="Times New Roman" w:hAnsi="Times New Roman" w:cs="Times New Roman"/>
          <w:sz w:val="24"/>
          <w:szCs w:val="24"/>
        </w:rPr>
        <w:t>,</w:t>
      </w:r>
      <w:r w:rsidRPr="00FE1DDB">
        <w:rPr>
          <w:rFonts w:ascii="Times New Roman" w:hAnsi="Times New Roman" w:cs="Times New Roman"/>
          <w:sz w:val="24"/>
          <w:szCs w:val="24"/>
        </w:rPr>
        <w:t xml:space="preserve"> except for swamp waters. In normal fresh and salt waters, observed pH values in the range of 6.0 </w:t>
      </w:r>
      <w:r w:rsidR="00B14429" w:rsidRPr="00FE1DDB">
        <w:rPr>
          <w:rFonts w:ascii="Times New Roman" w:hAnsi="Times New Roman" w:cs="Times New Roman"/>
          <w:sz w:val="24"/>
          <w:szCs w:val="24"/>
        </w:rPr>
        <w:t>-</w:t>
      </w:r>
      <w:r w:rsidRPr="00FE1DDB">
        <w:rPr>
          <w:rFonts w:ascii="Times New Roman" w:hAnsi="Times New Roman" w:cs="Times New Roman"/>
          <w:sz w:val="24"/>
          <w:szCs w:val="24"/>
        </w:rPr>
        <w:t xml:space="preserve"> 9.0 are considered to be acceptable.</w:t>
      </w:r>
      <w:r w:rsidR="00FB0A2E" w:rsidRPr="00FE1DDB">
        <w:rPr>
          <w:rFonts w:ascii="Times New Roman" w:hAnsi="Times New Roman" w:cs="Times New Roman"/>
          <w:sz w:val="24"/>
          <w:szCs w:val="24"/>
        </w:rPr>
        <w:t xml:space="preserve"> Any </w:t>
      </w:r>
      <w:r w:rsidR="00EC23F1" w:rsidRPr="00FE1DDB">
        <w:rPr>
          <w:rFonts w:ascii="Times New Roman" w:hAnsi="Times New Roman" w:cs="Times New Roman"/>
          <w:sz w:val="24"/>
          <w:szCs w:val="24"/>
        </w:rPr>
        <w:t xml:space="preserve">observed </w:t>
      </w:r>
      <w:r w:rsidR="00FB0A2E" w:rsidRPr="00FE1DDB">
        <w:rPr>
          <w:rFonts w:ascii="Times New Roman" w:hAnsi="Times New Roman" w:cs="Times New Roman"/>
          <w:sz w:val="24"/>
          <w:szCs w:val="24"/>
        </w:rPr>
        <w:t xml:space="preserve">pH </w:t>
      </w:r>
      <w:r w:rsidR="00EC23F1" w:rsidRPr="00FE1DDB">
        <w:rPr>
          <w:rFonts w:ascii="Times New Roman" w:hAnsi="Times New Roman" w:cs="Times New Roman"/>
          <w:sz w:val="24"/>
          <w:szCs w:val="24"/>
        </w:rPr>
        <w:t xml:space="preserve">value </w:t>
      </w:r>
      <w:r w:rsidR="00FB0A2E" w:rsidRPr="00FE1DDB">
        <w:rPr>
          <w:rFonts w:ascii="Times New Roman" w:hAnsi="Times New Roman" w:cs="Times New Roman"/>
          <w:sz w:val="24"/>
          <w:szCs w:val="24"/>
        </w:rPr>
        <w:t xml:space="preserve">below 6.0 or above 9.0 is considered </w:t>
      </w:r>
      <w:r w:rsidR="009510AF" w:rsidRPr="00FE1DDB">
        <w:rPr>
          <w:rFonts w:ascii="Times New Roman" w:hAnsi="Times New Roman" w:cs="Times New Roman"/>
          <w:sz w:val="24"/>
          <w:szCs w:val="24"/>
        </w:rPr>
        <w:t>an</w:t>
      </w:r>
      <w:r w:rsidR="00FB0A2E" w:rsidRPr="00FE1DDB">
        <w:rPr>
          <w:rFonts w:ascii="Times New Roman" w:hAnsi="Times New Roman" w:cs="Times New Roman"/>
          <w:sz w:val="24"/>
          <w:szCs w:val="24"/>
        </w:rPr>
        <w:t xml:space="preserve"> </w:t>
      </w:r>
      <w:r w:rsidR="00B77491" w:rsidRPr="00FE1DDB">
        <w:rPr>
          <w:rFonts w:ascii="Times New Roman" w:hAnsi="Times New Roman" w:cs="Times New Roman"/>
          <w:sz w:val="24"/>
          <w:szCs w:val="24"/>
        </w:rPr>
        <w:t>excursion</w:t>
      </w:r>
      <w:r w:rsidR="00FB0A2E" w:rsidRPr="00FE1DDB">
        <w:rPr>
          <w:rFonts w:ascii="Times New Roman" w:hAnsi="Times New Roman" w:cs="Times New Roman"/>
          <w:sz w:val="24"/>
          <w:szCs w:val="24"/>
        </w:rPr>
        <w:t xml:space="preserve"> of the standard.</w:t>
      </w:r>
      <w:r w:rsidR="00756999" w:rsidRPr="00FE1DDB">
        <w:rPr>
          <w:rFonts w:ascii="Times New Roman" w:hAnsi="Times New Roman" w:cs="Times New Roman"/>
          <w:sz w:val="24"/>
          <w:szCs w:val="24"/>
        </w:rPr>
        <w:t xml:space="preserve"> Acidification (lowering of pH</w:t>
      </w:r>
      <w:r w:rsidR="004718A2" w:rsidRPr="00FE1DDB">
        <w:rPr>
          <w:rFonts w:ascii="Times New Roman" w:hAnsi="Times New Roman" w:cs="Times New Roman"/>
          <w:sz w:val="24"/>
          <w:szCs w:val="24"/>
        </w:rPr>
        <w:t xml:space="preserve">) </w:t>
      </w:r>
      <w:r w:rsidR="00756999" w:rsidRPr="00FE1DDB">
        <w:rPr>
          <w:rFonts w:ascii="Times New Roman" w:hAnsi="Times New Roman" w:cs="Times New Roman"/>
          <w:sz w:val="24"/>
          <w:szCs w:val="24"/>
        </w:rPr>
        <w:t xml:space="preserve">is often associated with acid rain </w:t>
      </w:r>
      <w:r w:rsidR="00F35BD9" w:rsidRPr="00FE1DDB">
        <w:rPr>
          <w:rFonts w:ascii="Times New Roman" w:hAnsi="Times New Roman" w:cs="Times New Roman"/>
          <w:sz w:val="24"/>
          <w:szCs w:val="24"/>
        </w:rPr>
        <w:t>(H</w:t>
      </w:r>
      <w:r w:rsidR="00F35BD9" w:rsidRPr="00FE1DDB">
        <w:rPr>
          <w:rFonts w:ascii="Times New Roman" w:hAnsi="Times New Roman" w:cs="Times New Roman"/>
          <w:b/>
          <w:sz w:val="24"/>
          <w:szCs w:val="24"/>
          <w:vertAlign w:val="subscript"/>
        </w:rPr>
        <w:t>2</w:t>
      </w:r>
      <w:r w:rsidR="00F35BD9" w:rsidRPr="00FE1DDB">
        <w:rPr>
          <w:rFonts w:ascii="Times New Roman" w:hAnsi="Times New Roman" w:cs="Times New Roman"/>
          <w:sz w:val="24"/>
          <w:szCs w:val="24"/>
        </w:rPr>
        <w:t>SO</w:t>
      </w:r>
      <w:r w:rsidR="00F35BD9" w:rsidRPr="00FE1DDB">
        <w:rPr>
          <w:rFonts w:ascii="Times New Roman" w:hAnsi="Times New Roman" w:cs="Times New Roman"/>
          <w:b/>
          <w:sz w:val="24"/>
          <w:szCs w:val="24"/>
          <w:vertAlign w:val="subscript"/>
        </w:rPr>
        <w:t>4</w:t>
      </w:r>
      <w:r w:rsidR="00F35BD9" w:rsidRPr="00FE1DDB">
        <w:rPr>
          <w:rFonts w:ascii="Times New Roman" w:hAnsi="Times New Roman" w:cs="Times New Roman"/>
          <w:sz w:val="24"/>
          <w:szCs w:val="24"/>
        </w:rPr>
        <w:t>, HNO</w:t>
      </w:r>
      <w:r w:rsidR="00F35BD9" w:rsidRPr="00FE1DDB">
        <w:rPr>
          <w:rFonts w:ascii="Times New Roman" w:hAnsi="Times New Roman" w:cs="Times New Roman"/>
          <w:b/>
          <w:sz w:val="24"/>
          <w:szCs w:val="24"/>
          <w:vertAlign w:val="subscript"/>
        </w:rPr>
        <w:t>3</w:t>
      </w:r>
      <w:r w:rsidR="00F35BD9" w:rsidRPr="00FE1DDB">
        <w:rPr>
          <w:rFonts w:ascii="Times New Roman" w:hAnsi="Times New Roman" w:cs="Times New Roman"/>
          <w:sz w:val="24"/>
          <w:szCs w:val="24"/>
        </w:rPr>
        <w:t xml:space="preserve">, </w:t>
      </w:r>
      <w:r w:rsidR="001377C3" w:rsidRPr="00FE1DDB">
        <w:rPr>
          <w:rFonts w:ascii="Times New Roman" w:hAnsi="Times New Roman" w:cs="Times New Roman"/>
          <w:sz w:val="24"/>
          <w:szCs w:val="24"/>
        </w:rPr>
        <w:t>H</w:t>
      </w:r>
      <w:r w:rsidR="001377C3" w:rsidRPr="00FE1DDB">
        <w:rPr>
          <w:rFonts w:ascii="Times New Roman" w:hAnsi="Times New Roman" w:cs="Times New Roman"/>
          <w:b/>
          <w:sz w:val="24"/>
          <w:szCs w:val="24"/>
          <w:vertAlign w:val="subscript"/>
        </w:rPr>
        <w:t>2</w:t>
      </w:r>
      <w:r w:rsidR="001377C3" w:rsidRPr="00FE1DDB">
        <w:rPr>
          <w:rFonts w:ascii="Times New Roman" w:hAnsi="Times New Roman" w:cs="Times New Roman"/>
          <w:sz w:val="24"/>
          <w:szCs w:val="24"/>
        </w:rPr>
        <w:t>CO</w:t>
      </w:r>
      <w:r w:rsidR="001377C3" w:rsidRPr="00FE1DDB">
        <w:rPr>
          <w:rFonts w:ascii="Times New Roman" w:hAnsi="Times New Roman" w:cs="Times New Roman"/>
          <w:b/>
          <w:sz w:val="24"/>
          <w:szCs w:val="24"/>
          <w:vertAlign w:val="subscript"/>
        </w:rPr>
        <w:t>3</w:t>
      </w:r>
      <w:r w:rsidR="00F35BD9" w:rsidRPr="00FE1DDB">
        <w:rPr>
          <w:rFonts w:ascii="Times New Roman" w:hAnsi="Times New Roman" w:cs="Times New Roman"/>
          <w:sz w:val="24"/>
          <w:szCs w:val="24"/>
        </w:rPr>
        <w:t>)</w:t>
      </w:r>
      <w:r w:rsidR="001377C3" w:rsidRPr="00FE1DDB">
        <w:rPr>
          <w:rFonts w:ascii="Times New Roman" w:hAnsi="Times New Roman" w:cs="Times New Roman"/>
          <w:sz w:val="24"/>
          <w:szCs w:val="24"/>
        </w:rPr>
        <w:t xml:space="preserve"> </w:t>
      </w:r>
      <w:r w:rsidR="00756999" w:rsidRPr="00FE1DDB">
        <w:rPr>
          <w:rFonts w:ascii="Times New Roman" w:hAnsi="Times New Roman" w:cs="Times New Roman"/>
          <w:sz w:val="24"/>
          <w:szCs w:val="24"/>
        </w:rPr>
        <w:t>deposition</w:t>
      </w:r>
      <w:r w:rsidR="00E60781" w:rsidRPr="00FE1DDB">
        <w:rPr>
          <w:rFonts w:ascii="Times New Roman" w:hAnsi="Times New Roman" w:cs="Times New Roman"/>
          <w:sz w:val="24"/>
          <w:szCs w:val="24"/>
        </w:rPr>
        <w:t>, especially in freshwater streams, lakes, and reservoirs</w:t>
      </w:r>
      <w:r w:rsidR="004718A2" w:rsidRPr="00FE1DDB">
        <w:rPr>
          <w:rFonts w:ascii="Times New Roman" w:hAnsi="Times New Roman" w:cs="Times New Roman"/>
          <w:sz w:val="24"/>
          <w:szCs w:val="24"/>
        </w:rPr>
        <w:t>. Alkalinization (rising pH) may result from eutrophication and excessive algal blooms or as a result of salinization due to the input of salts containing strong bases</w:t>
      </w:r>
      <w:r w:rsidR="001377C3" w:rsidRPr="00FE1DDB">
        <w:rPr>
          <w:rFonts w:ascii="Times New Roman" w:hAnsi="Times New Roman" w:cs="Times New Roman"/>
          <w:sz w:val="24"/>
          <w:szCs w:val="24"/>
        </w:rPr>
        <w:t xml:space="preserve"> (Na</w:t>
      </w:r>
      <w:r w:rsidR="001377C3" w:rsidRPr="00FE1DDB">
        <w:rPr>
          <w:rFonts w:ascii="Times New Roman" w:hAnsi="Times New Roman" w:cs="Times New Roman"/>
          <w:b/>
          <w:sz w:val="24"/>
          <w:szCs w:val="24"/>
          <w:vertAlign w:val="superscript"/>
        </w:rPr>
        <w:t>+</w:t>
      </w:r>
      <w:r w:rsidR="001377C3" w:rsidRPr="00FE1DDB">
        <w:rPr>
          <w:rFonts w:ascii="Times New Roman" w:hAnsi="Times New Roman" w:cs="Times New Roman"/>
          <w:sz w:val="24"/>
          <w:szCs w:val="24"/>
        </w:rPr>
        <w:t>, Mg</w:t>
      </w:r>
      <w:r w:rsidR="001377C3" w:rsidRPr="00FE1DDB">
        <w:rPr>
          <w:rFonts w:ascii="Times New Roman" w:hAnsi="Times New Roman" w:cs="Times New Roman"/>
          <w:b/>
          <w:sz w:val="24"/>
          <w:szCs w:val="24"/>
          <w:vertAlign w:val="superscript"/>
        </w:rPr>
        <w:t>2+</w:t>
      </w:r>
      <w:r w:rsidR="001377C3" w:rsidRPr="00FE1DDB">
        <w:rPr>
          <w:rFonts w:ascii="Times New Roman" w:hAnsi="Times New Roman" w:cs="Times New Roman"/>
          <w:sz w:val="24"/>
          <w:szCs w:val="24"/>
        </w:rPr>
        <w:t>, K</w:t>
      </w:r>
      <w:r w:rsidR="001377C3" w:rsidRPr="00FE1DDB">
        <w:rPr>
          <w:rFonts w:ascii="Times New Roman" w:hAnsi="Times New Roman" w:cs="Times New Roman"/>
          <w:b/>
          <w:sz w:val="24"/>
          <w:szCs w:val="24"/>
          <w:vertAlign w:val="superscript"/>
        </w:rPr>
        <w:t>+</w:t>
      </w:r>
      <w:r w:rsidR="001377C3" w:rsidRPr="00FE1DDB">
        <w:rPr>
          <w:rFonts w:ascii="Times New Roman" w:hAnsi="Times New Roman" w:cs="Times New Roman"/>
          <w:sz w:val="24"/>
          <w:szCs w:val="24"/>
        </w:rPr>
        <w:t>).</w:t>
      </w:r>
      <w:r w:rsidR="00E60781" w:rsidRPr="00FE1DDB">
        <w:rPr>
          <w:rFonts w:ascii="Times New Roman" w:hAnsi="Times New Roman" w:cs="Times New Roman"/>
          <w:sz w:val="24"/>
          <w:szCs w:val="24"/>
        </w:rPr>
        <w:t xml:space="preserve"> </w:t>
      </w:r>
    </w:p>
    <w:p w14:paraId="01922297" w14:textId="4FA02BC3" w:rsidR="001E1068" w:rsidRPr="001E1068" w:rsidRDefault="00FB0A2E" w:rsidP="0059561A">
      <w:pPr>
        <w:spacing w:line="240" w:lineRule="auto"/>
        <w:rPr>
          <w:rFonts w:ascii="Times New Roman" w:hAnsi="Times New Roman" w:cs="Times New Roman"/>
          <w:i/>
          <w:color w:val="000000" w:themeColor="text1"/>
          <w:sz w:val="20"/>
        </w:rPr>
      </w:pPr>
      <w:r w:rsidRPr="00FE1DDB">
        <w:rPr>
          <w:rFonts w:ascii="Times New Roman" w:hAnsi="Times New Roman" w:cs="Times New Roman"/>
          <w:sz w:val="24"/>
          <w:szCs w:val="24"/>
        </w:rPr>
        <w:t>For the purpose of pH evaluation</w:t>
      </w:r>
      <w:r w:rsidR="00B14429" w:rsidRPr="00FE1DDB">
        <w:rPr>
          <w:rFonts w:ascii="Times New Roman" w:hAnsi="Times New Roman" w:cs="Times New Roman"/>
          <w:sz w:val="24"/>
          <w:szCs w:val="24"/>
        </w:rPr>
        <w:t>s</w:t>
      </w:r>
      <w:r w:rsidRPr="00FE1DDB">
        <w:rPr>
          <w:rFonts w:ascii="Times New Roman" w:hAnsi="Times New Roman" w:cs="Times New Roman"/>
          <w:sz w:val="24"/>
          <w:szCs w:val="24"/>
        </w:rPr>
        <w:t>, all measurements surface to bottom</w:t>
      </w:r>
      <w:r w:rsidR="0059561A">
        <w:rPr>
          <w:rFonts w:ascii="Times New Roman" w:hAnsi="Times New Roman" w:cs="Times New Roman"/>
          <w:sz w:val="24"/>
          <w:szCs w:val="24"/>
        </w:rPr>
        <w:t xml:space="preserve"> of the</w:t>
      </w:r>
      <w:r w:rsidRPr="00FE1DDB">
        <w:rPr>
          <w:rFonts w:ascii="Times New Roman" w:hAnsi="Times New Roman" w:cs="Times New Roman"/>
          <w:sz w:val="24"/>
          <w:szCs w:val="24"/>
        </w:rPr>
        <w:t xml:space="preserve"> hydrographic profile were considered. Among </w:t>
      </w:r>
      <w:r w:rsidR="003012D4" w:rsidRPr="00FE1DDB">
        <w:rPr>
          <w:rFonts w:ascii="Times New Roman" w:hAnsi="Times New Roman" w:cs="Times New Roman"/>
          <w:sz w:val="24"/>
          <w:szCs w:val="24"/>
        </w:rPr>
        <w:t>1,</w:t>
      </w:r>
      <w:r w:rsidR="00123688">
        <w:rPr>
          <w:rFonts w:ascii="Times New Roman" w:hAnsi="Times New Roman" w:cs="Times New Roman"/>
          <w:sz w:val="24"/>
          <w:szCs w:val="24"/>
        </w:rPr>
        <w:t>2</w:t>
      </w:r>
      <w:r w:rsidR="001E1068">
        <w:rPr>
          <w:rFonts w:ascii="Times New Roman" w:hAnsi="Times New Roman" w:cs="Times New Roman"/>
          <w:sz w:val="24"/>
          <w:szCs w:val="24"/>
        </w:rPr>
        <w:t>53</w:t>
      </w:r>
      <w:r w:rsidRPr="00FE1DDB">
        <w:rPr>
          <w:rFonts w:ascii="Times New Roman" w:hAnsi="Times New Roman" w:cs="Times New Roman"/>
          <w:sz w:val="24"/>
          <w:szCs w:val="24"/>
        </w:rPr>
        <w:t xml:space="preserve"> pH measurements collected across 298 estuarine sites, only </w:t>
      </w:r>
      <w:r w:rsidR="003012D4" w:rsidRPr="00FE1DDB">
        <w:rPr>
          <w:rFonts w:ascii="Times New Roman" w:hAnsi="Times New Roman" w:cs="Times New Roman"/>
          <w:sz w:val="24"/>
          <w:szCs w:val="24"/>
        </w:rPr>
        <w:t>five</w:t>
      </w:r>
      <w:r w:rsidRPr="00FE1DDB">
        <w:rPr>
          <w:rFonts w:ascii="Times New Roman" w:hAnsi="Times New Roman" w:cs="Times New Roman"/>
          <w:sz w:val="24"/>
          <w:szCs w:val="24"/>
        </w:rPr>
        <w:t xml:space="preserve"> measurements</w:t>
      </w:r>
      <w:r w:rsidR="00B14429" w:rsidRPr="00FE1DDB">
        <w:rPr>
          <w:rFonts w:ascii="Times New Roman" w:hAnsi="Times New Roman" w:cs="Times New Roman"/>
          <w:sz w:val="24"/>
          <w:szCs w:val="24"/>
        </w:rPr>
        <w:t xml:space="preserve"> at </w:t>
      </w:r>
      <w:r w:rsidR="001E1068">
        <w:rPr>
          <w:rFonts w:ascii="Times New Roman" w:hAnsi="Times New Roman" w:cs="Times New Roman"/>
          <w:sz w:val="24"/>
          <w:szCs w:val="24"/>
        </w:rPr>
        <w:t>three</w:t>
      </w:r>
      <w:r w:rsidR="00B14429" w:rsidRPr="00FE1DDB">
        <w:rPr>
          <w:rFonts w:ascii="Times New Roman" w:hAnsi="Times New Roman" w:cs="Times New Roman"/>
          <w:sz w:val="24"/>
          <w:szCs w:val="24"/>
        </w:rPr>
        <w:t xml:space="preserve"> site</w:t>
      </w:r>
      <w:r w:rsidR="003012D4" w:rsidRPr="00FE1DDB">
        <w:rPr>
          <w:rFonts w:ascii="Times New Roman" w:hAnsi="Times New Roman" w:cs="Times New Roman"/>
          <w:sz w:val="24"/>
          <w:szCs w:val="24"/>
        </w:rPr>
        <w:t>s</w:t>
      </w:r>
      <w:r w:rsidR="00B14429" w:rsidRPr="00FE1DDB">
        <w:rPr>
          <w:rFonts w:ascii="Times New Roman" w:hAnsi="Times New Roman" w:cs="Times New Roman"/>
          <w:sz w:val="24"/>
          <w:szCs w:val="24"/>
        </w:rPr>
        <w:t xml:space="preserve"> </w:t>
      </w:r>
      <w:r w:rsidR="00B77491" w:rsidRPr="00FE1DDB">
        <w:rPr>
          <w:rFonts w:ascii="Times New Roman" w:hAnsi="Times New Roman" w:cs="Times New Roman"/>
          <w:sz w:val="24"/>
          <w:szCs w:val="24"/>
        </w:rPr>
        <w:t>exceeded</w:t>
      </w:r>
      <w:r w:rsidR="00B14429" w:rsidRPr="00FE1DDB">
        <w:rPr>
          <w:rFonts w:ascii="Times New Roman" w:hAnsi="Times New Roman" w:cs="Times New Roman"/>
          <w:sz w:val="24"/>
          <w:szCs w:val="24"/>
        </w:rPr>
        <w:t xml:space="preserve"> the state pH standard. All </w:t>
      </w:r>
      <w:r w:rsidR="001E1068" w:rsidRPr="00FE1DDB">
        <w:rPr>
          <w:rFonts w:ascii="Times New Roman" w:hAnsi="Times New Roman" w:cs="Times New Roman"/>
          <w:sz w:val="24"/>
          <w:szCs w:val="24"/>
        </w:rPr>
        <w:t>ex</w:t>
      </w:r>
      <w:r w:rsidR="001E1068">
        <w:rPr>
          <w:rFonts w:ascii="Times New Roman" w:hAnsi="Times New Roman" w:cs="Times New Roman"/>
          <w:sz w:val="24"/>
          <w:szCs w:val="24"/>
        </w:rPr>
        <w:t>ceedances</w:t>
      </w:r>
      <w:r w:rsidR="00B14429" w:rsidRPr="00FE1DDB">
        <w:rPr>
          <w:rFonts w:ascii="Times New Roman" w:hAnsi="Times New Roman" w:cs="Times New Roman"/>
          <w:sz w:val="24"/>
          <w:szCs w:val="24"/>
        </w:rPr>
        <w:t xml:space="preserve"> were above </w:t>
      </w:r>
      <w:r w:rsidR="00756999" w:rsidRPr="00FE1DDB">
        <w:rPr>
          <w:rFonts w:ascii="Times New Roman" w:hAnsi="Times New Roman" w:cs="Times New Roman"/>
          <w:sz w:val="24"/>
          <w:szCs w:val="24"/>
        </w:rPr>
        <w:t xml:space="preserve">pH </w:t>
      </w:r>
      <w:r w:rsidR="00B14429" w:rsidRPr="00FE1DDB">
        <w:rPr>
          <w:rFonts w:ascii="Times New Roman" w:hAnsi="Times New Roman" w:cs="Times New Roman"/>
          <w:sz w:val="24"/>
          <w:szCs w:val="24"/>
        </w:rPr>
        <w:t xml:space="preserve">9.0, and </w:t>
      </w:r>
      <w:r w:rsidR="0059561A">
        <w:rPr>
          <w:rFonts w:ascii="Times New Roman" w:hAnsi="Times New Roman" w:cs="Times New Roman"/>
          <w:sz w:val="24"/>
          <w:szCs w:val="24"/>
        </w:rPr>
        <w:t>all</w:t>
      </w:r>
      <w:r w:rsidR="00656DFB" w:rsidRPr="00FE1DDB">
        <w:rPr>
          <w:rFonts w:ascii="Times New Roman" w:hAnsi="Times New Roman" w:cs="Times New Roman"/>
          <w:sz w:val="24"/>
          <w:szCs w:val="24"/>
        </w:rPr>
        <w:t xml:space="preserve"> </w:t>
      </w:r>
      <w:r w:rsidR="003012D4" w:rsidRPr="00FE1DDB">
        <w:rPr>
          <w:rFonts w:ascii="Times New Roman" w:hAnsi="Times New Roman" w:cs="Times New Roman"/>
          <w:sz w:val="24"/>
          <w:szCs w:val="24"/>
        </w:rPr>
        <w:t xml:space="preserve">sites were </w:t>
      </w:r>
      <w:r w:rsidR="00B14429" w:rsidRPr="00FE1DDB">
        <w:rPr>
          <w:rFonts w:ascii="Times New Roman" w:hAnsi="Times New Roman" w:cs="Times New Roman"/>
          <w:sz w:val="24"/>
          <w:szCs w:val="24"/>
        </w:rPr>
        <w:t>in the Potomac River</w:t>
      </w:r>
      <w:r w:rsidR="0059561A">
        <w:rPr>
          <w:rFonts w:ascii="Times New Roman" w:hAnsi="Times New Roman" w:cs="Times New Roman"/>
          <w:sz w:val="24"/>
          <w:szCs w:val="24"/>
        </w:rPr>
        <w:t xml:space="preserve"> drainage</w:t>
      </w:r>
      <w:r w:rsidR="00123688">
        <w:rPr>
          <w:rFonts w:ascii="Times New Roman" w:hAnsi="Times New Roman" w:cs="Times New Roman"/>
          <w:sz w:val="24"/>
          <w:szCs w:val="24"/>
        </w:rPr>
        <w:t xml:space="preserve"> (</w:t>
      </w:r>
      <w:r w:rsidR="00463E56">
        <w:rPr>
          <w:rFonts w:ascii="Times New Roman" w:hAnsi="Times New Roman" w:cs="Times New Roman"/>
          <w:sz w:val="24"/>
          <w:szCs w:val="24"/>
        </w:rPr>
        <w:t xml:space="preserve">Sites </w:t>
      </w:r>
      <w:r w:rsidR="00123688" w:rsidRPr="00123688">
        <w:rPr>
          <w:rFonts w:ascii="Times New Roman" w:hAnsi="Times New Roman" w:cs="Times New Roman"/>
          <w:sz w:val="24"/>
          <w:szCs w:val="24"/>
        </w:rPr>
        <w:t>1APOM000.11 and 1APOM001.</w:t>
      </w:r>
      <w:r w:rsidR="00123688">
        <w:rPr>
          <w:rFonts w:ascii="Times New Roman" w:hAnsi="Times New Roman" w:cs="Times New Roman"/>
          <w:sz w:val="24"/>
          <w:szCs w:val="24"/>
        </w:rPr>
        <w:t xml:space="preserve">99 </w:t>
      </w:r>
      <w:r w:rsidR="00123688" w:rsidRPr="00123688">
        <w:rPr>
          <w:rFonts w:ascii="Times New Roman" w:hAnsi="Times New Roman" w:cs="Times New Roman"/>
          <w:sz w:val="24"/>
          <w:szCs w:val="24"/>
        </w:rPr>
        <w:t xml:space="preserve">in </w:t>
      </w:r>
      <w:r w:rsidR="00EA1DF8">
        <w:rPr>
          <w:rFonts w:ascii="Times New Roman" w:hAnsi="Times New Roman" w:cs="Times New Roman"/>
          <w:sz w:val="24"/>
          <w:szCs w:val="24"/>
        </w:rPr>
        <w:t>Potomac</w:t>
      </w:r>
      <w:r w:rsidR="00EA1DF8" w:rsidRPr="00123688">
        <w:rPr>
          <w:rFonts w:ascii="Times New Roman" w:hAnsi="Times New Roman" w:cs="Times New Roman"/>
          <w:sz w:val="24"/>
          <w:szCs w:val="24"/>
        </w:rPr>
        <w:t xml:space="preserve"> </w:t>
      </w:r>
      <w:r w:rsidR="00123688" w:rsidRPr="00123688">
        <w:rPr>
          <w:rFonts w:ascii="Times New Roman" w:hAnsi="Times New Roman" w:cs="Times New Roman"/>
          <w:sz w:val="24"/>
          <w:szCs w:val="24"/>
        </w:rPr>
        <w:t>Creek and 1APOW000.25</w:t>
      </w:r>
      <w:r w:rsidR="00463E56">
        <w:rPr>
          <w:rFonts w:ascii="Times New Roman" w:hAnsi="Times New Roman" w:cs="Times New Roman"/>
          <w:sz w:val="24"/>
          <w:szCs w:val="24"/>
        </w:rPr>
        <w:t xml:space="preserve"> </w:t>
      </w:r>
      <w:r w:rsidR="00123688" w:rsidRPr="00123688">
        <w:rPr>
          <w:rFonts w:ascii="Times New Roman" w:hAnsi="Times New Roman" w:cs="Times New Roman"/>
          <w:sz w:val="24"/>
          <w:szCs w:val="24"/>
        </w:rPr>
        <w:t xml:space="preserve">in </w:t>
      </w:r>
      <w:r w:rsidR="00EA1DF8">
        <w:rPr>
          <w:rFonts w:ascii="Times New Roman" w:hAnsi="Times New Roman" w:cs="Times New Roman"/>
          <w:sz w:val="24"/>
          <w:szCs w:val="24"/>
        </w:rPr>
        <w:t xml:space="preserve">Powells </w:t>
      </w:r>
      <w:r w:rsidR="00123688" w:rsidRPr="00123688">
        <w:rPr>
          <w:rFonts w:ascii="Times New Roman" w:hAnsi="Times New Roman" w:cs="Times New Roman"/>
          <w:sz w:val="24"/>
          <w:szCs w:val="24"/>
        </w:rPr>
        <w:t>Creek</w:t>
      </w:r>
      <w:r w:rsidR="00463E56">
        <w:rPr>
          <w:rFonts w:ascii="Times New Roman" w:hAnsi="Times New Roman" w:cs="Times New Roman"/>
          <w:sz w:val="24"/>
          <w:szCs w:val="24"/>
        </w:rPr>
        <w:t>)</w:t>
      </w:r>
      <w:r w:rsidR="00012022" w:rsidRPr="00FE1DDB">
        <w:rPr>
          <w:rFonts w:ascii="Times New Roman" w:hAnsi="Times New Roman" w:cs="Times New Roman"/>
          <w:sz w:val="24"/>
          <w:szCs w:val="24"/>
        </w:rPr>
        <w:t>.</w:t>
      </w:r>
      <w:r w:rsidR="00123688">
        <w:rPr>
          <w:rFonts w:ascii="Times New Roman" w:hAnsi="Times New Roman" w:cs="Times New Roman"/>
          <w:sz w:val="24"/>
          <w:szCs w:val="24"/>
        </w:rPr>
        <w:t xml:space="preserve"> The </w:t>
      </w:r>
      <w:r w:rsidR="00EA1DF8">
        <w:rPr>
          <w:rFonts w:ascii="Times New Roman" w:hAnsi="Times New Roman" w:cs="Times New Roman"/>
          <w:sz w:val="24"/>
          <w:szCs w:val="24"/>
        </w:rPr>
        <w:t xml:space="preserve">Potomac </w:t>
      </w:r>
      <w:r w:rsidR="00123688">
        <w:rPr>
          <w:rFonts w:ascii="Times New Roman" w:hAnsi="Times New Roman" w:cs="Times New Roman"/>
          <w:sz w:val="24"/>
          <w:szCs w:val="24"/>
        </w:rPr>
        <w:t xml:space="preserve">Creek stations had </w:t>
      </w:r>
      <w:r w:rsidR="00172C08">
        <w:rPr>
          <w:rFonts w:ascii="Times New Roman" w:hAnsi="Times New Roman" w:cs="Times New Roman"/>
          <w:sz w:val="24"/>
          <w:szCs w:val="24"/>
        </w:rPr>
        <w:t xml:space="preserve">exceedances </w:t>
      </w:r>
      <w:r w:rsidR="00123688">
        <w:rPr>
          <w:rFonts w:ascii="Times New Roman" w:hAnsi="Times New Roman" w:cs="Times New Roman"/>
          <w:sz w:val="24"/>
          <w:szCs w:val="24"/>
        </w:rPr>
        <w:t xml:space="preserve">&gt;9 at two different depth intervals and the Tank Creek site had one violation at 0.5 meters. </w:t>
      </w:r>
      <w:r w:rsidR="00E60781" w:rsidRPr="00FE1DDB">
        <w:rPr>
          <w:rFonts w:ascii="Times New Roman" w:hAnsi="Times New Roman" w:cs="Times New Roman"/>
          <w:sz w:val="24"/>
          <w:szCs w:val="24"/>
        </w:rPr>
        <w:t xml:space="preserve">Table </w:t>
      </w:r>
      <w:r w:rsidR="00914143" w:rsidRPr="00FE1DDB">
        <w:rPr>
          <w:rFonts w:ascii="Times New Roman" w:hAnsi="Times New Roman" w:cs="Times New Roman"/>
          <w:sz w:val="24"/>
          <w:szCs w:val="24"/>
        </w:rPr>
        <w:t>4.5</w:t>
      </w:r>
      <w:r w:rsidR="00E60781" w:rsidRPr="00FE1DDB">
        <w:rPr>
          <w:rFonts w:ascii="Times New Roman" w:hAnsi="Times New Roman" w:cs="Times New Roman"/>
          <w:sz w:val="24"/>
          <w:szCs w:val="24"/>
        </w:rPr>
        <w:t>-</w:t>
      </w:r>
      <w:r w:rsidR="008B0194">
        <w:rPr>
          <w:rFonts w:ascii="Times New Roman" w:hAnsi="Times New Roman" w:cs="Times New Roman"/>
          <w:sz w:val="24"/>
          <w:szCs w:val="24"/>
        </w:rPr>
        <w:t>12</w:t>
      </w:r>
      <w:r w:rsidR="008B0194" w:rsidRPr="00FE1DDB">
        <w:rPr>
          <w:rFonts w:ascii="Times New Roman" w:hAnsi="Times New Roman" w:cs="Times New Roman"/>
          <w:sz w:val="24"/>
          <w:szCs w:val="24"/>
        </w:rPr>
        <w:t xml:space="preserve"> </w:t>
      </w:r>
      <w:r w:rsidR="00E60781" w:rsidRPr="00FE1DDB">
        <w:rPr>
          <w:rFonts w:ascii="Times New Roman" w:hAnsi="Times New Roman" w:cs="Times New Roman"/>
          <w:sz w:val="24"/>
          <w:szCs w:val="24"/>
        </w:rPr>
        <w:t xml:space="preserve">summarizes the pH </w:t>
      </w:r>
      <w:r w:rsidR="00B77491" w:rsidRPr="00FE1DDB">
        <w:rPr>
          <w:rFonts w:ascii="Times New Roman" w:hAnsi="Times New Roman" w:cs="Times New Roman"/>
          <w:sz w:val="24"/>
          <w:szCs w:val="24"/>
        </w:rPr>
        <w:t>excursions</w:t>
      </w:r>
      <w:r w:rsidR="00E60781" w:rsidRPr="00FE1DDB">
        <w:rPr>
          <w:rFonts w:ascii="Times New Roman" w:hAnsi="Times New Roman" w:cs="Times New Roman"/>
          <w:sz w:val="24"/>
          <w:szCs w:val="24"/>
        </w:rPr>
        <w:t xml:space="preserve"> observed </w:t>
      </w:r>
      <w:r w:rsidR="005C3C18" w:rsidRPr="00FE1DDB">
        <w:rPr>
          <w:rFonts w:ascii="Times New Roman" w:hAnsi="Times New Roman" w:cs="Times New Roman"/>
          <w:sz w:val="24"/>
          <w:szCs w:val="24"/>
        </w:rPr>
        <w:t>within Virginia’s estuarine waters.</w:t>
      </w:r>
      <w:r w:rsidR="001E1068" w:rsidRPr="001E1068">
        <w:t xml:space="preserve"> </w:t>
      </w:r>
    </w:p>
    <w:p w14:paraId="0CD0094E" w14:textId="174997B5" w:rsidR="0059561A" w:rsidRPr="0059561A" w:rsidRDefault="0059561A" w:rsidP="002C13A4">
      <w:pPr>
        <w:pStyle w:val="Caption"/>
        <w:keepNext/>
        <w:rPr>
          <w:rFonts w:ascii="Times New Roman" w:hAnsi="Times New Roman" w:cs="Times New Roman"/>
          <w:i w:val="0"/>
          <w:color w:val="000000" w:themeColor="text1"/>
          <w:sz w:val="20"/>
        </w:rPr>
      </w:pPr>
      <w:r w:rsidRPr="0059561A">
        <w:rPr>
          <w:rFonts w:ascii="Times New Roman" w:hAnsi="Times New Roman" w:cs="Times New Roman"/>
          <w:i w:val="0"/>
          <w:color w:val="000000" w:themeColor="text1"/>
          <w:sz w:val="20"/>
        </w:rPr>
        <w:t xml:space="preserve">Table 4.5- </w:t>
      </w:r>
      <w:r w:rsidR="008B0194" w:rsidRPr="0059561A">
        <w:rPr>
          <w:rFonts w:ascii="Times New Roman" w:hAnsi="Times New Roman" w:cs="Times New Roman"/>
          <w:i w:val="0"/>
          <w:color w:val="000000" w:themeColor="text1"/>
          <w:sz w:val="20"/>
        </w:rPr>
        <w:fldChar w:fldCharType="begin"/>
      </w:r>
      <w:r w:rsidR="008B0194" w:rsidRPr="0059561A">
        <w:rPr>
          <w:rFonts w:ascii="Times New Roman" w:hAnsi="Times New Roman" w:cs="Times New Roman"/>
          <w:i w:val="0"/>
          <w:color w:val="000000" w:themeColor="text1"/>
          <w:sz w:val="20"/>
        </w:rPr>
        <w:instrText xml:space="preserve"> SEQ Table_4.5- \* ARABIC </w:instrText>
      </w:r>
      <w:r w:rsidR="008B0194" w:rsidRPr="0059561A">
        <w:rPr>
          <w:rFonts w:ascii="Times New Roman" w:hAnsi="Times New Roman" w:cs="Times New Roman"/>
          <w:i w:val="0"/>
          <w:color w:val="000000" w:themeColor="text1"/>
          <w:sz w:val="20"/>
        </w:rPr>
        <w:fldChar w:fldCharType="separate"/>
      </w:r>
      <w:r w:rsidR="008B0194">
        <w:rPr>
          <w:rFonts w:ascii="Times New Roman" w:hAnsi="Times New Roman" w:cs="Times New Roman"/>
          <w:i w:val="0"/>
          <w:noProof/>
          <w:color w:val="000000" w:themeColor="text1"/>
          <w:sz w:val="20"/>
        </w:rPr>
        <w:t>12</w:t>
      </w:r>
      <w:r w:rsidR="008B0194" w:rsidRPr="0059561A">
        <w:rPr>
          <w:rFonts w:ascii="Times New Roman" w:hAnsi="Times New Roman" w:cs="Times New Roman"/>
          <w:i w:val="0"/>
          <w:color w:val="000000" w:themeColor="text1"/>
          <w:sz w:val="20"/>
        </w:rPr>
        <w:fldChar w:fldCharType="end"/>
      </w:r>
      <w:r w:rsidR="008B0194" w:rsidRPr="0059561A">
        <w:rPr>
          <w:rFonts w:ascii="Times New Roman" w:hAnsi="Times New Roman" w:cs="Times New Roman"/>
          <w:i w:val="0"/>
          <w:color w:val="000000" w:themeColor="text1"/>
          <w:sz w:val="20"/>
        </w:rPr>
        <w:t xml:space="preserve"> </w:t>
      </w:r>
      <w:r w:rsidRPr="0059561A">
        <w:rPr>
          <w:rFonts w:ascii="Times New Roman" w:hAnsi="Times New Roman" w:cs="Times New Roman"/>
          <w:i w:val="0"/>
          <w:color w:val="000000" w:themeColor="text1"/>
          <w:sz w:val="20"/>
        </w:rPr>
        <w:t>Total pH exceedances of &gt;9 or &lt;6 for each depth of the water profile sampled during the downcast</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4950" w:type="dxa"/>
        <w:tblLook w:val="04A0" w:firstRow="1" w:lastRow="0" w:firstColumn="1" w:lastColumn="0" w:noHBand="0" w:noVBand="1"/>
        <w:tblCaption w:val="Table 4.5- 11 Total pH exceedances of &gt;9 or &lt;6 for each depth of the water profile sampled during the downcast"/>
        <w:tblDescription w:val="Table 4.5- 11 Total pH exceedances of &gt;9 or &lt;6 for each depth of the water profile sampled during the downcast"/>
      </w:tblPr>
      <w:tblGrid>
        <w:gridCol w:w="2740"/>
        <w:gridCol w:w="960"/>
        <w:gridCol w:w="1250"/>
      </w:tblGrid>
      <w:tr w:rsidR="00123688" w:rsidRPr="00123688" w14:paraId="2FAEDDB9" w14:textId="77777777" w:rsidTr="00307B7A">
        <w:trPr>
          <w:trHeight w:val="317"/>
        </w:trPr>
        <w:tc>
          <w:tcPr>
            <w:tcW w:w="2740" w:type="dxa"/>
            <w:tcBorders>
              <w:top w:val="nil"/>
              <w:left w:val="nil"/>
              <w:bottom w:val="single" w:sz="4" w:space="0" w:color="auto"/>
              <w:right w:val="nil"/>
            </w:tcBorders>
            <w:shd w:val="clear" w:color="auto" w:fill="auto"/>
            <w:noWrap/>
            <w:vAlign w:val="center"/>
            <w:hideMark/>
          </w:tcPr>
          <w:p w14:paraId="06BABBC5" w14:textId="77777777" w:rsidR="00123688" w:rsidRPr="00123688" w:rsidRDefault="00123688" w:rsidP="005D12C4">
            <w:pPr>
              <w:spacing w:after="0" w:line="240" w:lineRule="auto"/>
              <w:rPr>
                <w:rFonts w:ascii="Times New Roman" w:eastAsia="Times New Roman" w:hAnsi="Times New Roman" w:cs="Times New Roman"/>
                <w:b/>
                <w:color w:val="000000"/>
                <w:sz w:val="20"/>
                <w:szCs w:val="20"/>
              </w:rPr>
            </w:pPr>
            <w:r w:rsidRPr="00123688">
              <w:rPr>
                <w:rFonts w:ascii="Times New Roman" w:eastAsia="Times New Roman" w:hAnsi="Times New Roman" w:cs="Times New Roman"/>
                <w:b/>
                <w:color w:val="000000"/>
                <w:sz w:val="20"/>
                <w:szCs w:val="20"/>
              </w:rPr>
              <w:t>pH Exceedance Range</w:t>
            </w:r>
          </w:p>
        </w:tc>
        <w:tc>
          <w:tcPr>
            <w:tcW w:w="960" w:type="dxa"/>
            <w:tcBorders>
              <w:top w:val="nil"/>
              <w:left w:val="nil"/>
              <w:bottom w:val="single" w:sz="4" w:space="0" w:color="auto"/>
              <w:right w:val="nil"/>
            </w:tcBorders>
            <w:shd w:val="clear" w:color="auto" w:fill="auto"/>
            <w:noWrap/>
            <w:vAlign w:val="center"/>
            <w:hideMark/>
          </w:tcPr>
          <w:p w14:paraId="44C21982" w14:textId="77777777" w:rsidR="00123688" w:rsidRPr="00123688" w:rsidRDefault="00123688" w:rsidP="005D12C4">
            <w:pPr>
              <w:spacing w:after="0" w:line="240" w:lineRule="auto"/>
              <w:rPr>
                <w:rFonts w:ascii="Times New Roman" w:eastAsia="Times New Roman" w:hAnsi="Times New Roman" w:cs="Times New Roman"/>
                <w:b/>
                <w:color w:val="000000"/>
                <w:sz w:val="20"/>
                <w:szCs w:val="20"/>
              </w:rPr>
            </w:pPr>
            <w:r w:rsidRPr="00123688">
              <w:rPr>
                <w:rFonts w:ascii="Times New Roman" w:eastAsia="Times New Roman" w:hAnsi="Times New Roman" w:cs="Times New Roman"/>
                <w:b/>
                <w:color w:val="000000"/>
                <w:sz w:val="20"/>
                <w:szCs w:val="20"/>
              </w:rPr>
              <w:t>Stations</w:t>
            </w:r>
          </w:p>
        </w:tc>
        <w:tc>
          <w:tcPr>
            <w:tcW w:w="1250" w:type="dxa"/>
            <w:tcBorders>
              <w:top w:val="nil"/>
              <w:left w:val="nil"/>
              <w:bottom w:val="single" w:sz="4" w:space="0" w:color="auto"/>
              <w:right w:val="nil"/>
            </w:tcBorders>
            <w:shd w:val="clear" w:color="auto" w:fill="auto"/>
            <w:noWrap/>
            <w:vAlign w:val="center"/>
            <w:hideMark/>
          </w:tcPr>
          <w:p w14:paraId="655958C1" w14:textId="77777777" w:rsidR="00123688" w:rsidRPr="00123688" w:rsidRDefault="00123688" w:rsidP="005D12C4">
            <w:pPr>
              <w:spacing w:after="0" w:line="240" w:lineRule="auto"/>
              <w:rPr>
                <w:rFonts w:ascii="Times New Roman" w:eastAsia="Times New Roman" w:hAnsi="Times New Roman" w:cs="Times New Roman"/>
                <w:b/>
                <w:color w:val="000000"/>
                <w:sz w:val="20"/>
                <w:szCs w:val="20"/>
              </w:rPr>
            </w:pPr>
            <w:r w:rsidRPr="00123688">
              <w:rPr>
                <w:rFonts w:ascii="Times New Roman" w:eastAsia="Times New Roman" w:hAnsi="Times New Roman" w:cs="Times New Roman"/>
                <w:b/>
                <w:color w:val="000000"/>
                <w:sz w:val="20"/>
                <w:szCs w:val="20"/>
              </w:rPr>
              <w:t>Percentage</w:t>
            </w:r>
          </w:p>
        </w:tc>
      </w:tr>
      <w:tr w:rsidR="00123688" w:rsidRPr="00123688" w14:paraId="6F4F435A" w14:textId="77777777" w:rsidTr="00307B7A">
        <w:trPr>
          <w:trHeight w:val="317"/>
        </w:trPr>
        <w:tc>
          <w:tcPr>
            <w:tcW w:w="2740" w:type="dxa"/>
            <w:tcBorders>
              <w:top w:val="single" w:sz="4" w:space="0" w:color="auto"/>
              <w:left w:val="nil"/>
              <w:bottom w:val="single" w:sz="4" w:space="0" w:color="D9D9D9" w:themeColor="background1" w:themeShade="D9"/>
              <w:right w:val="nil"/>
            </w:tcBorders>
            <w:shd w:val="clear" w:color="auto" w:fill="auto"/>
            <w:noWrap/>
            <w:vAlign w:val="center"/>
            <w:hideMark/>
          </w:tcPr>
          <w:p w14:paraId="627CD47A"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r w:rsidRPr="00123688">
              <w:rPr>
                <w:rFonts w:ascii="Times New Roman" w:eastAsia="Times New Roman" w:hAnsi="Times New Roman" w:cs="Times New Roman"/>
                <w:color w:val="000000"/>
                <w:sz w:val="20"/>
                <w:szCs w:val="20"/>
              </w:rPr>
              <w:t>&gt;9</w:t>
            </w:r>
          </w:p>
        </w:tc>
        <w:tc>
          <w:tcPr>
            <w:tcW w:w="960" w:type="dxa"/>
            <w:tcBorders>
              <w:top w:val="single" w:sz="4" w:space="0" w:color="auto"/>
              <w:left w:val="nil"/>
              <w:bottom w:val="single" w:sz="4" w:space="0" w:color="D9D9D9" w:themeColor="background1" w:themeShade="D9"/>
              <w:right w:val="nil"/>
            </w:tcBorders>
            <w:shd w:val="clear" w:color="auto" w:fill="auto"/>
            <w:noWrap/>
            <w:vAlign w:val="center"/>
            <w:hideMark/>
          </w:tcPr>
          <w:p w14:paraId="69F03717" w14:textId="77F3B442" w:rsidR="00123688" w:rsidRPr="00123688" w:rsidRDefault="00123688" w:rsidP="005D12C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50" w:type="dxa"/>
            <w:tcBorders>
              <w:top w:val="single" w:sz="4" w:space="0" w:color="auto"/>
              <w:left w:val="nil"/>
              <w:bottom w:val="single" w:sz="4" w:space="0" w:color="D9D9D9" w:themeColor="background1" w:themeShade="D9"/>
              <w:right w:val="nil"/>
            </w:tcBorders>
            <w:shd w:val="clear" w:color="auto" w:fill="auto"/>
            <w:noWrap/>
            <w:vAlign w:val="center"/>
            <w:hideMark/>
          </w:tcPr>
          <w:p w14:paraId="3F7E6757" w14:textId="2EDA2904" w:rsidR="00123688" w:rsidRPr="00123688" w:rsidRDefault="00123688" w:rsidP="005D12C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 0.35</w:t>
            </w:r>
          </w:p>
        </w:tc>
      </w:tr>
      <w:tr w:rsidR="00123688" w:rsidRPr="00123688" w14:paraId="277388F1" w14:textId="77777777" w:rsidTr="00307B7A">
        <w:trPr>
          <w:trHeight w:val="317"/>
        </w:trPr>
        <w:tc>
          <w:tcPr>
            <w:tcW w:w="274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ED7D03A"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r w:rsidRPr="00123688">
              <w:rPr>
                <w:rFonts w:ascii="Times New Roman" w:eastAsia="Times New Roman" w:hAnsi="Times New Roman" w:cs="Times New Roman"/>
                <w:color w:val="000000"/>
                <w:sz w:val="20"/>
                <w:szCs w:val="20"/>
              </w:rPr>
              <w:t>&lt;6</w:t>
            </w:r>
          </w:p>
        </w:tc>
        <w:tc>
          <w:tcPr>
            <w:tcW w:w="96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85C16B7"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r w:rsidRPr="00123688">
              <w:rPr>
                <w:rFonts w:ascii="Times New Roman" w:eastAsia="Times New Roman" w:hAnsi="Times New Roman" w:cs="Times New Roman"/>
                <w:color w:val="000000"/>
                <w:sz w:val="20"/>
                <w:szCs w:val="20"/>
              </w:rPr>
              <w:t>0</w:t>
            </w:r>
          </w:p>
        </w:tc>
        <w:tc>
          <w:tcPr>
            <w:tcW w:w="125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0FE03590"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r w:rsidRPr="00123688">
              <w:rPr>
                <w:rFonts w:ascii="Times New Roman" w:eastAsia="Times New Roman" w:hAnsi="Times New Roman" w:cs="Times New Roman"/>
                <w:color w:val="000000"/>
                <w:sz w:val="20"/>
                <w:szCs w:val="20"/>
              </w:rPr>
              <w:t>0</w:t>
            </w:r>
          </w:p>
        </w:tc>
      </w:tr>
      <w:tr w:rsidR="00123688" w:rsidRPr="00123688" w14:paraId="4D31F080" w14:textId="77777777" w:rsidTr="00307B7A">
        <w:trPr>
          <w:trHeight w:val="317"/>
        </w:trPr>
        <w:tc>
          <w:tcPr>
            <w:tcW w:w="2740" w:type="dxa"/>
            <w:tcBorders>
              <w:top w:val="single" w:sz="4" w:space="0" w:color="D9D9D9" w:themeColor="background1" w:themeShade="D9"/>
              <w:left w:val="nil"/>
              <w:bottom w:val="single" w:sz="4" w:space="0" w:color="auto"/>
              <w:right w:val="nil"/>
            </w:tcBorders>
            <w:shd w:val="clear" w:color="auto" w:fill="auto"/>
            <w:noWrap/>
            <w:vAlign w:val="center"/>
            <w:hideMark/>
          </w:tcPr>
          <w:p w14:paraId="16593ECD"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r w:rsidRPr="00123688">
              <w:rPr>
                <w:rFonts w:ascii="Times New Roman" w:eastAsia="Times New Roman" w:hAnsi="Times New Roman" w:cs="Times New Roman"/>
                <w:color w:val="000000"/>
                <w:sz w:val="20"/>
                <w:szCs w:val="20"/>
              </w:rPr>
              <w:t>No Exceedance</w:t>
            </w:r>
          </w:p>
        </w:tc>
        <w:tc>
          <w:tcPr>
            <w:tcW w:w="960" w:type="dxa"/>
            <w:tcBorders>
              <w:top w:val="single" w:sz="4" w:space="0" w:color="D9D9D9" w:themeColor="background1" w:themeShade="D9"/>
              <w:left w:val="nil"/>
              <w:bottom w:val="single" w:sz="4" w:space="0" w:color="auto"/>
              <w:right w:val="nil"/>
            </w:tcBorders>
            <w:shd w:val="clear" w:color="auto" w:fill="auto"/>
            <w:noWrap/>
            <w:vAlign w:val="center"/>
            <w:hideMark/>
          </w:tcPr>
          <w:p w14:paraId="78CAE941" w14:textId="6F71AA3F" w:rsidR="00123688" w:rsidRPr="00123688" w:rsidRDefault="00123688" w:rsidP="005D12C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1248</w:t>
            </w:r>
          </w:p>
        </w:tc>
        <w:tc>
          <w:tcPr>
            <w:tcW w:w="1250" w:type="dxa"/>
            <w:tcBorders>
              <w:top w:val="single" w:sz="4" w:space="0" w:color="D9D9D9" w:themeColor="background1" w:themeShade="D9"/>
              <w:left w:val="nil"/>
              <w:bottom w:val="single" w:sz="4" w:space="0" w:color="auto"/>
              <w:right w:val="nil"/>
            </w:tcBorders>
            <w:shd w:val="clear" w:color="auto" w:fill="auto"/>
            <w:noWrap/>
            <w:vAlign w:val="center"/>
            <w:hideMark/>
          </w:tcPr>
          <w:p w14:paraId="1B6357F4" w14:textId="64CED72E" w:rsidR="00123688" w:rsidRPr="00123688" w:rsidRDefault="00123688" w:rsidP="005D12C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99.6 ± 0.35</w:t>
            </w:r>
          </w:p>
        </w:tc>
      </w:tr>
      <w:tr w:rsidR="00123688" w:rsidRPr="00123688" w14:paraId="7B53B5CB" w14:textId="77777777" w:rsidTr="00307B7A">
        <w:trPr>
          <w:trHeight w:val="317"/>
        </w:trPr>
        <w:tc>
          <w:tcPr>
            <w:tcW w:w="2740" w:type="dxa"/>
            <w:tcBorders>
              <w:top w:val="nil"/>
              <w:left w:val="nil"/>
              <w:bottom w:val="nil"/>
              <w:right w:val="nil"/>
            </w:tcBorders>
            <w:shd w:val="clear" w:color="auto" w:fill="auto"/>
            <w:noWrap/>
            <w:vAlign w:val="center"/>
            <w:hideMark/>
          </w:tcPr>
          <w:p w14:paraId="0FE43592" w14:textId="77777777" w:rsidR="00123688" w:rsidRPr="00123688" w:rsidRDefault="00123688" w:rsidP="005D12C4">
            <w:pPr>
              <w:spacing w:after="0" w:line="240" w:lineRule="auto"/>
              <w:rPr>
                <w:rFonts w:ascii="Times New Roman" w:eastAsia="Times New Roman" w:hAnsi="Times New Roman" w:cs="Times New Roman"/>
                <w:b/>
                <w:color w:val="000000"/>
                <w:sz w:val="20"/>
                <w:szCs w:val="20"/>
              </w:rPr>
            </w:pPr>
            <w:r w:rsidRPr="00123688">
              <w:rPr>
                <w:rFonts w:ascii="Times New Roman" w:eastAsia="Times New Roman" w:hAnsi="Times New Roman" w:cs="Times New Roman"/>
                <w:b/>
                <w:color w:val="000000"/>
                <w:sz w:val="20"/>
                <w:szCs w:val="20"/>
              </w:rPr>
              <w:t>Total</w:t>
            </w:r>
          </w:p>
        </w:tc>
        <w:tc>
          <w:tcPr>
            <w:tcW w:w="960" w:type="dxa"/>
            <w:tcBorders>
              <w:top w:val="nil"/>
              <w:left w:val="nil"/>
              <w:bottom w:val="nil"/>
              <w:right w:val="nil"/>
            </w:tcBorders>
            <w:shd w:val="clear" w:color="auto" w:fill="auto"/>
            <w:noWrap/>
            <w:vAlign w:val="center"/>
            <w:hideMark/>
          </w:tcPr>
          <w:p w14:paraId="40E7D810" w14:textId="368CCB0A" w:rsidR="00123688" w:rsidRPr="00123688" w:rsidRDefault="00123688" w:rsidP="005D12C4">
            <w:pPr>
              <w:spacing w:after="0" w:line="240" w:lineRule="auto"/>
              <w:rPr>
                <w:rFonts w:ascii="Times New Roman" w:eastAsia="Times New Roman" w:hAnsi="Times New Roman" w:cs="Times New Roman"/>
                <w:b/>
                <w:color w:val="000000"/>
                <w:sz w:val="20"/>
                <w:szCs w:val="20"/>
              </w:rPr>
            </w:pPr>
            <w:r w:rsidRPr="001E1068">
              <w:rPr>
                <w:rFonts w:ascii="Times New Roman" w:eastAsia="Times New Roman" w:hAnsi="Times New Roman" w:cs="Times New Roman"/>
                <w:b/>
                <w:color w:val="000000"/>
                <w:sz w:val="20"/>
                <w:szCs w:val="20"/>
              </w:rPr>
              <w:t>1253</w:t>
            </w:r>
          </w:p>
        </w:tc>
        <w:tc>
          <w:tcPr>
            <w:tcW w:w="1250" w:type="dxa"/>
            <w:tcBorders>
              <w:top w:val="nil"/>
              <w:left w:val="nil"/>
              <w:bottom w:val="nil"/>
              <w:right w:val="nil"/>
            </w:tcBorders>
            <w:shd w:val="clear" w:color="auto" w:fill="auto"/>
            <w:noWrap/>
            <w:vAlign w:val="center"/>
            <w:hideMark/>
          </w:tcPr>
          <w:p w14:paraId="1958B63B" w14:textId="77777777" w:rsidR="00123688" w:rsidRPr="00123688" w:rsidRDefault="00123688" w:rsidP="005D12C4">
            <w:pPr>
              <w:spacing w:after="0" w:line="240" w:lineRule="auto"/>
              <w:rPr>
                <w:rFonts w:ascii="Times New Roman" w:eastAsia="Times New Roman" w:hAnsi="Times New Roman" w:cs="Times New Roman"/>
                <w:color w:val="000000"/>
                <w:sz w:val="20"/>
                <w:szCs w:val="20"/>
              </w:rPr>
            </w:pPr>
          </w:p>
        </w:tc>
      </w:tr>
    </w:tbl>
    <w:p w14:paraId="325410E1" w14:textId="7997FA3C" w:rsidR="000B1BA5" w:rsidRDefault="0034081B" w:rsidP="00FE1DDB">
      <w:pPr>
        <w:spacing w:after="0" w:line="240" w:lineRule="auto"/>
        <w:rPr>
          <w:rFonts w:ascii="Times New Roman" w:hAnsi="Times New Roman" w:cs="Times New Roman"/>
          <w:bCs/>
          <w:sz w:val="24"/>
          <w:szCs w:val="24"/>
        </w:rPr>
      </w:pPr>
      <w:r w:rsidRPr="00FE1DDB">
        <w:rPr>
          <w:rFonts w:ascii="Times New Roman" w:hAnsi="Times New Roman" w:cs="Times New Roman"/>
          <w:b/>
          <w:sz w:val="24"/>
          <w:szCs w:val="24"/>
        </w:rPr>
        <w:lastRenderedPageBreak/>
        <w:t>Bacteria:</w:t>
      </w:r>
      <w:r w:rsidRPr="00FE1DDB">
        <w:rPr>
          <w:rFonts w:ascii="Times New Roman" w:hAnsi="Times New Roman" w:cs="Times New Roman"/>
          <w:sz w:val="24"/>
          <w:szCs w:val="24"/>
        </w:rPr>
        <w:t xml:space="preserve"> </w:t>
      </w:r>
      <w:r w:rsidR="00B4119C" w:rsidRPr="00FE1DDB">
        <w:rPr>
          <w:rFonts w:ascii="Times New Roman" w:hAnsi="Times New Roman" w:cs="Times New Roman"/>
          <w:sz w:val="24"/>
          <w:szCs w:val="24"/>
        </w:rPr>
        <w:t xml:space="preserve"> </w:t>
      </w:r>
      <w:r w:rsidR="000B1BA5" w:rsidRPr="000B1BA5">
        <w:rPr>
          <w:rFonts w:ascii="Times New Roman" w:eastAsia="Times New Roman" w:hAnsi="Times New Roman" w:cs="Times New Roman"/>
          <w:color w:val="000000"/>
          <w:sz w:val="24"/>
          <w:szCs w:val="24"/>
        </w:rPr>
        <w:t>High counts of </w:t>
      </w:r>
      <w:r w:rsidR="000B1BA5" w:rsidRPr="000B1BA5">
        <w:rPr>
          <w:rFonts w:ascii="Times New Roman" w:eastAsia="Times New Roman" w:hAnsi="Times New Roman" w:cs="Times New Roman"/>
          <w:i/>
          <w:iCs/>
          <w:color w:val="000000"/>
          <w:sz w:val="24"/>
          <w:szCs w:val="24"/>
        </w:rPr>
        <w:t>E. coli</w:t>
      </w:r>
      <w:r w:rsidR="000B1BA5" w:rsidRPr="000B1BA5">
        <w:rPr>
          <w:rFonts w:ascii="Times New Roman" w:eastAsia="Times New Roman" w:hAnsi="Times New Roman" w:cs="Times New Roman"/>
          <w:color w:val="000000"/>
          <w:sz w:val="24"/>
          <w:szCs w:val="24"/>
        </w:rPr>
        <w:t xml:space="preserve"> bacteria in a </w:t>
      </w:r>
      <w:r w:rsidR="000B1BA5">
        <w:rPr>
          <w:rFonts w:ascii="Times New Roman" w:eastAsia="Times New Roman" w:hAnsi="Times New Roman" w:cs="Times New Roman"/>
          <w:color w:val="000000"/>
          <w:sz w:val="24"/>
          <w:szCs w:val="24"/>
        </w:rPr>
        <w:t>freshwater and e</w:t>
      </w:r>
      <w:r w:rsidR="000B1BA5" w:rsidRPr="000B1BA5">
        <w:rPr>
          <w:rFonts w:ascii="Times New Roman" w:eastAsia="Times New Roman" w:hAnsi="Times New Roman" w:cs="Times New Roman"/>
          <w:i/>
          <w:color w:val="000000"/>
          <w:sz w:val="24"/>
          <w:szCs w:val="24"/>
        </w:rPr>
        <w:t>nterococci</w:t>
      </w:r>
      <w:r w:rsidR="000B1BA5">
        <w:rPr>
          <w:rFonts w:ascii="Times New Roman" w:eastAsia="Times New Roman" w:hAnsi="Times New Roman" w:cs="Times New Roman"/>
          <w:i/>
          <w:color w:val="000000"/>
          <w:sz w:val="24"/>
          <w:szCs w:val="24"/>
        </w:rPr>
        <w:t xml:space="preserve"> </w:t>
      </w:r>
      <w:r w:rsidR="000B1BA5" w:rsidRPr="000B1BA5">
        <w:rPr>
          <w:rFonts w:ascii="Times New Roman" w:eastAsia="Times New Roman" w:hAnsi="Times New Roman" w:cs="Times New Roman"/>
          <w:color w:val="000000"/>
          <w:sz w:val="24"/>
          <w:szCs w:val="24"/>
        </w:rPr>
        <w:t>in transitional and saltwater</w:t>
      </w:r>
      <w:r w:rsidR="000B1BA5">
        <w:rPr>
          <w:rFonts w:ascii="Times New Roman" w:eastAsia="Times New Roman" w:hAnsi="Times New Roman" w:cs="Times New Roman"/>
          <w:i/>
          <w:color w:val="000000"/>
          <w:sz w:val="24"/>
          <w:szCs w:val="24"/>
        </w:rPr>
        <w:t xml:space="preserve"> </w:t>
      </w:r>
      <w:r w:rsidR="000B1BA5" w:rsidRPr="000B1BA5">
        <w:rPr>
          <w:rFonts w:ascii="Times New Roman" w:eastAsia="Times New Roman" w:hAnsi="Times New Roman" w:cs="Times New Roman"/>
          <w:color w:val="000000"/>
          <w:sz w:val="24"/>
          <w:szCs w:val="24"/>
        </w:rPr>
        <w:t xml:space="preserve">indicate that there is an elevated </w:t>
      </w:r>
      <w:r w:rsidR="000B1BA5">
        <w:rPr>
          <w:rFonts w:ascii="Times New Roman" w:eastAsia="Times New Roman" w:hAnsi="Times New Roman" w:cs="Times New Roman"/>
          <w:color w:val="000000"/>
          <w:sz w:val="24"/>
          <w:szCs w:val="24"/>
        </w:rPr>
        <w:t xml:space="preserve">human health </w:t>
      </w:r>
      <w:r w:rsidR="000B1BA5" w:rsidRPr="000B1BA5">
        <w:rPr>
          <w:rFonts w:ascii="Times New Roman" w:eastAsia="Times New Roman" w:hAnsi="Times New Roman" w:cs="Times New Roman"/>
          <w:color w:val="000000"/>
          <w:sz w:val="24"/>
          <w:szCs w:val="24"/>
        </w:rPr>
        <w:t>risk of illness from</w:t>
      </w:r>
      <w:r w:rsidR="000B1BA5">
        <w:rPr>
          <w:rFonts w:ascii="Times New Roman" w:eastAsia="Times New Roman" w:hAnsi="Times New Roman" w:cs="Times New Roman"/>
          <w:color w:val="000000"/>
          <w:sz w:val="24"/>
          <w:szCs w:val="24"/>
        </w:rPr>
        <w:t xml:space="preserve"> exposure to</w:t>
      </w:r>
      <w:r w:rsidR="000B1BA5" w:rsidRPr="000B1BA5">
        <w:rPr>
          <w:rFonts w:ascii="Times New Roman" w:eastAsia="Times New Roman" w:hAnsi="Times New Roman" w:cs="Times New Roman"/>
          <w:color w:val="000000"/>
          <w:sz w:val="24"/>
          <w:szCs w:val="24"/>
        </w:rPr>
        <w:t xml:space="preserve"> pathogenic organisms.</w:t>
      </w:r>
      <w:r w:rsidR="000B1BA5" w:rsidRPr="000B1BA5">
        <w:rPr>
          <w:rFonts w:ascii="Times New Roman" w:hAnsi="Times New Roman" w:cs="Times New Roman"/>
          <w:bCs/>
          <w:sz w:val="24"/>
          <w:szCs w:val="24"/>
        </w:rPr>
        <w:t xml:space="preserve"> </w:t>
      </w:r>
      <w:r w:rsidR="000B1BA5">
        <w:rPr>
          <w:rFonts w:ascii="Times New Roman" w:hAnsi="Times New Roman" w:cs="Times New Roman"/>
          <w:bCs/>
          <w:sz w:val="24"/>
          <w:szCs w:val="24"/>
        </w:rPr>
        <w:t>Virginia Water Quality Standards for bacteria exposure from recreational use (</w:t>
      </w:r>
      <w:r w:rsidR="000B1BA5" w:rsidRPr="000B1BA5">
        <w:rPr>
          <w:rFonts w:ascii="Times New Roman" w:hAnsi="Times New Roman" w:cs="Times New Roman"/>
          <w:bCs/>
          <w:sz w:val="24"/>
          <w:szCs w:val="24"/>
        </w:rPr>
        <w:t>9VAC25-260-170</w:t>
      </w:r>
      <w:r w:rsidR="000B1BA5">
        <w:rPr>
          <w:rFonts w:ascii="Times New Roman" w:hAnsi="Times New Roman" w:cs="Times New Roman"/>
          <w:bCs/>
          <w:sz w:val="24"/>
          <w:szCs w:val="24"/>
        </w:rPr>
        <w:t xml:space="preserve">) include criteria to be applied when multiple bacteria samples are taken: </w:t>
      </w:r>
    </w:p>
    <w:p w14:paraId="7BDE2805" w14:textId="77777777" w:rsidR="000B1BA5" w:rsidRDefault="000B1BA5" w:rsidP="00FE1DDB">
      <w:pPr>
        <w:spacing w:after="0" w:line="240" w:lineRule="auto"/>
        <w:rPr>
          <w:rFonts w:ascii="Times New Roman" w:hAnsi="Times New Roman" w:cs="Times New Roman"/>
          <w:sz w:val="24"/>
          <w:szCs w:val="24"/>
        </w:rPr>
      </w:pPr>
    </w:p>
    <w:p w14:paraId="7753F9F4" w14:textId="77777777" w:rsidR="000B1BA5" w:rsidRPr="000B1BA5" w:rsidRDefault="000B1BA5" w:rsidP="000B1BA5">
      <w:pPr>
        <w:pStyle w:val="sectind"/>
        <w:spacing w:before="0" w:beforeAutospacing="0" w:after="192" w:afterAutospacing="0"/>
        <w:textAlignment w:val="baseline"/>
        <w:rPr>
          <w:rFonts w:ascii="Times" w:hAnsi="Times" w:cs="Times"/>
          <w:color w:val="000000" w:themeColor="text1"/>
        </w:rPr>
      </w:pPr>
      <w:r w:rsidRPr="000B1BA5">
        <w:rPr>
          <w:rFonts w:ascii="Times" w:hAnsi="Times" w:cs="Times"/>
          <w:color w:val="000000" w:themeColor="text1"/>
        </w:rPr>
        <w:t xml:space="preserve">“In freshwater, E. coli bacteria shall not exceed a geometric mean of 126 counts/100ml and shall not have greater than a 10% excursion frequency of a statistical threshold value (STV) of 410 counts/100 ml, both in an assessment period of up to 90 days. In transition and saltwater, Enterococci bacteria shall not exceed a geometric mean of 35 counts/100ml and shall not have greater than a 10% excursion frequency of a statistical threshold value (STV) of 130 counts/100ml, both in an assessment period of up to 90 days” </w:t>
      </w:r>
    </w:p>
    <w:p w14:paraId="6999DD55" w14:textId="61694A2F" w:rsidR="000B1BA5" w:rsidRPr="000B1BA5" w:rsidRDefault="000B1BA5" w:rsidP="000B1BA5">
      <w:pPr>
        <w:pStyle w:val="sectind"/>
        <w:spacing w:before="0" w:beforeAutospacing="0" w:after="192" w:afterAutospacing="0"/>
        <w:textAlignment w:val="baseline"/>
        <w:rPr>
          <w:rFonts w:ascii="Times" w:hAnsi="Times" w:cs="Times"/>
          <w:color w:val="000000" w:themeColor="text1"/>
        </w:rPr>
      </w:pPr>
      <w:r>
        <w:rPr>
          <w:rFonts w:ascii="Times" w:hAnsi="Times" w:cs="Times"/>
          <w:color w:val="000000" w:themeColor="text1"/>
        </w:rPr>
        <w:t>Since the Estuarine ProbMon program only collects one bacteria sample per station per year, the geometric mean and STV thresholds in the Water Quality Standards are not applicable to these data and</w:t>
      </w:r>
      <w:r w:rsidR="00172C08">
        <w:rPr>
          <w:rFonts w:ascii="Times" w:hAnsi="Times" w:cs="Times"/>
          <w:color w:val="000000" w:themeColor="text1"/>
        </w:rPr>
        <w:t xml:space="preserve"> are,</w:t>
      </w:r>
      <w:r>
        <w:rPr>
          <w:rFonts w:ascii="Times" w:hAnsi="Times" w:cs="Times"/>
          <w:color w:val="000000" w:themeColor="text1"/>
        </w:rPr>
        <w:t xml:space="preserve"> therefore</w:t>
      </w:r>
      <w:r w:rsidR="00172C08">
        <w:rPr>
          <w:rFonts w:ascii="Times" w:hAnsi="Times" w:cs="Times"/>
          <w:color w:val="000000" w:themeColor="text1"/>
        </w:rPr>
        <w:t>,</w:t>
      </w:r>
      <w:r>
        <w:rPr>
          <w:rFonts w:ascii="Times" w:hAnsi="Times" w:cs="Times"/>
          <w:color w:val="000000" w:themeColor="text1"/>
        </w:rPr>
        <w:t xml:space="preserve"> not presented. </w:t>
      </w:r>
    </w:p>
    <w:p w14:paraId="171680E4" w14:textId="10E7DF68" w:rsidR="000B30DC" w:rsidRPr="00FE1DDB" w:rsidRDefault="000B30DC" w:rsidP="00FE1DDB">
      <w:pPr>
        <w:spacing w:after="0" w:line="240" w:lineRule="auto"/>
        <w:jc w:val="both"/>
        <w:rPr>
          <w:rFonts w:ascii="Times New Roman" w:hAnsi="Times New Roman" w:cs="Times New Roman"/>
          <w:b/>
          <w:sz w:val="24"/>
          <w:szCs w:val="24"/>
        </w:rPr>
      </w:pPr>
    </w:p>
    <w:p w14:paraId="73CBC5A7" w14:textId="5B05C177" w:rsidR="00452ED9" w:rsidRPr="004A7945" w:rsidRDefault="00AB6905" w:rsidP="00FE1DDB">
      <w:pPr>
        <w:pStyle w:val="Heading1"/>
        <w:rPr>
          <w:rFonts w:ascii="Times New Roman" w:hAnsi="Times New Roman" w:cs="Times New Roman"/>
          <w:b/>
          <w:i w:val="0"/>
          <w:sz w:val="24"/>
          <w:szCs w:val="24"/>
        </w:rPr>
      </w:pPr>
      <w:r w:rsidRPr="004A7945">
        <w:rPr>
          <w:rFonts w:ascii="Times New Roman" w:hAnsi="Times New Roman" w:cs="Times New Roman"/>
          <w:b/>
          <w:i w:val="0"/>
          <w:sz w:val="24"/>
          <w:szCs w:val="24"/>
        </w:rPr>
        <w:t>Sediment Quality</w:t>
      </w:r>
    </w:p>
    <w:p w14:paraId="6B97BDF6" w14:textId="77777777" w:rsidR="00452ED9" w:rsidRPr="00FE1DDB" w:rsidRDefault="00452ED9" w:rsidP="00FE1DDB">
      <w:pPr>
        <w:spacing w:after="0" w:line="240" w:lineRule="auto"/>
        <w:jc w:val="both"/>
        <w:rPr>
          <w:rFonts w:ascii="Times New Roman" w:hAnsi="Times New Roman" w:cs="Times New Roman"/>
          <w:sz w:val="24"/>
          <w:szCs w:val="24"/>
        </w:rPr>
      </w:pPr>
    </w:p>
    <w:p w14:paraId="794CD97F" w14:textId="5E7575C9" w:rsidR="003B2441" w:rsidRPr="00FE1DDB" w:rsidRDefault="00AB6905" w:rsidP="00FE1DDB">
      <w:pPr>
        <w:spacing w:after="0" w:line="240" w:lineRule="auto"/>
        <w:ind w:firstLine="720"/>
        <w:rPr>
          <w:rFonts w:ascii="Times New Roman" w:hAnsi="Times New Roman" w:cs="Times New Roman"/>
          <w:sz w:val="24"/>
          <w:szCs w:val="24"/>
        </w:rPr>
      </w:pPr>
      <w:r w:rsidRPr="00FE1DDB">
        <w:rPr>
          <w:rFonts w:ascii="Times New Roman" w:hAnsi="Times New Roman" w:cs="Times New Roman"/>
          <w:sz w:val="24"/>
          <w:szCs w:val="24"/>
        </w:rPr>
        <w:t>Sediment quality is important for characterizing probabilistic estuarine sites because the composition of the sediment and the chemical contaminants that it contains may adversely affect ecosystem function and the health of aquatic organisms, as well as the health of humans that use the ecosystem for work</w:t>
      </w:r>
      <w:r w:rsidR="003B2441" w:rsidRPr="00FE1DDB">
        <w:rPr>
          <w:rFonts w:ascii="Times New Roman" w:hAnsi="Times New Roman" w:cs="Times New Roman"/>
          <w:sz w:val="24"/>
          <w:szCs w:val="24"/>
        </w:rPr>
        <w:t>,</w:t>
      </w:r>
      <w:r w:rsidRPr="00FE1DDB">
        <w:rPr>
          <w:rFonts w:ascii="Times New Roman" w:hAnsi="Times New Roman" w:cs="Times New Roman"/>
          <w:sz w:val="24"/>
          <w:szCs w:val="24"/>
        </w:rPr>
        <w:t xml:space="preserve"> recreation</w:t>
      </w:r>
      <w:r w:rsidR="003B2441" w:rsidRPr="00FE1DDB">
        <w:rPr>
          <w:rFonts w:ascii="Times New Roman" w:hAnsi="Times New Roman" w:cs="Times New Roman"/>
          <w:sz w:val="24"/>
          <w:szCs w:val="24"/>
        </w:rPr>
        <w:t>, or food</w:t>
      </w:r>
      <w:r w:rsidRPr="00FE1DDB">
        <w:rPr>
          <w:rFonts w:ascii="Times New Roman" w:hAnsi="Times New Roman" w:cs="Times New Roman"/>
          <w:sz w:val="24"/>
          <w:szCs w:val="24"/>
        </w:rPr>
        <w:t>. The NCCA Program has traditionally used two measures of sediment quality - chemical contamination and toxicity - to characterize</w:t>
      </w:r>
      <w:r w:rsidR="0038529D" w:rsidRPr="00FE1DDB">
        <w:rPr>
          <w:rFonts w:ascii="Times New Roman" w:hAnsi="Times New Roman" w:cs="Times New Roman"/>
          <w:sz w:val="24"/>
          <w:szCs w:val="24"/>
        </w:rPr>
        <w:t xml:space="preserve"> </w:t>
      </w:r>
      <w:r w:rsidRPr="00FE1DDB">
        <w:rPr>
          <w:rFonts w:ascii="Times New Roman" w:hAnsi="Times New Roman" w:cs="Times New Roman"/>
          <w:sz w:val="24"/>
          <w:szCs w:val="24"/>
        </w:rPr>
        <w:t>individual sites. These indicators are subsequently integrated into a single sediment quality index (S</w:t>
      </w:r>
      <w:r w:rsidR="00BD2E34" w:rsidRPr="00FE1DDB">
        <w:rPr>
          <w:rFonts w:ascii="Times New Roman" w:hAnsi="Times New Roman" w:cs="Times New Roman"/>
          <w:sz w:val="24"/>
          <w:szCs w:val="24"/>
        </w:rPr>
        <w:t>Q</w:t>
      </w:r>
      <w:r w:rsidRPr="00FE1DDB">
        <w:rPr>
          <w:rFonts w:ascii="Times New Roman" w:hAnsi="Times New Roman" w:cs="Times New Roman"/>
          <w:sz w:val="24"/>
          <w:szCs w:val="24"/>
        </w:rPr>
        <w:t xml:space="preserve">I) to </w:t>
      </w:r>
      <w:r w:rsidR="00D22215" w:rsidRPr="00FE1DDB">
        <w:rPr>
          <w:rFonts w:ascii="Times New Roman" w:hAnsi="Times New Roman" w:cs="Times New Roman"/>
          <w:sz w:val="24"/>
          <w:szCs w:val="24"/>
        </w:rPr>
        <w:t xml:space="preserve">further characterize the site. </w:t>
      </w:r>
    </w:p>
    <w:p w14:paraId="2AA942C3" w14:textId="77777777" w:rsidR="008B1960" w:rsidRPr="00FE1DDB" w:rsidRDefault="008B1960" w:rsidP="00FE1DDB">
      <w:pPr>
        <w:spacing w:after="0" w:line="240" w:lineRule="auto"/>
        <w:rPr>
          <w:rFonts w:ascii="Times New Roman" w:hAnsi="Times New Roman" w:cs="Times New Roman"/>
          <w:sz w:val="24"/>
          <w:szCs w:val="24"/>
        </w:rPr>
      </w:pPr>
    </w:p>
    <w:p w14:paraId="7D0F973E" w14:textId="63CB1B2F" w:rsidR="007F3CBB" w:rsidRPr="00FE1DDB" w:rsidRDefault="00AB6905"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Sediment Chemistry:</w:t>
      </w:r>
      <w:r w:rsidRPr="00FE1DDB">
        <w:rPr>
          <w:rFonts w:ascii="Times New Roman" w:hAnsi="Times New Roman" w:cs="Times New Roman"/>
          <w:sz w:val="24"/>
          <w:szCs w:val="24"/>
        </w:rPr>
        <w:t xml:space="preserve"> </w:t>
      </w:r>
      <w:r w:rsidR="007F3CBB" w:rsidRPr="00FE1DDB">
        <w:rPr>
          <w:rFonts w:ascii="Times New Roman" w:hAnsi="Times New Roman" w:cs="Times New Roman"/>
          <w:sz w:val="24"/>
          <w:szCs w:val="24"/>
        </w:rPr>
        <w:t xml:space="preserve">Sediment used for chemical analyses and toxicity testing was collected from the top 2.0 cm. of bottom substrate, most commonly sampled by DEQ with Petite Ponar grabs. Sediment samples collected </w:t>
      </w:r>
      <w:r w:rsidR="00BD2E34" w:rsidRPr="00FE1DDB">
        <w:rPr>
          <w:rFonts w:ascii="Times New Roman" w:hAnsi="Times New Roman" w:cs="Times New Roman"/>
          <w:sz w:val="24"/>
          <w:szCs w:val="24"/>
        </w:rPr>
        <w:t>in</w:t>
      </w:r>
      <w:r w:rsidR="007F3CBB" w:rsidRPr="00FE1DDB">
        <w:rPr>
          <w:rFonts w:ascii="Times New Roman" w:hAnsi="Times New Roman" w:cs="Times New Roman"/>
          <w:sz w:val="24"/>
          <w:szCs w:val="24"/>
        </w:rPr>
        <w:t xml:space="preserve"> the Chesapeake Bay mainstem</w:t>
      </w:r>
      <w:r w:rsidR="00BE2AD1" w:rsidRPr="00FE1DDB">
        <w:rPr>
          <w:rFonts w:ascii="Times New Roman" w:hAnsi="Times New Roman" w:cs="Times New Roman"/>
          <w:sz w:val="24"/>
          <w:szCs w:val="24"/>
        </w:rPr>
        <w:t xml:space="preserve"> </w:t>
      </w:r>
      <w:r w:rsidR="00BD2E34" w:rsidRPr="00FE1DDB">
        <w:rPr>
          <w:rFonts w:ascii="Times New Roman" w:hAnsi="Times New Roman" w:cs="Times New Roman"/>
          <w:sz w:val="24"/>
          <w:szCs w:val="24"/>
        </w:rPr>
        <w:t xml:space="preserve">from Old Dominion University’s research vessel, the Fay Slover, </w:t>
      </w:r>
      <w:r w:rsidR="007F3CBB" w:rsidRPr="00FE1DDB">
        <w:rPr>
          <w:rFonts w:ascii="Times New Roman" w:hAnsi="Times New Roman" w:cs="Times New Roman"/>
          <w:sz w:val="24"/>
          <w:szCs w:val="24"/>
        </w:rPr>
        <w:t xml:space="preserve">were normally collected with a larger, standard Young grab. </w:t>
      </w:r>
      <w:r w:rsidR="00BE2AD1" w:rsidRPr="00FE1DDB">
        <w:rPr>
          <w:rFonts w:ascii="Times New Roman" w:hAnsi="Times New Roman" w:cs="Times New Roman"/>
          <w:sz w:val="24"/>
          <w:szCs w:val="24"/>
        </w:rPr>
        <w:t>In both cases, a</w:t>
      </w:r>
      <w:r w:rsidR="007F3CBB" w:rsidRPr="00FE1DDB">
        <w:rPr>
          <w:rFonts w:ascii="Times New Roman" w:hAnsi="Times New Roman" w:cs="Times New Roman"/>
          <w:sz w:val="24"/>
          <w:szCs w:val="24"/>
        </w:rPr>
        <w:t xml:space="preserve"> four-liter sample of homogenized sediment was </w:t>
      </w:r>
      <w:r w:rsidR="00BE2AD1" w:rsidRPr="00FE1DDB">
        <w:rPr>
          <w:rFonts w:ascii="Times New Roman" w:hAnsi="Times New Roman" w:cs="Times New Roman"/>
          <w:sz w:val="24"/>
          <w:szCs w:val="24"/>
        </w:rPr>
        <w:t>collected and</w:t>
      </w:r>
      <w:r w:rsidR="007F3CBB" w:rsidRPr="00FE1DDB">
        <w:rPr>
          <w:rFonts w:ascii="Times New Roman" w:hAnsi="Times New Roman" w:cs="Times New Roman"/>
          <w:sz w:val="24"/>
          <w:szCs w:val="24"/>
        </w:rPr>
        <w:t xml:space="preserve"> subdivided for analyses of chemistry, toxicity, total organic Carbon (TOC), and particle size.</w:t>
      </w:r>
      <w:r w:rsidR="004A7945" w:rsidRPr="004A7945">
        <w:rPr>
          <w:rFonts w:ascii="Times New Roman" w:hAnsi="Times New Roman" w:cs="Times New Roman"/>
        </w:rPr>
        <w:t xml:space="preserve"> </w:t>
      </w:r>
      <w:r w:rsidR="004A7945" w:rsidRPr="009E29FD">
        <w:rPr>
          <w:rFonts w:ascii="Times New Roman" w:hAnsi="Times New Roman" w:cs="Times New Roman"/>
        </w:rPr>
        <w:t>At one site during the 2016 season water quality parameters were collected and sediment was not available due to an oyster reef substrate hence the difference in total water quality collection sites (N=298) and total sediment collection sites (N=297).</w:t>
      </w:r>
      <w:r w:rsidR="007F3CBB" w:rsidRPr="00FE1DDB">
        <w:rPr>
          <w:rFonts w:ascii="Times New Roman" w:hAnsi="Times New Roman" w:cs="Times New Roman"/>
          <w:sz w:val="24"/>
          <w:szCs w:val="24"/>
        </w:rPr>
        <w:t xml:space="preserve"> </w:t>
      </w:r>
    </w:p>
    <w:p w14:paraId="1F46731D" w14:textId="77777777" w:rsidR="007F3CBB" w:rsidRPr="00FE1DDB" w:rsidRDefault="007F3CBB" w:rsidP="00FE1DDB">
      <w:pPr>
        <w:spacing w:after="0" w:line="240" w:lineRule="auto"/>
        <w:rPr>
          <w:rFonts w:ascii="Times New Roman" w:hAnsi="Times New Roman" w:cs="Times New Roman"/>
          <w:sz w:val="24"/>
          <w:szCs w:val="24"/>
        </w:rPr>
      </w:pPr>
    </w:p>
    <w:p w14:paraId="3835E059" w14:textId="7EF0DD8A" w:rsidR="00AB6905" w:rsidRPr="00FE1DDB" w:rsidRDefault="007F3CBB"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Sediment chemistry samples were analyzed</w:t>
      </w:r>
      <w:r w:rsidR="00AB6905" w:rsidRPr="00FE1DDB">
        <w:rPr>
          <w:rFonts w:ascii="Times New Roman" w:hAnsi="Times New Roman" w:cs="Times New Roman"/>
          <w:sz w:val="24"/>
          <w:szCs w:val="24"/>
        </w:rPr>
        <w:t xml:space="preserve"> for a number of metals, pesticides, and other organic compounds, including polycyclic aromatic hydrocarbons (PAHs) and polychlorinated biphenyls (PCBs), because they are persistent, bioaccumulative and are often associated with acute and chronic effects on aquatic organisms. Table </w:t>
      </w:r>
      <w:r w:rsidR="00D22215" w:rsidRPr="00FE1DDB">
        <w:rPr>
          <w:rFonts w:ascii="Times New Roman" w:hAnsi="Times New Roman" w:cs="Times New Roman"/>
          <w:sz w:val="24"/>
          <w:szCs w:val="24"/>
        </w:rPr>
        <w:t>4.5</w:t>
      </w:r>
      <w:r w:rsidR="00C90CEE">
        <w:rPr>
          <w:rFonts w:ascii="Times New Roman" w:hAnsi="Times New Roman" w:cs="Times New Roman"/>
          <w:sz w:val="24"/>
          <w:szCs w:val="24"/>
        </w:rPr>
        <w:t>-</w:t>
      </w:r>
      <w:r w:rsidR="008B0194">
        <w:rPr>
          <w:rFonts w:ascii="Times New Roman" w:hAnsi="Times New Roman" w:cs="Times New Roman"/>
          <w:sz w:val="24"/>
          <w:szCs w:val="24"/>
        </w:rPr>
        <w:t>13</w:t>
      </w:r>
      <w:r w:rsidR="008B0194" w:rsidRPr="00FE1DDB">
        <w:rPr>
          <w:rFonts w:ascii="Times New Roman" w:hAnsi="Times New Roman" w:cs="Times New Roman"/>
          <w:sz w:val="24"/>
          <w:szCs w:val="24"/>
        </w:rPr>
        <w:t xml:space="preserve"> </w:t>
      </w:r>
      <w:r w:rsidR="00AB6905" w:rsidRPr="00FE1DDB">
        <w:rPr>
          <w:rFonts w:ascii="Times New Roman" w:hAnsi="Times New Roman" w:cs="Times New Roman"/>
          <w:sz w:val="24"/>
          <w:szCs w:val="24"/>
        </w:rPr>
        <w:t xml:space="preserve">summarizes the analytes that are quantified in DEQ’s </w:t>
      </w:r>
      <w:r w:rsidR="00D43D51" w:rsidRPr="00FE1DDB">
        <w:rPr>
          <w:rFonts w:ascii="Times New Roman" w:hAnsi="Times New Roman" w:cs="Times New Roman"/>
          <w:sz w:val="24"/>
          <w:szCs w:val="24"/>
        </w:rPr>
        <w:t xml:space="preserve">estuarine </w:t>
      </w:r>
      <w:r w:rsidR="00AB6905" w:rsidRPr="00FE1DDB">
        <w:rPr>
          <w:rFonts w:ascii="Times New Roman" w:hAnsi="Times New Roman" w:cs="Times New Roman"/>
          <w:sz w:val="24"/>
          <w:szCs w:val="24"/>
        </w:rPr>
        <w:t>probabilistic sediment samples. The results of these chemical analyses are evaluated in several different ways, each line of evidence contributing to the final chemical characterization of the sediment.</w:t>
      </w:r>
    </w:p>
    <w:p w14:paraId="6CBAE31E" w14:textId="77777777" w:rsidR="007F3CBB" w:rsidRPr="00FE1DDB" w:rsidRDefault="007F3CBB" w:rsidP="00FE1DDB">
      <w:pPr>
        <w:spacing w:after="0" w:line="240" w:lineRule="auto"/>
        <w:rPr>
          <w:rFonts w:ascii="Times New Roman" w:hAnsi="Times New Roman" w:cs="Times New Roman"/>
          <w:sz w:val="24"/>
          <w:szCs w:val="24"/>
        </w:rPr>
      </w:pPr>
    </w:p>
    <w:p w14:paraId="700B9F1F" w14:textId="77777777" w:rsidR="0059033C" w:rsidRPr="00FE1DDB" w:rsidRDefault="0059033C" w:rsidP="00FE1DDB">
      <w:pPr>
        <w:spacing w:after="0" w:line="240" w:lineRule="auto"/>
        <w:rPr>
          <w:rFonts w:ascii="Times New Roman" w:hAnsi="Times New Roman" w:cs="Times New Roman"/>
          <w:bCs/>
          <w:sz w:val="24"/>
          <w:szCs w:val="24"/>
        </w:rPr>
      </w:pPr>
      <w:r w:rsidRPr="00FE1DDB">
        <w:rPr>
          <w:rFonts w:ascii="Times New Roman" w:hAnsi="Times New Roman" w:cs="Times New Roman"/>
          <w:bCs/>
          <w:sz w:val="24"/>
          <w:szCs w:val="24"/>
        </w:rPr>
        <w:lastRenderedPageBreak/>
        <w:t xml:space="preserve">In recent years, the NCCA Program has utilized two independent methods of evaluating the effects of multiple chemical contaminants in sediment; the “ERM-quotient” method, and the “Logistic Regression” method. Both of these methods are also utilized in DEQ’s Estuarine  </w:t>
      </w:r>
    </w:p>
    <w:p w14:paraId="08E457FC" w14:textId="5AB18D15" w:rsidR="0059033C" w:rsidRPr="00FE1DDB" w:rsidRDefault="0059033C" w:rsidP="00FE1DDB">
      <w:pPr>
        <w:spacing w:after="0" w:line="240" w:lineRule="auto"/>
        <w:rPr>
          <w:rFonts w:ascii="Times New Roman" w:hAnsi="Times New Roman" w:cs="Times New Roman"/>
          <w:bCs/>
          <w:sz w:val="24"/>
          <w:szCs w:val="24"/>
        </w:rPr>
      </w:pPr>
      <w:r w:rsidRPr="00FE1DDB">
        <w:rPr>
          <w:rFonts w:ascii="Times New Roman" w:hAnsi="Times New Roman" w:cs="Times New Roman"/>
          <w:bCs/>
          <w:sz w:val="24"/>
          <w:szCs w:val="24"/>
        </w:rPr>
        <w:t>ProbMon Program. DEQ also applies EPA’s “Equilibrium Partitioning Sediment Benchmarks for PAH Mixtures” (ESB</w:t>
      </w:r>
      <w:r w:rsidRPr="00FE1DDB">
        <w:rPr>
          <w:rFonts w:ascii="Times New Roman" w:hAnsi="Times New Roman" w:cs="Times New Roman"/>
          <w:b/>
          <w:bCs/>
          <w:sz w:val="24"/>
          <w:szCs w:val="24"/>
          <w:vertAlign w:val="subscript"/>
        </w:rPr>
        <w:t>PAH</w:t>
      </w:r>
      <w:r w:rsidRPr="00FE1DDB">
        <w:rPr>
          <w:rFonts w:ascii="Times New Roman" w:hAnsi="Times New Roman" w:cs="Times New Roman"/>
          <w:bCs/>
          <w:sz w:val="24"/>
          <w:szCs w:val="24"/>
        </w:rPr>
        <w:t>), as a third line of evidence for characterizing sediment chemistry (</w:t>
      </w:r>
      <w:r w:rsidRPr="00FE1DDB">
        <w:rPr>
          <w:rFonts w:ascii="Times New Roman" w:hAnsi="Times New Roman" w:cs="Times New Roman"/>
          <w:sz w:val="20"/>
          <w:szCs w:val="24"/>
        </w:rPr>
        <w:t>U.S. EPA, 2003)</w:t>
      </w:r>
      <w:r w:rsidRPr="00FE1DDB">
        <w:rPr>
          <w:rFonts w:ascii="Times New Roman" w:hAnsi="Times New Roman" w:cs="Times New Roman"/>
          <w:bCs/>
          <w:sz w:val="24"/>
          <w:szCs w:val="24"/>
        </w:rPr>
        <w:t>.</w:t>
      </w:r>
    </w:p>
    <w:p w14:paraId="16B2691C" w14:textId="3B8F67EF" w:rsidR="00C90CEE" w:rsidRDefault="00C90CEE" w:rsidP="00FE1DDB">
      <w:pPr>
        <w:spacing w:after="0" w:line="240" w:lineRule="auto"/>
        <w:rPr>
          <w:rFonts w:ascii="Times New Roman" w:hAnsi="Times New Roman" w:cs="Times New Roman"/>
          <w:bCs/>
          <w:sz w:val="24"/>
          <w:szCs w:val="24"/>
        </w:rPr>
      </w:pPr>
    </w:p>
    <w:p w14:paraId="07930542" w14:textId="24F1445F" w:rsidR="00307B7A" w:rsidRDefault="00307B7A" w:rsidP="00FE1DDB">
      <w:pPr>
        <w:spacing w:after="0" w:line="240" w:lineRule="auto"/>
        <w:rPr>
          <w:rFonts w:ascii="Times New Roman" w:hAnsi="Times New Roman" w:cs="Times New Roman"/>
          <w:bCs/>
          <w:sz w:val="24"/>
          <w:szCs w:val="24"/>
        </w:rPr>
      </w:pPr>
    </w:p>
    <w:p w14:paraId="56D8AB1B" w14:textId="64748060" w:rsidR="00307B7A" w:rsidRDefault="00307B7A" w:rsidP="00FE1DDB">
      <w:pPr>
        <w:spacing w:after="0" w:line="240" w:lineRule="auto"/>
        <w:rPr>
          <w:rFonts w:ascii="Times New Roman" w:hAnsi="Times New Roman" w:cs="Times New Roman"/>
          <w:bCs/>
          <w:sz w:val="24"/>
          <w:szCs w:val="24"/>
        </w:rPr>
      </w:pPr>
    </w:p>
    <w:p w14:paraId="646DBC30" w14:textId="113F66F6" w:rsidR="00307B7A" w:rsidRDefault="00307B7A" w:rsidP="00FE1DDB">
      <w:pPr>
        <w:spacing w:after="0" w:line="240" w:lineRule="auto"/>
        <w:rPr>
          <w:rFonts w:ascii="Times New Roman" w:hAnsi="Times New Roman" w:cs="Times New Roman"/>
          <w:bCs/>
          <w:sz w:val="24"/>
          <w:szCs w:val="24"/>
        </w:rPr>
      </w:pPr>
    </w:p>
    <w:p w14:paraId="485D92EE" w14:textId="4311D4BA" w:rsidR="00307B7A" w:rsidRDefault="00307B7A" w:rsidP="00FE1DDB">
      <w:pPr>
        <w:spacing w:after="0" w:line="240" w:lineRule="auto"/>
        <w:rPr>
          <w:rFonts w:ascii="Times New Roman" w:hAnsi="Times New Roman" w:cs="Times New Roman"/>
          <w:bCs/>
          <w:sz w:val="24"/>
          <w:szCs w:val="24"/>
        </w:rPr>
      </w:pPr>
    </w:p>
    <w:p w14:paraId="1E1ABDF0" w14:textId="292BD3EC" w:rsidR="00307B7A" w:rsidRDefault="00307B7A" w:rsidP="00FE1DDB">
      <w:pPr>
        <w:spacing w:after="0" w:line="240" w:lineRule="auto"/>
        <w:rPr>
          <w:rFonts w:ascii="Times New Roman" w:hAnsi="Times New Roman" w:cs="Times New Roman"/>
          <w:bCs/>
          <w:sz w:val="24"/>
          <w:szCs w:val="24"/>
        </w:rPr>
      </w:pPr>
    </w:p>
    <w:p w14:paraId="116DC746" w14:textId="1676E29A" w:rsidR="00307B7A" w:rsidRDefault="00307B7A" w:rsidP="00FE1DDB">
      <w:pPr>
        <w:spacing w:after="0" w:line="240" w:lineRule="auto"/>
        <w:rPr>
          <w:rFonts w:ascii="Times New Roman" w:hAnsi="Times New Roman" w:cs="Times New Roman"/>
          <w:bCs/>
          <w:sz w:val="24"/>
          <w:szCs w:val="24"/>
        </w:rPr>
      </w:pPr>
    </w:p>
    <w:p w14:paraId="69DFFD38" w14:textId="1FB96966" w:rsidR="00307B7A" w:rsidRDefault="00307B7A" w:rsidP="00FE1DDB">
      <w:pPr>
        <w:spacing w:after="0" w:line="240" w:lineRule="auto"/>
        <w:rPr>
          <w:rFonts w:ascii="Times New Roman" w:hAnsi="Times New Roman" w:cs="Times New Roman"/>
          <w:bCs/>
          <w:sz w:val="24"/>
          <w:szCs w:val="24"/>
        </w:rPr>
      </w:pPr>
    </w:p>
    <w:p w14:paraId="270D311E" w14:textId="0CDE96F9" w:rsidR="00307B7A" w:rsidRDefault="00307B7A" w:rsidP="00FE1DDB">
      <w:pPr>
        <w:spacing w:after="0" w:line="240" w:lineRule="auto"/>
        <w:rPr>
          <w:rFonts w:ascii="Times New Roman" w:hAnsi="Times New Roman" w:cs="Times New Roman"/>
          <w:bCs/>
          <w:sz w:val="24"/>
          <w:szCs w:val="24"/>
        </w:rPr>
      </w:pPr>
    </w:p>
    <w:p w14:paraId="5252750B" w14:textId="0C063AFB" w:rsidR="00307B7A" w:rsidRDefault="00307B7A" w:rsidP="00FE1DDB">
      <w:pPr>
        <w:spacing w:after="0" w:line="240" w:lineRule="auto"/>
        <w:rPr>
          <w:rFonts w:ascii="Times New Roman" w:hAnsi="Times New Roman" w:cs="Times New Roman"/>
          <w:bCs/>
          <w:sz w:val="24"/>
          <w:szCs w:val="24"/>
        </w:rPr>
      </w:pPr>
    </w:p>
    <w:p w14:paraId="66116102" w14:textId="1F4F46BD" w:rsidR="00307B7A" w:rsidRDefault="00307B7A" w:rsidP="00FE1DDB">
      <w:pPr>
        <w:spacing w:after="0" w:line="240" w:lineRule="auto"/>
        <w:rPr>
          <w:rFonts w:ascii="Times New Roman" w:hAnsi="Times New Roman" w:cs="Times New Roman"/>
          <w:bCs/>
          <w:sz w:val="24"/>
          <w:szCs w:val="24"/>
        </w:rPr>
      </w:pPr>
    </w:p>
    <w:p w14:paraId="3F598705" w14:textId="40AE5E7F" w:rsidR="00307B7A" w:rsidRDefault="00307B7A" w:rsidP="00FE1DDB">
      <w:pPr>
        <w:spacing w:after="0" w:line="240" w:lineRule="auto"/>
        <w:rPr>
          <w:rFonts w:ascii="Times New Roman" w:hAnsi="Times New Roman" w:cs="Times New Roman"/>
          <w:bCs/>
          <w:sz w:val="24"/>
          <w:szCs w:val="24"/>
        </w:rPr>
      </w:pPr>
    </w:p>
    <w:p w14:paraId="7C6C00C7" w14:textId="348B55F4" w:rsidR="00307B7A" w:rsidRDefault="00307B7A" w:rsidP="00FE1DDB">
      <w:pPr>
        <w:spacing w:after="0" w:line="240" w:lineRule="auto"/>
        <w:rPr>
          <w:rFonts w:ascii="Times New Roman" w:hAnsi="Times New Roman" w:cs="Times New Roman"/>
          <w:bCs/>
          <w:sz w:val="24"/>
          <w:szCs w:val="24"/>
        </w:rPr>
      </w:pPr>
    </w:p>
    <w:p w14:paraId="606D4961" w14:textId="79CBDA6B" w:rsidR="00307B7A" w:rsidRDefault="00307B7A" w:rsidP="00FE1DDB">
      <w:pPr>
        <w:spacing w:after="0" w:line="240" w:lineRule="auto"/>
        <w:rPr>
          <w:rFonts w:ascii="Times New Roman" w:hAnsi="Times New Roman" w:cs="Times New Roman"/>
          <w:bCs/>
          <w:sz w:val="24"/>
          <w:szCs w:val="24"/>
        </w:rPr>
      </w:pPr>
    </w:p>
    <w:p w14:paraId="1C87451E" w14:textId="046BC8C9" w:rsidR="00307B7A" w:rsidRDefault="00307B7A" w:rsidP="00FE1DDB">
      <w:pPr>
        <w:spacing w:after="0" w:line="240" w:lineRule="auto"/>
        <w:rPr>
          <w:rFonts w:ascii="Times New Roman" w:hAnsi="Times New Roman" w:cs="Times New Roman"/>
          <w:bCs/>
          <w:sz w:val="24"/>
          <w:szCs w:val="24"/>
        </w:rPr>
      </w:pPr>
    </w:p>
    <w:p w14:paraId="36027062" w14:textId="474C8C98" w:rsidR="00307B7A" w:rsidRDefault="00307B7A" w:rsidP="00FE1DDB">
      <w:pPr>
        <w:spacing w:after="0" w:line="240" w:lineRule="auto"/>
        <w:rPr>
          <w:rFonts w:ascii="Times New Roman" w:hAnsi="Times New Roman" w:cs="Times New Roman"/>
          <w:bCs/>
          <w:sz w:val="24"/>
          <w:szCs w:val="24"/>
        </w:rPr>
      </w:pPr>
    </w:p>
    <w:p w14:paraId="5EBA8CA4" w14:textId="5482104A" w:rsidR="00307B7A" w:rsidRDefault="00307B7A" w:rsidP="00FE1DDB">
      <w:pPr>
        <w:spacing w:after="0" w:line="240" w:lineRule="auto"/>
        <w:rPr>
          <w:rFonts w:ascii="Times New Roman" w:hAnsi="Times New Roman" w:cs="Times New Roman"/>
          <w:bCs/>
          <w:sz w:val="24"/>
          <w:szCs w:val="24"/>
        </w:rPr>
      </w:pPr>
    </w:p>
    <w:p w14:paraId="1CB7D302" w14:textId="5AC61274" w:rsidR="00307B7A" w:rsidRDefault="00307B7A" w:rsidP="00FE1DDB">
      <w:pPr>
        <w:spacing w:after="0" w:line="240" w:lineRule="auto"/>
        <w:rPr>
          <w:rFonts w:ascii="Times New Roman" w:hAnsi="Times New Roman" w:cs="Times New Roman"/>
          <w:bCs/>
          <w:sz w:val="24"/>
          <w:szCs w:val="24"/>
        </w:rPr>
      </w:pPr>
    </w:p>
    <w:p w14:paraId="7BBEC84D" w14:textId="638877F8" w:rsidR="00307B7A" w:rsidRDefault="00307B7A" w:rsidP="00FE1DDB">
      <w:pPr>
        <w:spacing w:after="0" w:line="240" w:lineRule="auto"/>
        <w:rPr>
          <w:rFonts w:ascii="Times New Roman" w:hAnsi="Times New Roman" w:cs="Times New Roman"/>
          <w:bCs/>
          <w:sz w:val="24"/>
          <w:szCs w:val="24"/>
        </w:rPr>
      </w:pPr>
    </w:p>
    <w:p w14:paraId="056F4CA6" w14:textId="0841408A" w:rsidR="00307B7A" w:rsidRDefault="00307B7A" w:rsidP="00FE1DDB">
      <w:pPr>
        <w:spacing w:after="0" w:line="240" w:lineRule="auto"/>
        <w:rPr>
          <w:rFonts w:ascii="Times New Roman" w:hAnsi="Times New Roman" w:cs="Times New Roman"/>
          <w:bCs/>
          <w:sz w:val="24"/>
          <w:szCs w:val="24"/>
        </w:rPr>
      </w:pPr>
    </w:p>
    <w:p w14:paraId="4A55A338" w14:textId="3E11D038" w:rsidR="00307B7A" w:rsidRDefault="00307B7A" w:rsidP="00FE1DDB">
      <w:pPr>
        <w:spacing w:after="0" w:line="240" w:lineRule="auto"/>
        <w:rPr>
          <w:rFonts w:ascii="Times New Roman" w:hAnsi="Times New Roman" w:cs="Times New Roman"/>
          <w:bCs/>
          <w:sz w:val="24"/>
          <w:szCs w:val="24"/>
        </w:rPr>
      </w:pPr>
    </w:p>
    <w:p w14:paraId="4C6DD321" w14:textId="3FBF4F3C" w:rsidR="00307B7A" w:rsidRDefault="00307B7A" w:rsidP="00FE1DDB">
      <w:pPr>
        <w:spacing w:after="0" w:line="240" w:lineRule="auto"/>
        <w:rPr>
          <w:rFonts w:ascii="Times New Roman" w:hAnsi="Times New Roman" w:cs="Times New Roman"/>
          <w:bCs/>
          <w:sz w:val="24"/>
          <w:szCs w:val="24"/>
        </w:rPr>
      </w:pPr>
    </w:p>
    <w:p w14:paraId="294F83D2" w14:textId="0A2C015A" w:rsidR="00307B7A" w:rsidRDefault="00307B7A" w:rsidP="00FE1DDB">
      <w:pPr>
        <w:spacing w:after="0" w:line="240" w:lineRule="auto"/>
        <w:rPr>
          <w:rFonts w:ascii="Times New Roman" w:hAnsi="Times New Roman" w:cs="Times New Roman"/>
          <w:bCs/>
          <w:sz w:val="24"/>
          <w:szCs w:val="24"/>
        </w:rPr>
      </w:pPr>
    </w:p>
    <w:p w14:paraId="553CA273" w14:textId="2B8E5EB5" w:rsidR="00307B7A" w:rsidRDefault="00307B7A" w:rsidP="00FE1DDB">
      <w:pPr>
        <w:spacing w:after="0" w:line="240" w:lineRule="auto"/>
        <w:rPr>
          <w:rFonts w:ascii="Times New Roman" w:hAnsi="Times New Roman" w:cs="Times New Roman"/>
          <w:bCs/>
          <w:sz w:val="24"/>
          <w:szCs w:val="24"/>
        </w:rPr>
      </w:pPr>
    </w:p>
    <w:p w14:paraId="0FD40AFE" w14:textId="51537F26" w:rsidR="00307B7A" w:rsidRDefault="00307B7A" w:rsidP="00FE1DDB">
      <w:pPr>
        <w:spacing w:after="0" w:line="240" w:lineRule="auto"/>
        <w:rPr>
          <w:rFonts w:ascii="Times New Roman" w:hAnsi="Times New Roman" w:cs="Times New Roman"/>
          <w:bCs/>
          <w:sz w:val="24"/>
          <w:szCs w:val="24"/>
        </w:rPr>
      </w:pPr>
    </w:p>
    <w:p w14:paraId="0B41AC2D" w14:textId="5A6D8822" w:rsidR="00307B7A" w:rsidRDefault="00307B7A" w:rsidP="00FE1DDB">
      <w:pPr>
        <w:spacing w:after="0" w:line="240" w:lineRule="auto"/>
        <w:rPr>
          <w:rFonts w:ascii="Times New Roman" w:hAnsi="Times New Roman" w:cs="Times New Roman"/>
          <w:bCs/>
          <w:sz w:val="24"/>
          <w:szCs w:val="24"/>
        </w:rPr>
      </w:pPr>
    </w:p>
    <w:p w14:paraId="370C79A9" w14:textId="5A619EF6" w:rsidR="00307B7A" w:rsidRDefault="00307B7A" w:rsidP="00FE1DDB">
      <w:pPr>
        <w:spacing w:after="0" w:line="240" w:lineRule="auto"/>
        <w:rPr>
          <w:rFonts w:ascii="Times New Roman" w:hAnsi="Times New Roman" w:cs="Times New Roman"/>
          <w:bCs/>
          <w:sz w:val="24"/>
          <w:szCs w:val="24"/>
        </w:rPr>
      </w:pPr>
    </w:p>
    <w:p w14:paraId="6E1C381A" w14:textId="2D827B27" w:rsidR="00307B7A" w:rsidRDefault="00307B7A" w:rsidP="00FE1DDB">
      <w:pPr>
        <w:spacing w:after="0" w:line="240" w:lineRule="auto"/>
        <w:rPr>
          <w:rFonts w:ascii="Times New Roman" w:hAnsi="Times New Roman" w:cs="Times New Roman"/>
          <w:bCs/>
          <w:sz w:val="24"/>
          <w:szCs w:val="24"/>
        </w:rPr>
      </w:pPr>
    </w:p>
    <w:p w14:paraId="01BB4B95" w14:textId="19C49C44" w:rsidR="00307B7A" w:rsidRDefault="00307B7A" w:rsidP="00FE1DDB">
      <w:pPr>
        <w:spacing w:after="0" w:line="240" w:lineRule="auto"/>
        <w:rPr>
          <w:rFonts w:ascii="Times New Roman" w:hAnsi="Times New Roman" w:cs="Times New Roman"/>
          <w:bCs/>
          <w:sz w:val="24"/>
          <w:szCs w:val="24"/>
        </w:rPr>
      </w:pPr>
    </w:p>
    <w:p w14:paraId="26ABA1A4" w14:textId="35E8C720" w:rsidR="00307B7A" w:rsidRDefault="00307B7A" w:rsidP="00FE1DDB">
      <w:pPr>
        <w:spacing w:after="0" w:line="240" w:lineRule="auto"/>
        <w:rPr>
          <w:rFonts w:ascii="Times New Roman" w:hAnsi="Times New Roman" w:cs="Times New Roman"/>
          <w:bCs/>
          <w:sz w:val="24"/>
          <w:szCs w:val="24"/>
        </w:rPr>
      </w:pPr>
    </w:p>
    <w:p w14:paraId="3E2BF483" w14:textId="5E138874" w:rsidR="00307B7A" w:rsidRDefault="00307B7A" w:rsidP="00FE1DDB">
      <w:pPr>
        <w:spacing w:after="0" w:line="240" w:lineRule="auto"/>
        <w:rPr>
          <w:rFonts w:ascii="Times New Roman" w:hAnsi="Times New Roman" w:cs="Times New Roman"/>
          <w:bCs/>
          <w:sz w:val="24"/>
          <w:szCs w:val="24"/>
        </w:rPr>
      </w:pPr>
    </w:p>
    <w:p w14:paraId="2E66A6FA" w14:textId="7166EC0F" w:rsidR="00307B7A" w:rsidRDefault="00307B7A" w:rsidP="00FE1DDB">
      <w:pPr>
        <w:spacing w:after="0" w:line="240" w:lineRule="auto"/>
        <w:rPr>
          <w:rFonts w:ascii="Times New Roman" w:hAnsi="Times New Roman" w:cs="Times New Roman"/>
          <w:bCs/>
          <w:sz w:val="24"/>
          <w:szCs w:val="24"/>
        </w:rPr>
      </w:pPr>
    </w:p>
    <w:p w14:paraId="147AE421" w14:textId="6FE5AFF2" w:rsidR="00307B7A" w:rsidRDefault="00307B7A" w:rsidP="00FE1DDB">
      <w:pPr>
        <w:spacing w:after="0" w:line="240" w:lineRule="auto"/>
        <w:rPr>
          <w:rFonts w:ascii="Times New Roman" w:hAnsi="Times New Roman" w:cs="Times New Roman"/>
          <w:bCs/>
          <w:sz w:val="24"/>
          <w:szCs w:val="24"/>
        </w:rPr>
      </w:pPr>
    </w:p>
    <w:p w14:paraId="599BD34B" w14:textId="15A4946A" w:rsidR="00307B7A" w:rsidRDefault="00307B7A" w:rsidP="00FE1DDB">
      <w:pPr>
        <w:spacing w:after="0" w:line="240" w:lineRule="auto"/>
        <w:rPr>
          <w:rFonts w:ascii="Times New Roman" w:hAnsi="Times New Roman" w:cs="Times New Roman"/>
          <w:bCs/>
          <w:sz w:val="24"/>
          <w:szCs w:val="24"/>
        </w:rPr>
      </w:pPr>
    </w:p>
    <w:p w14:paraId="65DE6FDC" w14:textId="399D896A" w:rsidR="00307B7A" w:rsidRDefault="00307B7A" w:rsidP="00FE1DDB">
      <w:pPr>
        <w:spacing w:after="0" w:line="240" w:lineRule="auto"/>
        <w:rPr>
          <w:rFonts w:ascii="Times New Roman" w:hAnsi="Times New Roman" w:cs="Times New Roman"/>
          <w:bCs/>
          <w:sz w:val="24"/>
          <w:szCs w:val="24"/>
        </w:rPr>
      </w:pPr>
    </w:p>
    <w:p w14:paraId="6BAD89BD" w14:textId="4A084F6B" w:rsidR="00307B7A" w:rsidRDefault="00307B7A" w:rsidP="00FE1DDB">
      <w:pPr>
        <w:spacing w:after="0" w:line="240" w:lineRule="auto"/>
        <w:rPr>
          <w:rFonts w:ascii="Times New Roman" w:hAnsi="Times New Roman" w:cs="Times New Roman"/>
          <w:bCs/>
          <w:sz w:val="24"/>
          <w:szCs w:val="24"/>
        </w:rPr>
      </w:pPr>
    </w:p>
    <w:p w14:paraId="3BDBA765" w14:textId="77777777" w:rsidR="00307B7A" w:rsidRDefault="00307B7A" w:rsidP="00FE1DDB">
      <w:pPr>
        <w:spacing w:after="0" w:line="240" w:lineRule="auto"/>
        <w:rPr>
          <w:rFonts w:ascii="Times New Roman" w:hAnsi="Times New Roman" w:cs="Times New Roman"/>
          <w:bCs/>
          <w:sz w:val="24"/>
          <w:szCs w:val="24"/>
        </w:rPr>
      </w:pPr>
    </w:p>
    <w:p w14:paraId="521AC752" w14:textId="6AA4769E" w:rsidR="00C90CEE" w:rsidRPr="00C90CEE" w:rsidRDefault="00C90CEE" w:rsidP="00C90CEE">
      <w:pPr>
        <w:pStyle w:val="Caption"/>
        <w:keepNext/>
        <w:rPr>
          <w:rFonts w:ascii="Times New Roman" w:hAnsi="Times New Roman" w:cs="Times New Roman"/>
          <w:i w:val="0"/>
          <w:color w:val="000000" w:themeColor="text1"/>
          <w:sz w:val="20"/>
        </w:rPr>
      </w:pPr>
      <w:r w:rsidRPr="00C90CEE">
        <w:rPr>
          <w:rFonts w:ascii="Times New Roman" w:hAnsi="Times New Roman" w:cs="Times New Roman"/>
          <w:i w:val="0"/>
          <w:color w:val="000000" w:themeColor="text1"/>
          <w:sz w:val="20"/>
        </w:rPr>
        <w:lastRenderedPageBreak/>
        <w:t xml:space="preserve">Table 4.5- </w:t>
      </w:r>
      <w:r w:rsidR="008B0194">
        <w:rPr>
          <w:rFonts w:ascii="Times New Roman" w:hAnsi="Times New Roman" w:cs="Times New Roman"/>
          <w:i w:val="0"/>
          <w:color w:val="000000" w:themeColor="text1"/>
          <w:sz w:val="20"/>
        </w:rPr>
        <w:t>13</w:t>
      </w:r>
      <w:r w:rsidR="008B0194" w:rsidRPr="00C90CEE">
        <w:rPr>
          <w:rFonts w:ascii="Times New Roman" w:hAnsi="Times New Roman" w:cs="Times New Roman"/>
          <w:i w:val="0"/>
          <w:color w:val="000000" w:themeColor="text1"/>
          <w:sz w:val="20"/>
        </w:rPr>
        <w:t xml:space="preserve"> </w:t>
      </w:r>
      <w:r w:rsidRPr="00C90CEE">
        <w:rPr>
          <w:rFonts w:ascii="Times New Roman" w:hAnsi="Times New Roman" w:cs="Times New Roman"/>
          <w:i w:val="0"/>
          <w:color w:val="000000" w:themeColor="text1"/>
          <w:sz w:val="20"/>
        </w:rPr>
        <w:t>Concentrations of organics are expressed as μg/Kg, of metals as mg/Kg, both on a dry weight basis.</w:t>
      </w:r>
    </w:p>
    <w:tbl>
      <w:tblPr>
        <w:tblW w:w="8905" w:type="dxa"/>
        <w:jc w:val="center"/>
        <w:tblLook w:val="04A0" w:firstRow="1" w:lastRow="0" w:firstColumn="1" w:lastColumn="0" w:noHBand="0" w:noVBand="1"/>
        <w:tblCaption w:val="TABLE 4.5-13.  Chemical contaminants analyzed in Virginia DEQ’s probabilistic estuarine sediment samples. Concentrations of organics are expressed as μg/Kg, of metals as mg/Kg, both on a dry weight basis."/>
        <w:tblDescription w:val="TABLE 4.5-13.  Chemical contaminants analyzed in Virginia DEQ’s probabilistic estuarine sediment samples. Concentrations of organics are expressed as μg/Kg, of metals as mg/Kg, both on a dry weight basis."/>
      </w:tblPr>
      <w:tblGrid>
        <w:gridCol w:w="2505"/>
        <w:gridCol w:w="2350"/>
        <w:gridCol w:w="4050"/>
      </w:tblGrid>
      <w:tr w:rsidR="00C90CEE" w:rsidRPr="00C90CEE" w14:paraId="5329B8E1" w14:textId="77777777" w:rsidTr="00C90CEE">
        <w:trPr>
          <w:trHeight w:val="510"/>
          <w:jc w:val="center"/>
        </w:trPr>
        <w:tc>
          <w:tcPr>
            <w:tcW w:w="25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AC66A64" w14:textId="77777777" w:rsidR="00C90CEE" w:rsidRPr="00C90CEE" w:rsidRDefault="00C90CEE" w:rsidP="00C90CEE">
            <w:pPr>
              <w:spacing w:after="0" w:line="240" w:lineRule="auto"/>
              <w:jc w:val="center"/>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23 Polynuclear Aromatic Hydrocarbons (PAHs)</w:t>
            </w:r>
          </w:p>
        </w:tc>
        <w:tc>
          <w:tcPr>
            <w:tcW w:w="2350" w:type="dxa"/>
            <w:tcBorders>
              <w:top w:val="single" w:sz="4" w:space="0" w:color="auto"/>
              <w:left w:val="nil"/>
              <w:bottom w:val="single" w:sz="4" w:space="0" w:color="auto"/>
              <w:right w:val="single" w:sz="4" w:space="0" w:color="auto"/>
            </w:tcBorders>
            <w:shd w:val="clear" w:color="000000" w:fill="E7E6E6"/>
            <w:vAlign w:val="center"/>
            <w:hideMark/>
          </w:tcPr>
          <w:p w14:paraId="38EC4AFB" w14:textId="77777777" w:rsidR="00C90CEE" w:rsidRPr="00C90CEE" w:rsidRDefault="00C90CEE" w:rsidP="00C90CEE">
            <w:pPr>
              <w:spacing w:after="0" w:line="240" w:lineRule="auto"/>
              <w:jc w:val="center"/>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22 Organochlorine Pesticides &amp; Derivatives other than DDT</w:t>
            </w:r>
          </w:p>
        </w:tc>
        <w:tc>
          <w:tcPr>
            <w:tcW w:w="4050" w:type="dxa"/>
            <w:tcBorders>
              <w:top w:val="single" w:sz="4" w:space="0" w:color="auto"/>
              <w:left w:val="nil"/>
              <w:bottom w:val="single" w:sz="4" w:space="0" w:color="auto"/>
              <w:right w:val="single" w:sz="4" w:space="0" w:color="auto"/>
            </w:tcBorders>
            <w:shd w:val="clear" w:color="000000" w:fill="E7E6E6"/>
            <w:vAlign w:val="center"/>
            <w:hideMark/>
          </w:tcPr>
          <w:p w14:paraId="5C05520E" w14:textId="77777777" w:rsidR="00C90CEE" w:rsidRPr="00C90CEE" w:rsidRDefault="00C90CEE" w:rsidP="00C90CEE">
            <w:pPr>
              <w:spacing w:after="0" w:line="240" w:lineRule="auto"/>
              <w:jc w:val="center"/>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21 Polychlorinated Biphenyl Congeners (PCBs)</w:t>
            </w:r>
          </w:p>
        </w:tc>
      </w:tr>
      <w:tr w:rsidR="00C90CEE" w:rsidRPr="00C90CEE" w14:paraId="369D9044" w14:textId="77777777" w:rsidTr="00C90CEE">
        <w:trPr>
          <w:trHeight w:val="255"/>
          <w:jc w:val="center"/>
        </w:trPr>
        <w:tc>
          <w:tcPr>
            <w:tcW w:w="2505" w:type="dxa"/>
            <w:tcBorders>
              <w:top w:val="nil"/>
              <w:left w:val="nil"/>
              <w:bottom w:val="nil"/>
              <w:right w:val="nil"/>
            </w:tcBorders>
            <w:shd w:val="clear" w:color="auto" w:fill="auto"/>
            <w:vAlign w:val="center"/>
            <w:hideMark/>
          </w:tcPr>
          <w:p w14:paraId="02A668C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1-methylnaphthalene</w:t>
            </w:r>
          </w:p>
        </w:tc>
        <w:tc>
          <w:tcPr>
            <w:tcW w:w="2350" w:type="dxa"/>
            <w:tcBorders>
              <w:top w:val="nil"/>
              <w:left w:val="nil"/>
              <w:bottom w:val="nil"/>
              <w:right w:val="nil"/>
            </w:tcBorders>
            <w:shd w:val="clear" w:color="auto" w:fill="auto"/>
            <w:vAlign w:val="center"/>
            <w:hideMark/>
          </w:tcPr>
          <w:p w14:paraId="450D85DC"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Aldrin</w:t>
            </w:r>
          </w:p>
        </w:tc>
        <w:tc>
          <w:tcPr>
            <w:tcW w:w="4050" w:type="dxa"/>
            <w:tcBorders>
              <w:top w:val="nil"/>
              <w:left w:val="nil"/>
              <w:bottom w:val="nil"/>
              <w:right w:val="nil"/>
            </w:tcBorders>
            <w:shd w:val="clear" w:color="auto" w:fill="auto"/>
            <w:vAlign w:val="center"/>
            <w:hideMark/>
          </w:tcPr>
          <w:p w14:paraId="32D52948" w14:textId="77777777" w:rsidR="00C90CEE" w:rsidRPr="00C90CEE" w:rsidRDefault="00C90CEE" w:rsidP="00C90CEE">
            <w:pPr>
              <w:spacing w:after="0" w:line="240" w:lineRule="auto"/>
              <w:rPr>
                <w:rFonts w:ascii="Times New Roman" w:eastAsia="Times New Roman" w:hAnsi="Times New Roman" w:cs="Times New Roman"/>
                <w:color w:val="000000"/>
                <w:sz w:val="20"/>
                <w:szCs w:val="20"/>
                <w:u w:val="single"/>
              </w:rPr>
            </w:pPr>
            <w:r w:rsidRPr="00C90CEE">
              <w:rPr>
                <w:rFonts w:ascii="Times New Roman" w:eastAsia="Times New Roman" w:hAnsi="Times New Roman" w:cs="Times New Roman"/>
                <w:color w:val="000000"/>
                <w:sz w:val="20"/>
                <w:szCs w:val="20"/>
                <w:u w:val="single"/>
              </w:rPr>
              <w:t>PCB #</w:t>
            </w:r>
            <w:r w:rsidRPr="00C90CEE">
              <w:rPr>
                <w:rFonts w:ascii="Times New Roman" w:eastAsia="Times New Roman" w:hAnsi="Times New Roman" w:cs="Times New Roman"/>
                <w:color w:val="000000"/>
                <w:sz w:val="20"/>
                <w:szCs w:val="20"/>
              </w:rPr>
              <w:t xml:space="preserve">        </w:t>
            </w:r>
            <w:r w:rsidRPr="00C90CEE">
              <w:rPr>
                <w:rFonts w:ascii="Times New Roman" w:eastAsia="Times New Roman" w:hAnsi="Times New Roman" w:cs="Times New Roman"/>
                <w:color w:val="000000"/>
                <w:sz w:val="20"/>
                <w:szCs w:val="20"/>
                <w:u w:val="single"/>
              </w:rPr>
              <w:t>Compound Name</w:t>
            </w:r>
          </w:p>
        </w:tc>
      </w:tr>
      <w:tr w:rsidR="00C90CEE" w:rsidRPr="00C90CEE" w14:paraId="23615AC0" w14:textId="77777777" w:rsidTr="00C90CEE">
        <w:trPr>
          <w:trHeight w:val="255"/>
          <w:jc w:val="center"/>
        </w:trPr>
        <w:tc>
          <w:tcPr>
            <w:tcW w:w="2505" w:type="dxa"/>
            <w:tcBorders>
              <w:top w:val="nil"/>
              <w:left w:val="nil"/>
              <w:bottom w:val="nil"/>
              <w:right w:val="nil"/>
            </w:tcBorders>
            <w:shd w:val="clear" w:color="auto" w:fill="auto"/>
            <w:vAlign w:val="center"/>
            <w:hideMark/>
          </w:tcPr>
          <w:p w14:paraId="55B443C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1-methylphenanthrene</w:t>
            </w:r>
          </w:p>
        </w:tc>
        <w:tc>
          <w:tcPr>
            <w:tcW w:w="2350" w:type="dxa"/>
            <w:tcBorders>
              <w:top w:val="nil"/>
              <w:left w:val="nil"/>
              <w:bottom w:val="nil"/>
              <w:right w:val="nil"/>
            </w:tcBorders>
            <w:shd w:val="clear" w:color="auto" w:fill="auto"/>
            <w:vAlign w:val="center"/>
            <w:hideMark/>
          </w:tcPr>
          <w:p w14:paraId="7F987F7B"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Alpha-BHC</w:t>
            </w:r>
          </w:p>
        </w:tc>
        <w:tc>
          <w:tcPr>
            <w:tcW w:w="4050" w:type="dxa"/>
            <w:tcBorders>
              <w:top w:val="nil"/>
              <w:left w:val="nil"/>
              <w:bottom w:val="nil"/>
              <w:right w:val="nil"/>
            </w:tcBorders>
            <w:shd w:val="clear" w:color="auto" w:fill="auto"/>
            <w:vAlign w:val="center"/>
            <w:hideMark/>
          </w:tcPr>
          <w:p w14:paraId="185F8440"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8         2,4'-dichlorobiphenyl</w:t>
            </w:r>
          </w:p>
        </w:tc>
      </w:tr>
      <w:tr w:rsidR="00C90CEE" w:rsidRPr="00C90CEE" w14:paraId="762FFEB3" w14:textId="77777777" w:rsidTr="00C90CEE">
        <w:trPr>
          <w:trHeight w:val="255"/>
          <w:jc w:val="center"/>
        </w:trPr>
        <w:tc>
          <w:tcPr>
            <w:tcW w:w="2505" w:type="dxa"/>
            <w:tcBorders>
              <w:top w:val="nil"/>
              <w:left w:val="nil"/>
              <w:bottom w:val="nil"/>
              <w:right w:val="nil"/>
            </w:tcBorders>
            <w:shd w:val="clear" w:color="auto" w:fill="auto"/>
            <w:vAlign w:val="center"/>
            <w:hideMark/>
          </w:tcPr>
          <w:p w14:paraId="68E346D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 xml:space="preserve">2,3,5-trimethylnaphthalene </w:t>
            </w:r>
          </w:p>
        </w:tc>
        <w:tc>
          <w:tcPr>
            <w:tcW w:w="2350" w:type="dxa"/>
            <w:tcBorders>
              <w:top w:val="nil"/>
              <w:left w:val="nil"/>
              <w:bottom w:val="nil"/>
              <w:right w:val="nil"/>
            </w:tcBorders>
            <w:shd w:val="clear" w:color="auto" w:fill="auto"/>
            <w:vAlign w:val="center"/>
            <w:hideMark/>
          </w:tcPr>
          <w:p w14:paraId="7222D20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Beta BHC</w:t>
            </w:r>
          </w:p>
        </w:tc>
        <w:tc>
          <w:tcPr>
            <w:tcW w:w="4050" w:type="dxa"/>
            <w:tcBorders>
              <w:top w:val="nil"/>
              <w:left w:val="nil"/>
              <w:bottom w:val="nil"/>
              <w:right w:val="nil"/>
            </w:tcBorders>
            <w:shd w:val="clear" w:color="auto" w:fill="auto"/>
            <w:vAlign w:val="center"/>
            <w:hideMark/>
          </w:tcPr>
          <w:p w14:paraId="3CDFF11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18       2,2',5-trichlorobiphenyl</w:t>
            </w:r>
          </w:p>
        </w:tc>
      </w:tr>
      <w:tr w:rsidR="00C90CEE" w:rsidRPr="00C90CEE" w14:paraId="11506250" w14:textId="77777777" w:rsidTr="00C90CEE">
        <w:trPr>
          <w:trHeight w:val="255"/>
          <w:jc w:val="center"/>
        </w:trPr>
        <w:tc>
          <w:tcPr>
            <w:tcW w:w="2505" w:type="dxa"/>
            <w:tcBorders>
              <w:top w:val="nil"/>
              <w:left w:val="nil"/>
              <w:bottom w:val="nil"/>
              <w:right w:val="nil"/>
            </w:tcBorders>
            <w:shd w:val="clear" w:color="auto" w:fill="auto"/>
            <w:vAlign w:val="center"/>
            <w:hideMark/>
          </w:tcPr>
          <w:p w14:paraId="2A4B1DF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2,6-dimethylnaphthalene</w:t>
            </w:r>
          </w:p>
        </w:tc>
        <w:tc>
          <w:tcPr>
            <w:tcW w:w="2350" w:type="dxa"/>
            <w:tcBorders>
              <w:top w:val="nil"/>
              <w:left w:val="nil"/>
              <w:bottom w:val="nil"/>
              <w:right w:val="nil"/>
            </w:tcBorders>
            <w:shd w:val="clear" w:color="auto" w:fill="auto"/>
            <w:vAlign w:val="center"/>
            <w:hideMark/>
          </w:tcPr>
          <w:p w14:paraId="1EC8D61C"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Delta-BHC</w:t>
            </w:r>
          </w:p>
        </w:tc>
        <w:tc>
          <w:tcPr>
            <w:tcW w:w="4050" w:type="dxa"/>
            <w:tcBorders>
              <w:top w:val="nil"/>
              <w:left w:val="nil"/>
              <w:bottom w:val="nil"/>
              <w:right w:val="nil"/>
            </w:tcBorders>
            <w:shd w:val="clear" w:color="auto" w:fill="auto"/>
            <w:vAlign w:val="center"/>
            <w:hideMark/>
          </w:tcPr>
          <w:p w14:paraId="19CABA0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28       2,4,4'-trichlorobiphenyl</w:t>
            </w:r>
          </w:p>
        </w:tc>
      </w:tr>
      <w:tr w:rsidR="00C90CEE" w:rsidRPr="00C90CEE" w14:paraId="7E6782B5" w14:textId="77777777" w:rsidTr="00C90CEE">
        <w:trPr>
          <w:trHeight w:val="255"/>
          <w:jc w:val="center"/>
        </w:trPr>
        <w:tc>
          <w:tcPr>
            <w:tcW w:w="2505" w:type="dxa"/>
            <w:tcBorders>
              <w:top w:val="nil"/>
              <w:left w:val="nil"/>
              <w:bottom w:val="nil"/>
              <w:right w:val="nil"/>
            </w:tcBorders>
            <w:shd w:val="clear" w:color="auto" w:fill="auto"/>
            <w:vAlign w:val="center"/>
            <w:hideMark/>
          </w:tcPr>
          <w:p w14:paraId="53D8458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2-methylnaphthalene</w:t>
            </w:r>
          </w:p>
        </w:tc>
        <w:tc>
          <w:tcPr>
            <w:tcW w:w="2350" w:type="dxa"/>
            <w:tcBorders>
              <w:top w:val="nil"/>
              <w:left w:val="nil"/>
              <w:bottom w:val="nil"/>
              <w:right w:val="nil"/>
            </w:tcBorders>
            <w:shd w:val="clear" w:color="auto" w:fill="auto"/>
            <w:vAlign w:val="center"/>
            <w:hideMark/>
          </w:tcPr>
          <w:p w14:paraId="2AEFCA7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Gamma-BHC (Lindane)</w:t>
            </w:r>
          </w:p>
        </w:tc>
        <w:tc>
          <w:tcPr>
            <w:tcW w:w="4050" w:type="dxa"/>
            <w:tcBorders>
              <w:top w:val="nil"/>
              <w:left w:val="nil"/>
              <w:bottom w:val="nil"/>
              <w:right w:val="nil"/>
            </w:tcBorders>
            <w:shd w:val="clear" w:color="auto" w:fill="auto"/>
            <w:vAlign w:val="center"/>
            <w:hideMark/>
          </w:tcPr>
          <w:p w14:paraId="4C373E8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44       2,2',3,5'-tetrachlorobiphenyl</w:t>
            </w:r>
          </w:p>
        </w:tc>
      </w:tr>
      <w:tr w:rsidR="00C90CEE" w:rsidRPr="00C90CEE" w14:paraId="33949EE1" w14:textId="77777777" w:rsidTr="00C90CEE">
        <w:trPr>
          <w:trHeight w:val="255"/>
          <w:jc w:val="center"/>
        </w:trPr>
        <w:tc>
          <w:tcPr>
            <w:tcW w:w="2505" w:type="dxa"/>
            <w:tcBorders>
              <w:top w:val="nil"/>
              <w:left w:val="nil"/>
              <w:bottom w:val="nil"/>
              <w:right w:val="nil"/>
            </w:tcBorders>
            <w:shd w:val="clear" w:color="auto" w:fill="auto"/>
            <w:vAlign w:val="center"/>
            <w:hideMark/>
          </w:tcPr>
          <w:p w14:paraId="640E51A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Acenaphthene</w:t>
            </w:r>
          </w:p>
        </w:tc>
        <w:tc>
          <w:tcPr>
            <w:tcW w:w="2350" w:type="dxa"/>
            <w:tcBorders>
              <w:top w:val="nil"/>
              <w:left w:val="nil"/>
              <w:bottom w:val="nil"/>
              <w:right w:val="nil"/>
            </w:tcBorders>
            <w:shd w:val="clear" w:color="auto" w:fill="auto"/>
            <w:vAlign w:val="center"/>
            <w:hideMark/>
          </w:tcPr>
          <w:p w14:paraId="145ECC0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Alpha-Chlordane</w:t>
            </w:r>
          </w:p>
        </w:tc>
        <w:tc>
          <w:tcPr>
            <w:tcW w:w="4050" w:type="dxa"/>
            <w:tcBorders>
              <w:top w:val="nil"/>
              <w:left w:val="nil"/>
              <w:bottom w:val="nil"/>
              <w:right w:val="nil"/>
            </w:tcBorders>
            <w:shd w:val="clear" w:color="auto" w:fill="auto"/>
            <w:vAlign w:val="center"/>
            <w:hideMark/>
          </w:tcPr>
          <w:p w14:paraId="13C62560"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52       2,2',5,5'-tetrachlorobiphenyl</w:t>
            </w:r>
          </w:p>
        </w:tc>
      </w:tr>
      <w:tr w:rsidR="00C90CEE" w:rsidRPr="00C90CEE" w14:paraId="28942F31" w14:textId="77777777" w:rsidTr="00C90CEE">
        <w:trPr>
          <w:trHeight w:val="255"/>
          <w:jc w:val="center"/>
        </w:trPr>
        <w:tc>
          <w:tcPr>
            <w:tcW w:w="2505" w:type="dxa"/>
            <w:tcBorders>
              <w:top w:val="nil"/>
              <w:left w:val="nil"/>
              <w:bottom w:val="nil"/>
              <w:right w:val="nil"/>
            </w:tcBorders>
            <w:shd w:val="clear" w:color="auto" w:fill="auto"/>
            <w:vAlign w:val="center"/>
            <w:hideMark/>
          </w:tcPr>
          <w:p w14:paraId="679FF0C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Acenaphthylene</w:t>
            </w:r>
          </w:p>
        </w:tc>
        <w:tc>
          <w:tcPr>
            <w:tcW w:w="2350" w:type="dxa"/>
            <w:tcBorders>
              <w:top w:val="nil"/>
              <w:left w:val="nil"/>
              <w:bottom w:val="nil"/>
              <w:right w:val="nil"/>
            </w:tcBorders>
            <w:shd w:val="clear" w:color="auto" w:fill="auto"/>
            <w:vAlign w:val="center"/>
            <w:hideMark/>
          </w:tcPr>
          <w:p w14:paraId="7DE4263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Gamma-Chlordane</w:t>
            </w:r>
          </w:p>
        </w:tc>
        <w:tc>
          <w:tcPr>
            <w:tcW w:w="4050" w:type="dxa"/>
            <w:tcBorders>
              <w:top w:val="nil"/>
              <w:left w:val="nil"/>
              <w:bottom w:val="nil"/>
              <w:right w:val="nil"/>
            </w:tcBorders>
            <w:shd w:val="clear" w:color="auto" w:fill="auto"/>
            <w:vAlign w:val="center"/>
            <w:hideMark/>
          </w:tcPr>
          <w:p w14:paraId="349A900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66       2,3',4,4'-tetrachlorobiphenyl</w:t>
            </w:r>
          </w:p>
        </w:tc>
      </w:tr>
      <w:tr w:rsidR="00C90CEE" w:rsidRPr="00C90CEE" w14:paraId="14255F49" w14:textId="77777777" w:rsidTr="00C90CEE">
        <w:trPr>
          <w:trHeight w:val="255"/>
          <w:jc w:val="center"/>
        </w:trPr>
        <w:tc>
          <w:tcPr>
            <w:tcW w:w="2505" w:type="dxa"/>
            <w:tcBorders>
              <w:top w:val="nil"/>
              <w:left w:val="nil"/>
              <w:bottom w:val="nil"/>
              <w:right w:val="nil"/>
            </w:tcBorders>
            <w:shd w:val="clear" w:color="auto" w:fill="auto"/>
            <w:vAlign w:val="center"/>
            <w:hideMark/>
          </w:tcPr>
          <w:p w14:paraId="57E32BB0"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Anthracene</w:t>
            </w:r>
          </w:p>
        </w:tc>
        <w:tc>
          <w:tcPr>
            <w:tcW w:w="2350" w:type="dxa"/>
            <w:tcBorders>
              <w:top w:val="nil"/>
              <w:left w:val="nil"/>
              <w:bottom w:val="nil"/>
              <w:right w:val="nil"/>
            </w:tcBorders>
            <w:shd w:val="clear" w:color="auto" w:fill="auto"/>
            <w:vAlign w:val="center"/>
            <w:hideMark/>
          </w:tcPr>
          <w:p w14:paraId="410FE45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Dieldrin</w:t>
            </w:r>
          </w:p>
        </w:tc>
        <w:tc>
          <w:tcPr>
            <w:tcW w:w="4050" w:type="dxa"/>
            <w:tcBorders>
              <w:top w:val="nil"/>
              <w:left w:val="nil"/>
              <w:bottom w:val="nil"/>
              <w:right w:val="nil"/>
            </w:tcBorders>
            <w:shd w:val="clear" w:color="auto" w:fill="auto"/>
            <w:vAlign w:val="center"/>
            <w:hideMark/>
          </w:tcPr>
          <w:p w14:paraId="19B6C80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77       3,3',4,4'-tetrachlorobiphenyl</w:t>
            </w:r>
          </w:p>
        </w:tc>
      </w:tr>
      <w:tr w:rsidR="00C90CEE" w:rsidRPr="00C90CEE" w14:paraId="24625B57" w14:textId="77777777" w:rsidTr="00C90CEE">
        <w:trPr>
          <w:trHeight w:val="255"/>
          <w:jc w:val="center"/>
        </w:trPr>
        <w:tc>
          <w:tcPr>
            <w:tcW w:w="2505" w:type="dxa"/>
            <w:tcBorders>
              <w:top w:val="nil"/>
              <w:left w:val="nil"/>
              <w:bottom w:val="nil"/>
              <w:right w:val="nil"/>
            </w:tcBorders>
            <w:shd w:val="clear" w:color="auto" w:fill="auto"/>
            <w:vAlign w:val="center"/>
            <w:hideMark/>
          </w:tcPr>
          <w:p w14:paraId="78C52EB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Benz(a)anthracene</w:t>
            </w:r>
          </w:p>
        </w:tc>
        <w:tc>
          <w:tcPr>
            <w:tcW w:w="2350" w:type="dxa"/>
            <w:tcBorders>
              <w:top w:val="nil"/>
              <w:left w:val="nil"/>
              <w:bottom w:val="nil"/>
              <w:right w:val="nil"/>
            </w:tcBorders>
            <w:shd w:val="clear" w:color="auto" w:fill="auto"/>
            <w:vAlign w:val="center"/>
            <w:hideMark/>
          </w:tcPr>
          <w:p w14:paraId="3F9DE8F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Endosulfan I</w:t>
            </w:r>
          </w:p>
        </w:tc>
        <w:tc>
          <w:tcPr>
            <w:tcW w:w="4050" w:type="dxa"/>
            <w:tcBorders>
              <w:top w:val="nil"/>
              <w:left w:val="nil"/>
              <w:bottom w:val="nil"/>
              <w:right w:val="nil"/>
            </w:tcBorders>
            <w:shd w:val="clear" w:color="auto" w:fill="auto"/>
            <w:vAlign w:val="center"/>
            <w:hideMark/>
          </w:tcPr>
          <w:p w14:paraId="280008E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101      2,2',4,5,5'-pentachlorobiphenyl</w:t>
            </w:r>
          </w:p>
        </w:tc>
      </w:tr>
      <w:tr w:rsidR="00C90CEE" w:rsidRPr="00C90CEE" w14:paraId="6B5FA70D" w14:textId="77777777" w:rsidTr="00C90CEE">
        <w:trPr>
          <w:trHeight w:val="255"/>
          <w:jc w:val="center"/>
        </w:trPr>
        <w:tc>
          <w:tcPr>
            <w:tcW w:w="2505" w:type="dxa"/>
            <w:tcBorders>
              <w:top w:val="nil"/>
              <w:left w:val="nil"/>
              <w:bottom w:val="nil"/>
              <w:right w:val="nil"/>
            </w:tcBorders>
            <w:shd w:val="clear" w:color="auto" w:fill="auto"/>
            <w:vAlign w:val="center"/>
            <w:hideMark/>
          </w:tcPr>
          <w:p w14:paraId="6C56CEC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Benzo(b)fluoranthene</w:t>
            </w:r>
          </w:p>
        </w:tc>
        <w:tc>
          <w:tcPr>
            <w:tcW w:w="2350" w:type="dxa"/>
            <w:tcBorders>
              <w:top w:val="nil"/>
              <w:left w:val="nil"/>
              <w:bottom w:val="nil"/>
              <w:right w:val="nil"/>
            </w:tcBorders>
            <w:shd w:val="clear" w:color="auto" w:fill="auto"/>
            <w:vAlign w:val="center"/>
            <w:hideMark/>
          </w:tcPr>
          <w:p w14:paraId="59478EA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Endosulfan II</w:t>
            </w:r>
          </w:p>
        </w:tc>
        <w:tc>
          <w:tcPr>
            <w:tcW w:w="4050" w:type="dxa"/>
            <w:tcBorders>
              <w:top w:val="nil"/>
              <w:left w:val="nil"/>
              <w:bottom w:val="nil"/>
              <w:right w:val="nil"/>
            </w:tcBorders>
            <w:shd w:val="clear" w:color="auto" w:fill="auto"/>
            <w:vAlign w:val="center"/>
            <w:hideMark/>
          </w:tcPr>
          <w:p w14:paraId="29382E9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105      2,3,3',4,4'-pentachlorobiphenyl</w:t>
            </w:r>
          </w:p>
        </w:tc>
      </w:tr>
      <w:tr w:rsidR="00C90CEE" w:rsidRPr="00C90CEE" w14:paraId="7AD0A70F" w14:textId="77777777" w:rsidTr="00C90CEE">
        <w:trPr>
          <w:trHeight w:val="255"/>
          <w:jc w:val="center"/>
        </w:trPr>
        <w:tc>
          <w:tcPr>
            <w:tcW w:w="2505" w:type="dxa"/>
            <w:tcBorders>
              <w:top w:val="nil"/>
              <w:left w:val="nil"/>
              <w:bottom w:val="nil"/>
              <w:right w:val="nil"/>
            </w:tcBorders>
            <w:shd w:val="clear" w:color="auto" w:fill="auto"/>
            <w:vAlign w:val="center"/>
            <w:hideMark/>
          </w:tcPr>
          <w:p w14:paraId="4F987BE8"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Benzo(a)pyrene Benzo(e)pyrene</w:t>
            </w:r>
          </w:p>
        </w:tc>
        <w:tc>
          <w:tcPr>
            <w:tcW w:w="2350" w:type="dxa"/>
            <w:tcBorders>
              <w:top w:val="nil"/>
              <w:left w:val="nil"/>
              <w:bottom w:val="nil"/>
              <w:right w:val="nil"/>
            </w:tcBorders>
            <w:shd w:val="clear" w:color="auto" w:fill="auto"/>
            <w:vAlign w:val="center"/>
            <w:hideMark/>
          </w:tcPr>
          <w:p w14:paraId="27D6598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Endosulfan sulfate</w:t>
            </w:r>
          </w:p>
        </w:tc>
        <w:tc>
          <w:tcPr>
            <w:tcW w:w="4050" w:type="dxa"/>
            <w:tcBorders>
              <w:top w:val="nil"/>
              <w:left w:val="nil"/>
              <w:bottom w:val="nil"/>
              <w:right w:val="nil"/>
            </w:tcBorders>
            <w:shd w:val="clear" w:color="auto" w:fill="auto"/>
            <w:vAlign w:val="center"/>
            <w:hideMark/>
          </w:tcPr>
          <w:p w14:paraId="65369A7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110      2,3,3',4',6-pentachlorobiphenyl</w:t>
            </w:r>
          </w:p>
        </w:tc>
      </w:tr>
      <w:tr w:rsidR="00C90CEE" w:rsidRPr="00C90CEE" w14:paraId="1F862DB2" w14:textId="77777777" w:rsidTr="00C90CEE">
        <w:trPr>
          <w:trHeight w:val="255"/>
          <w:jc w:val="center"/>
        </w:trPr>
        <w:tc>
          <w:tcPr>
            <w:tcW w:w="2505" w:type="dxa"/>
            <w:tcBorders>
              <w:top w:val="nil"/>
              <w:left w:val="nil"/>
              <w:bottom w:val="nil"/>
              <w:right w:val="nil"/>
            </w:tcBorders>
            <w:shd w:val="clear" w:color="auto" w:fill="auto"/>
            <w:vAlign w:val="center"/>
            <w:hideMark/>
          </w:tcPr>
          <w:p w14:paraId="31A5F6D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Benzo(g,h,i)perylene</w:t>
            </w:r>
          </w:p>
        </w:tc>
        <w:tc>
          <w:tcPr>
            <w:tcW w:w="2350" w:type="dxa"/>
            <w:tcBorders>
              <w:top w:val="nil"/>
              <w:left w:val="nil"/>
              <w:bottom w:val="nil"/>
              <w:right w:val="nil"/>
            </w:tcBorders>
            <w:shd w:val="clear" w:color="auto" w:fill="auto"/>
            <w:vAlign w:val="center"/>
            <w:hideMark/>
          </w:tcPr>
          <w:p w14:paraId="46FC656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Endrin</w:t>
            </w:r>
          </w:p>
        </w:tc>
        <w:tc>
          <w:tcPr>
            <w:tcW w:w="4050" w:type="dxa"/>
            <w:tcBorders>
              <w:top w:val="nil"/>
              <w:left w:val="nil"/>
              <w:bottom w:val="nil"/>
              <w:right w:val="nil"/>
            </w:tcBorders>
            <w:shd w:val="clear" w:color="auto" w:fill="auto"/>
            <w:vAlign w:val="center"/>
            <w:hideMark/>
          </w:tcPr>
          <w:p w14:paraId="5BCB40EA"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118      2,3,4,4',5-pentachlorobiphenyl</w:t>
            </w:r>
          </w:p>
        </w:tc>
      </w:tr>
      <w:tr w:rsidR="00C90CEE" w:rsidRPr="00C90CEE" w14:paraId="739D70BF" w14:textId="77777777" w:rsidTr="00C90CEE">
        <w:trPr>
          <w:trHeight w:val="255"/>
          <w:jc w:val="center"/>
        </w:trPr>
        <w:tc>
          <w:tcPr>
            <w:tcW w:w="2505" w:type="dxa"/>
            <w:tcBorders>
              <w:top w:val="nil"/>
              <w:left w:val="nil"/>
              <w:bottom w:val="nil"/>
              <w:right w:val="nil"/>
            </w:tcBorders>
            <w:shd w:val="clear" w:color="auto" w:fill="auto"/>
            <w:vAlign w:val="center"/>
            <w:hideMark/>
          </w:tcPr>
          <w:p w14:paraId="7993D39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Benzo(k)fluoranthene</w:t>
            </w:r>
          </w:p>
        </w:tc>
        <w:tc>
          <w:tcPr>
            <w:tcW w:w="2350" w:type="dxa"/>
            <w:tcBorders>
              <w:top w:val="nil"/>
              <w:left w:val="nil"/>
              <w:bottom w:val="nil"/>
              <w:right w:val="nil"/>
            </w:tcBorders>
            <w:shd w:val="clear" w:color="auto" w:fill="auto"/>
            <w:vAlign w:val="center"/>
            <w:hideMark/>
          </w:tcPr>
          <w:p w14:paraId="37291E1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Endrin Aldehyde</w:t>
            </w:r>
          </w:p>
        </w:tc>
        <w:tc>
          <w:tcPr>
            <w:tcW w:w="4050" w:type="dxa"/>
            <w:tcBorders>
              <w:top w:val="nil"/>
              <w:left w:val="nil"/>
              <w:bottom w:val="nil"/>
              <w:right w:val="nil"/>
            </w:tcBorders>
            <w:shd w:val="clear" w:color="auto" w:fill="auto"/>
            <w:vAlign w:val="center"/>
            <w:hideMark/>
          </w:tcPr>
          <w:p w14:paraId="3F74819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126      3,3,4,4',5-pentachlorobiphenyl</w:t>
            </w:r>
          </w:p>
        </w:tc>
      </w:tr>
      <w:tr w:rsidR="00C90CEE" w:rsidRPr="00C90CEE" w14:paraId="767D77E1" w14:textId="77777777" w:rsidTr="00C90CEE">
        <w:trPr>
          <w:trHeight w:val="255"/>
          <w:jc w:val="center"/>
        </w:trPr>
        <w:tc>
          <w:tcPr>
            <w:tcW w:w="2505" w:type="dxa"/>
            <w:tcBorders>
              <w:top w:val="nil"/>
              <w:left w:val="nil"/>
              <w:bottom w:val="nil"/>
              <w:right w:val="nil"/>
            </w:tcBorders>
            <w:shd w:val="clear" w:color="auto" w:fill="auto"/>
            <w:vAlign w:val="center"/>
            <w:hideMark/>
          </w:tcPr>
          <w:p w14:paraId="79FB543B"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Chrysene</w:t>
            </w:r>
          </w:p>
        </w:tc>
        <w:tc>
          <w:tcPr>
            <w:tcW w:w="2350" w:type="dxa"/>
            <w:tcBorders>
              <w:top w:val="nil"/>
              <w:left w:val="nil"/>
              <w:bottom w:val="nil"/>
              <w:right w:val="nil"/>
            </w:tcBorders>
            <w:shd w:val="clear" w:color="auto" w:fill="auto"/>
            <w:vAlign w:val="center"/>
            <w:hideMark/>
          </w:tcPr>
          <w:p w14:paraId="39DB5D9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Endrin Ketone</w:t>
            </w:r>
          </w:p>
        </w:tc>
        <w:tc>
          <w:tcPr>
            <w:tcW w:w="4050" w:type="dxa"/>
            <w:tcBorders>
              <w:top w:val="nil"/>
              <w:left w:val="nil"/>
              <w:bottom w:val="nil"/>
              <w:right w:val="nil"/>
            </w:tcBorders>
            <w:shd w:val="clear" w:color="auto" w:fill="auto"/>
            <w:vAlign w:val="center"/>
            <w:hideMark/>
          </w:tcPr>
          <w:p w14:paraId="2FA20A9A"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128      2,2',3,3',4,4'-hexachlorobiphenyl</w:t>
            </w:r>
          </w:p>
        </w:tc>
      </w:tr>
      <w:tr w:rsidR="00C90CEE" w:rsidRPr="00C90CEE" w14:paraId="432A9BFA" w14:textId="77777777" w:rsidTr="00C90CEE">
        <w:trPr>
          <w:trHeight w:val="255"/>
          <w:jc w:val="center"/>
        </w:trPr>
        <w:tc>
          <w:tcPr>
            <w:tcW w:w="2505" w:type="dxa"/>
            <w:tcBorders>
              <w:top w:val="nil"/>
              <w:left w:val="nil"/>
              <w:bottom w:val="nil"/>
              <w:right w:val="nil"/>
            </w:tcBorders>
            <w:shd w:val="clear" w:color="auto" w:fill="auto"/>
            <w:vAlign w:val="center"/>
            <w:hideMark/>
          </w:tcPr>
          <w:p w14:paraId="466CECF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Dibenz(a,h)anthracene</w:t>
            </w:r>
          </w:p>
        </w:tc>
        <w:tc>
          <w:tcPr>
            <w:tcW w:w="2350" w:type="dxa"/>
            <w:tcBorders>
              <w:top w:val="nil"/>
              <w:left w:val="nil"/>
              <w:bottom w:val="nil"/>
              <w:right w:val="nil"/>
            </w:tcBorders>
            <w:shd w:val="clear" w:color="auto" w:fill="auto"/>
            <w:vAlign w:val="center"/>
            <w:hideMark/>
          </w:tcPr>
          <w:p w14:paraId="5BCAE3A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Heptachlor</w:t>
            </w:r>
          </w:p>
        </w:tc>
        <w:tc>
          <w:tcPr>
            <w:tcW w:w="4050" w:type="dxa"/>
            <w:tcBorders>
              <w:top w:val="nil"/>
              <w:left w:val="nil"/>
              <w:bottom w:val="nil"/>
              <w:right w:val="nil"/>
            </w:tcBorders>
            <w:shd w:val="clear" w:color="auto" w:fill="auto"/>
            <w:vAlign w:val="center"/>
            <w:hideMark/>
          </w:tcPr>
          <w:p w14:paraId="118C01B8"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138      2,2',3,4,4',5'-hexachlorobiphenyl</w:t>
            </w:r>
          </w:p>
        </w:tc>
      </w:tr>
      <w:tr w:rsidR="00C90CEE" w:rsidRPr="00C90CEE" w14:paraId="5787307B" w14:textId="77777777" w:rsidTr="00C90CEE">
        <w:trPr>
          <w:trHeight w:val="255"/>
          <w:jc w:val="center"/>
        </w:trPr>
        <w:tc>
          <w:tcPr>
            <w:tcW w:w="2505" w:type="dxa"/>
            <w:tcBorders>
              <w:top w:val="nil"/>
              <w:left w:val="nil"/>
              <w:bottom w:val="nil"/>
              <w:right w:val="nil"/>
            </w:tcBorders>
            <w:shd w:val="clear" w:color="auto" w:fill="auto"/>
            <w:vAlign w:val="center"/>
            <w:hideMark/>
          </w:tcPr>
          <w:p w14:paraId="54AE9F2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Fluoranthene</w:t>
            </w:r>
          </w:p>
        </w:tc>
        <w:tc>
          <w:tcPr>
            <w:tcW w:w="2350" w:type="dxa"/>
            <w:tcBorders>
              <w:top w:val="nil"/>
              <w:left w:val="nil"/>
              <w:bottom w:val="nil"/>
              <w:right w:val="nil"/>
            </w:tcBorders>
            <w:shd w:val="clear" w:color="auto" w:fill="auto"/>
            <w:vAlign w:val="center"/>
            <w:hideMark/>
          </w:tcPr>
          <w:p w14:paraId="4A1BC8F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Heptachlor epoxide</w:t>
            </w:r>
          </w:p>
        </w:tc>
        <w:tc>
          <w:tcPr>
            <w:tcW w:w="4050" w:type="dxa"/>
            <w:tcBorders>
              <w:top w:val="nil"/>
              <w:left w:val="nil"/>
              <w:bottom w:val="nil"/>
              <w:right w:val="nil"/>
            </w:tcBorders>
            <w:shd w:val="clear" w:color="auto" w:fill="auto"/>
            <w:vAlign w:val="center"/>
            <w:hideMark/>
          </w:tcPr>
          <w:p w14:paraId="26F9C85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153      2,2',4,4',5,5'-hexachlorobiphenyl</w:t>
            </w:r>
          </w:p>
        </w:tc>
      </w:tr>
      <w:tr w:rsidR="00C90CEE" w:rsidRPr="00C90CEE" w14:paraId="079D92C2" w14:textId="77777777" w:rsidTr="00C90CEE">
        <w:trPr>
          <w:trHeight w:val="255"/>
          <w:jc w:val="center"/>
        </w:trPr>
        <w:tc>
          <w:tcPr>
            <w:tcW w:w="2505" w:type="dxa"/>
            <w:tcBorders>
              <w:top w:val="nil"/>
              <w:left w:val="nil"/>
              <w:bottom w:val="nil"/>
              <w:right w:val="nil"/>
            </w:tcBorders>
            <w:shd w:val="clear" w:color="auto" w:fill="auto"/>
            <w:vAlign w:val="center"/>
            <w:hideMark/>
          </w:tcPr>
          <w:p w14:paraId="785BC31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Fluorene</w:t>
            </w:r>
          </w:p>
        </w:tc>
        <w:tc>
          <w:tcPr>
            <w:tcW w:w="2350" w:type="dxa"/>
            <w:tcBorders>
              <w:top w:val="nil"/>
              <w:left w:val="nil"/>
              <w:bottom w:val="nil"/>
              <w:right w:val="nil"/>
            </w:tcBorders>
            <w:shd w:val="clear" w:color="auto" w:fill="auto"/>
            <w:vAlign w:val="center"/>
            <w:hideMark/>
          </w:tcPr>
          <w:p w14:paraId="73580C1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Hexachlorobenzene</w:t>
            </w:r>
          </w:p>
        </w:tc>
        <w:tc>
          <w:tcPr>
            <w:tcW w:w="4050" w:type="dxa"/>
            <w:tcBorders>
              <w:top w:val="nil"/>
              <w:left w:val="nil"/>
              <w:bottom w:val="nil"/>
              <w:right w:val="nil"/>
            </w:tcBorders>
            <w:shd w:val="clear" w:color="auto" w:fill="auto"/>
            <w:vAlign w:val="center"/>
            <w:hideMark/>
          </w:tcPr>
          <w:p w14:paraId="13D5AEB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170      2,2',3,3',4,4',5 heptachlorobiphenyl</w:t>
            </w:r>
          </w:p>
        </w:tc>
      </w:tr>
      <w:tr w:rsidR="00C90CEE" w:rsidRPr="00C90CEE" w14:paraId="671102D4" w14:textId="77777777" w:rsidTr="00C90CEE">
        <w:trPr>
          <w:trHeight w:val="255"/>
          <w:jc w:val="center"/>
        </w:trPr>
        <w:tc>
          <w:tcPr>
            <w:tcW w:w="2505" w:type="dxa"/>
            <w:tcBorders>
              <w:top w:val="nil"/>
              <w:left w:val="nil"/>
              <w:bottom w:val="nil"/>
              <w:right w:val="nil"/>
            </w:tcBorders>
            <w:shd w:val="clear" w:color="auto" w:fill="auto"/>
            <w:vAlign w:val="center"/>
            <w:hideMark/>
          </w:tcPr>
          <w:p w14:paraId="4313C6E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Ideno(1,2,3-c,d)pyrene</w:t>
            </w:r>
          </w:p>
        </w:tc>
        <w:tc>
          <w:tcPr>
            <w:tcW w:w="2350" w:type="dxa"/>
            <w:tcBorders>
              <w:top w:val="nil"/>
              <w:left w:val="nil"/>
              <w:bottom w:val="nil"/>
              <w:right w:val="nil"/>
            </w:tcBorders>
            <w:shd w:val="clear" w:color="auto" w:fill="auto"/>
            <w:vAlign w:val="center"/>
            <w:hideMark/>
          </w:tcPr>
          <w:p w14:paraId="68C1C4F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Mirex</w:t>
            </w:r>
          </w:p>
        </w:tc>
        <w:tc>
          <w:tcPr>
            <w:tcW w:w="4050" w:type="dxa"/>
            <w:tcBorders>
              <w:top w:val="nil"/>
              <w:left w:val="nil"/>
              <w:bottom w:val="nil"/>
              <w:right w:val="nil"/>
            </w:tcBorders>
            <w:shd w:val="clear" w:color="auto" w:fill="auto"/>
            <w:vAlign w:val="center"/>
            <w:hideMark/>
          </w:tcPr>
          <w:p w14:paraId="6CADEAA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180      2,2',3,4,4',5,5'-heptachlorobiphenyl</w:t>
            </w:r>
          </w:p>
        </w:tc>
      </w:tr>
      <w:tr w:rsidR="00C90CEE" w:rsidRPr="00C90CEE" w14:paraId="0EA01CEF" w14:textId="77777777" w:rsidTr="00C90CEE">
        <w:trPr>
          <w:trHeight w:val="255"/>
          <w:jc w:val="center"/>
        </w:trPr>
        <w:tc>
          <w:tcPr>
            <w:tcW w:w="2505" w:type="dxa"/>
            <w:tcBorders>
              <w:top w:val="nil"/>
              <w:left w:val="nil"/>
              <w:bottom w:val="nil"/>
              <w:right w:val="nil"/>
            </w:tcBorders>
            <w:shd w:val="clear" w:color="auto" w:fill="auto"/>
            <w:vAlign w:val="center"/>
            <w:hideMark/>
          </w:tcPr>
          <w:p w14:paraId="12A6755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Naphthalene</w:t>
            </w:r>
          </w:p>
        </w:tc>
        <w:tc>
          <w:tcPr>
            <w:tcW w:w="2350" w:type="dxa"/>
            <w:tcBorders>
              <w:top w:val="nil"/>
              <w:left w:val="nil"/>
              <w:bottom w:val="nil"/>
              <w:right w:val="nil"/>
            </w:tcBorders>
            <w:shd w:val="clear" w:color="auto" w:fill="auto"/>
            <w:vAlign w:val="center"/>
            <w:hideMark/>
          </w:tcPr>
          <w:p w14:paraId="16EFEA1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Oxychlordane</w:t>
            </w:r>
          </w:p>
        </w:tc>
        <w:tc>
          <w:tcPr>
            <w:tcW w:w="4050" w:type="dxa"/>
            <w:tcBorders>
              <w:top w:val="nil"/>
              <w:left w:val="nil"/>
              <w:bottom w:val="nil"/>
              <w:right w:val="nil"/>
            </w:tcBorders>
            <w:shd w:val="clear" w:color="auto" w:fill="auto"/>
            <w:vAlign w:val="center"/>
            <w:hideMark/>
          </w:tcPr>
          <w:p w14:paraId="0CF42E4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187      2,2',3,4',5,5',6-heptachlorobiphenyl</w:t>
            </w:r>
          </w:p>
        </w:tc>
      </w:tr>
      <w:tr w:rsidR="00C90CEE" w:rsidRPr="00C90CEE" w14:paraId="22C5BB27" w14:textId="77777777" w:rsidTr="00C90CEE">
        <w:trPr>
          <w:trHeight w:val="255"/>
          <w:jc w:val="center"/>
        </w:trPr>
        <w:tc>
          <w:tcPr>
            <w:tcW w:w="2505" w:type="dxa"/>
            <w:tcBorders>
              <w:top w:val="nil"/>
              <w:left w:val="nil"/>
              <w:bottom w:val="nil"/>
              <w:right w:val="nil"/>
            </w:tcBorders>
            <w:shd w:val="clear" w:color="auto" w:fill="auto"/>
            <w:vAlign w:val="center"/>
            <w:hideMark/>
          </w:tcPr>
          <w:p w14:paraId="2F82A6B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Perylene</w:t>
            </w:r>
          </w:p>
        </w:tc>
        <w:tc>
          <w:tcPr>
            <w:tcW w:w="2350" w:type="dxa"/>
            <w:tcBorders>
              <w:top w:val="nil"/>
              <w:left w:val="nil"/>
              <w:bottom w:val="nil"/>
              <w:right w:val="nil"/>
            </w:tcBorders>
            <w:shd w:val="clear" w:color="auto" w:fill="auto"/>
            <w:vAlign w:val="center"/>
            <w:hideMark/>
          </w:tcPr>
          <w:p w14:paraId="42425C3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Toxaphene</w:t>
            </w:r>
          </w:p>
        </w:tc>
        <w:tc>
          <w:tcPr>
            <w:tcW w:w="4050" w:type="dxa"/>
            <w:tcBorders>
              <w:top w:val="nil"/>
              <w:left w:val="nil"/>
              <w:bottom w:val="nil"/>
              <w:right w:val="nil"/>
            </w:tcBorders>
            <w:shd w:val="clear" w:color="auto" w:fill="auto"/>
            <w:vAlign w:val="center"/>
            <w:hideMark/>
          </w:tcPr>
          <w:p w14:paraId="06D7E054"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195      2,2',3,3',4,4',5,6-octachlorobiphenyl</w:t>
            </w:r>
          </w:p>
        </w:tc>
      </w:tr>
      <w:tr w:rsidR="00C90CEE" w:rsidRPr="00C90CEE" w14:paraId="07B9F092" w14:textId="77777777" w:rsidTr="00C90CEE">
        <w:trPr>
          <w:trHeight w:val="255"/>
          <w:jc w:val="center"/>
        </w:trPr>
        <w:tc>
          <w:tcPr>
            <w:tcW w:w="2505" w:type="dxa"/>
            <w:tcBorders>
              <w:top w:val="nil"/>
              <w:left w:val="nil"/>
              <w:bottom w:val="nil"/>
              <w:right w:val="nil"/>
            </w:tcBorders>
            <w:shd w:val="clear" w:color="auto" w:fill="auto"/>
            <w:vAlign w:val="center"/>
            <w:hideMark/>
          </w:tcPr>
          <w:p w14:paraId="16A9895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Phenanthrene</w:t>
            </w:r>
          </w:p>
        </w:tc>
        <w:tc>
          <w:tcPr>
            <w:tcW w:w="2350" w:type="dxa"/>
            <w:tcBorders>
              <w:top w:val="nil"/>
              <w:left w:val="nil"/>
              <w:bottom w:val="nil"/>
              <w:right w:val="nil"/>
            </w:tcBorders>
            <w:shd w:val="clear" w:color="auto" w:fill="auto"/>
            <w:vAlign w:val="center"/>
            <w:hideMark/>
          </w:tcPr>
          <w:p w14:paraId="0106444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Cis-Nonachlor</w:t>
            </w:r>
          </w:p>
        </w:tc>
        <w:tc>
          <w:tcPr>
            <w:tcW w:w="4050" w:type="dxa"/>
            <w:tcBorders>
              <w:top w:val="nil"/>
              <w:left w:val="nil"/>
              <w:bottom w:val="nil"/>
              <w:right w:val="nil"/>
            </w:tcBorders>
            <w:shd w:val="clear" w:color="auto" w:fill="auto"/>
            <w:vAlign w:val="center"/>
            <w:hideMark/>
          </w:tcPr>
          <w:p w14:paraId="6875BBF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206      2,2',3,3',4,4',5,5',6-nonachlorobiphenyl</w:t>
            </w:r>
          </w:p>
        </w:tc>
      </w:tr>
      <w:tr w:rsidR="00C90CEE" w:rsidRPr="00C90CEE" w14:paraId="32CC92F9" w14:textId="77777777" w:rsidTr="00C90CEE">
        <w:trPr>
          <w:trHeight w:val="255"/>
          <w:jc w:val="center"/>
        </w:trPr>
        <w:tc>
          <w:tcPr>
            <w:tcW w:w="2505" w:type="dxa"/>
            <w:tcBorders>
              <w:top w:val="nil"/>
              <w:left w:val="nil"/>
              <w:bottom w:val="nil"/>
              <w:right w:val="nil"/>
            </w:tcBorders>
            <w:shd w:val="clear" w:color="auto" w:fill="auto"/>
            <w:vAlign w:val="center"/>
            <w:hideMark/>
          </w:tcPr>
          <w:p w14:paraId="034EC23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Pyrene</w:t>
            </w:r>
          </w:p>
        </w:tc>
        <w:tc>
          <w:tcPr>
            <w:tcW w:w="2350" w:type="dxa"/>
            <w:tcBorders>
              <w:top w:val="nil"/>
              <w:left w:val="nil"/>
              <w:bottom w:val="nil"/>
              <w:right w:val="nil"/>
            </w:tcBorders>
            <w:shd w:val="clear" w:color="auto" w:fill="auto"/>
            <w:vAlign w:val="center"/>
            <w:hideMark/>
          </w:tcPr>
          <w:p w14:paraId="7F7CB1A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 xml:space="preserve">Trans-Nonachlor </w:t>
            </w:r>
          </w:p>
        </w:tc>
        <w:tc>
          <w:tcPr>
            <w:tcW w:w="4050" w:type="dxa"/>
            <w:tcBorders>
              <w:top w:val="nil"/>
              <w:left w:val="nil"/>
              <w:bottom w:val="nil"/>
              <w:right w:val="nil"/>
            </w:tcBorders>
            <w:shd w:val="clear" w:color="auto" w:fill="auto"/>
            <w:vAlign w:val="center"/>
            <w:hideMark/>
          </w:tcPr>
          <w:p w14:paraId="6DB779E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 xml:space="preserve">209      2,2'3,3',4,4',5,5',6,6'-decachlorobiphenyl                 </w:t>
            </w:r>
          </w:p>
        </w:tc>
      </w:tr>
      <w:tr w:rsidR="00C90CEE" w:rsidRPr="00C90CEE" w14:paraId="39F48579" w14:textId="77777777" w:rsidTr="00C90CEE">
        <w:trPr>
          <w:trHeight w:val="255"/>
          <w:jc w:val="center"/>
        </w:trPr>
        <w:tc>
          <w:tcPr>
            <w:tcW w:w="25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D2F1E44"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16 Trace Metals</w:t>
            </w:r>
          </w:p>
        </w:tc>
        <w:tc>
          <w:tcPr>
            <w:tcW w:w="2350" w:type="dxa"/>
            <w:tcBorders>
              <w:top w:val="single" w:sz="4" w:space="0" w:color="auto"/>
              <w:left w:val="nil"/>
              <w:bottom w:val="single" w:sz="4" w:space="0" w:color="auto"/>
              <w:right w:val="single" w:sz="4" w:space="0" w:color="auto"/>
            </w:tcBorders>
            <w:shd w:val="clear" w:color="000000" w:fill="E7E6E6"/>
            <w:vAlign w:val="center"/>
            <w:hideMark/>
          </w:tcPr>
          <w:p w14:paraId="43A8FF4E"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2 Semi-volatiles</w:t>
            </w:r>
          </w:p>
        </w:tc>
        <w:tc>
          <w:tcPr>
            <w:tcW w:w="4050" w:type="dxa"/>
            <w:tcBorders>
              <w:top w:val="nil"/>
              <w:left w:val="nil"/>
              <w:bottom w:val="nil"/>
              <w:right w:val="nil"/>
            </w:tcBorders>
            <w:shd w:val="clear" w:color="auto" w:fill="auto"/>
            <w:noWrap/>
            <w:vAlign w:val="bottom"/>
            <w:hideMark/>
          </w:tcPr>
          <w:p w14:paraId="45571CB1"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p>
        </w:tc>
      </w:tr>
      <w:tr w:rsidR="00C90CEE" w:rsidRPr="00C90CEE" w14:paraId="7DF2543F" w14:textId="77777777" w:rsidTr="00C90CEE">
        <w:trPr>
          <w:trHeight w:val="255"/>
          <w:jc w:val="center"/>
        </w:trPr>
        <w:tc>
          <w:tcPr>
            <w:tcW w:w="2505" w:type="dxa"/>
            <w:tcBorders>
              <w:top w:val="nil"/>
              <w:left w:val="nil"/>
              <w:bottom w:val="nil"/>
              <w:right w:val="nil"/>
            </w:tcBorders>
            <w:shd w:val="clear" w:color="auto" w:fill="auto"/>
            <w:vAlign w:val="center"/>
            <w:hideMark/>
          </w:tcPr>
          <w:p w14:paraId="74B13E42"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Aluminum</w:t>
            </w:r>
          </w:p>
        </w:tc>
        <w:tc>
          <w:tcPr>
            <w:tcW w:w="2350" w:type="dxa"/>
            <w:tcBorders>
              <w:top w:val="nil"/>
              <w:left w:val="nil"/>
              <w:bottom w:val="nil"/>
              <w:right w:val="nil"/>
            </w:tcBorders>
            <w:shd w:val="clear" w:color="auto" w:fill="auto"/>
            <w:vAlign w:val="center"/>
            <w:hideMark/>
          </w:tcPr>
          <w:p w14:paraId="4EAE58D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Biphenyl</w:t>
            </w:r>
          </w:p>
        </w:tc>
        <w:tc>
          <w:tcPr>
            <w:tcW w:w="4050" w:type="dxa"/>
            <w:tcBorders>
              <w:top w:val="nil"/>
              <w:left w:val="nil"/>
              <w:bottom w:val="nil"/>
              <w:right w:val="nil"/>
            </w:tcBorders>
            <w:shd w:val="clear" w:color="auto" w:fill="auto"/>
            <w:noWrap/>
            <w:vAlign w:val="bottom"/>
            <w:hideMark/>
          </w:tcPr>
          <w:p w14:paraId="1194364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4193CCF3" w14:textId="77777777" w:rsidTr="00C90CEE">
        <w:trPr>
          <w:trHeight w:val="255"/>
          <w:jc w:val="center"/>
        </w:trPr>
        <w:tc>
          <w:tcPr>
            <w:tcW w:w="2505" w:type="dxa"/>
            <w:tcBorders>
              <w:top w:val="nil"/>
              <w:left w:val="nil"/>
              <w:bottom w:val="nil"/>
              <w:right w:val="nil"/>
            </w:tcBorders>
            <w:shd w:val="clear" w:color="auto" w:fill="auto"/>
            <w:vAlign w:val="center"/>
            <w:hideMark/>
          </w:tcPr>
          <w:p w14:paraId="5496DFA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 xml:space="preserve">Antimony </w:t>
            </w:r>
          </w:p>
        </w:tc>
        <w:tc>
          <w:tcPr>
            <w:tcW w:w="2350" w:type="dxa"/>
            <w:tcBorders>
              <w:top w:val="nil"/>
              <w:left w:val="nil"/>
              <w:bottom w:val="nil"/>
              <w:right w:val="nil"/>
            </w:tcBorders>
            <w:shd w:val="clear" w:color="auto" w:fill="auto"/>
            <w:vAlign w:val="center"/>
            <w:hideMark/>
          </w:tcPr>
          <w:p w14:paraId="3B0F2A1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Dibenzothiophene</w:t>
            </w:r>
          </w:p>
        </w:tc>
        <w:tc>
          <w:tcPr>
            <w:tcW w:w="4050" w:type="dxa"/>
            <w:tcBorders>
              <w:top w:val="nil"/>
              <w:left w:val="nil"/>
              <w:bottom w:val="nil"/>
              <w:right w:val="nil"/>
            </w:tcBorders>
            <w:shd w:val="clear" w:color="auto" w:fill="auto"/>
            <w:noWrap/>
            <w:vAlign w:val="bottom"/>
            <w:hideMark/>
          </w:tcPr>
          <w:p w14:paraId="4FCE8A1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3A05F171" w14:textId="77777777" w:rsidTr="00C90CEE">
        <w:trPr>
          <w:trHeight w:val="300"/>
          <w:jc w:val="center"/>
        </w:trPr>
        <w:tc>
          <w:tcPr>
            <w:tcW w:w="2505" w:type="dxa"/>
            <w:tcBorders>
              <w:top w:val="nil"/>
              <w:left w:val="nil"/>
              <w:bottom w:val="nil"/>
              <w:right w:val="nil"/>
            </w:tcBorders>
            <w:shd w:val="clear" w:color="auto" w:fill="auto"/>
            <w:vAlign w:val="center"/>
            <w:hideMark/>
          </w:tcPr>
          <w:p w14:paraId="5E2A5C2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Arsenic</w:t>
            </w:r>
          </w:p>
        </w:tc>
        <w:tc>
          <w:tcPr>
            <w:tcW w:w="235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1DD76D"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8 DDT &amp; Derivatives</w:t>
            </w:r>
          </w:p>
        </w:tc>
        <w:tc>
          <w:tcPr>
            <w:tcW w:w="4050" w:type="dxa"/>
            <w:tcBorders>
              <w:top w:val="nil"/>
              <w:left w:val="nil"/>
              <w:bottom w:val="nil"/>
              <w:right w:val="nil"/>
            </w:tcBorders>
            <w:shd w:val="clear" w:color="auto" w:fill="auto"/>
            <w:noWrap/>
            <w:vAlign w:val="bottom"/>
            <w:hideMark/>
          </w:tcPr>
          <w:p w14:paraId="05DE3E3A"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p>
        </w:tc>
      </w:tr>
      <w:tr w:rsidR="00C90CEE" w:rsidRPr="00C90CEE" w14:paraId="79D484F0" w14:textId="77777777" w:rsidTr="00C90CEE">
        <w:trPr>
          <w:trHeight w:val="300"/>
          <w:jc w:val="center"/>
        </w:trPr>
        <w:tc>
          <w:tcPr>
            <w:tcW w:w="2505" w:type="dxa"/>
            <w:tcBorders>
              <w:top w:val="nil"/>
              <w:left w:val="nil"/>
              <w:bottom w:val="nil"/>
              <w:right w:val="nil"/>
            </w:tcBorders>
            <w:shd w:val="clear" w:color="auto" w:fill="auto"/>
            <w:vAlign w:val="center"/>
            <w:hideMark/>
          </w:tcPr>
          <w:p w14:paraId="110C42A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Cadmium</w:t>
            </w:r>
          </w:p>
        </w:tc>
        <w:tc>
          <w:tcPr>
            <w:tcW w:w="2350" w:type="dxa"/>
            <w:tcBorders>
              <w:top w:val="nil"/>
              <w:left w:val="nil"/>
              <w:bottom w:val="nil"/>
              <w:right w:val="nil"/>
            </w:tcBorders>
            <w:shd w:val="clear" w:color="auto" w:fill="auto"/>
            <w:vAlign w:val="center"/>
            <w:hideMark/>
          </w:tcPr>
          <w:p w14:paraId="1E651EB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2,4'-DDD</w:t>
            </w:r>
          </w:p>
        </w:tc>
        <w:tc>
          <w:tcPr>
            <w:tcW w:w="4050" w:type="dxa"/>
            <w:tcBorders>
              <w:top w:val="nil"/>
              <w:left w:val="nil"/>
              <w:bottom w:val="nil"/>
              <w:right w:val="nil"/>
            </w:tcBorders>
            <w:shd w:val="clear" w:color="auto" w:fill="auto"/>
            <w:vAlign w:val="center"/>
            <w:hideMark/>
          </w:tcPr>
          <w:p w14:paraId="285902F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0644CFA8" w14:textId="77777777" w:rsidTr="00C90CEE">
        <w:trPr>
          <w:trHeight w:val="300"/>
          <w:jc w:val="center"/>
        </w:trPr>
        <w:tc>
          <w:tcPr>
            <w:tcW w:w="2505" w:type="dxa"/>
            <w:tcBorders>
              <w:top w:val="nil"/>
              <w:left w:val="nil"/>
              <w:bottom w:val="nil"/>
              <w:right w:val="nil"/>
            </w:tcBorders>
            <w:shd w:val="clear" w:color="auto" w:fill="auto"/>
            <w:vAlign w:val="center"/>
            <w:hideMark/>
          </w:tcPr>
          <w:p w14:paraId="68FCF40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Chromium</w:t>
            </w:r>
          </w:p>
        </w:tc>
        <w:tc>
          <w:tcPr>
            <w:tcW w:w="2350" w:type="dxa"/>
            <w:tcBorders>
              <w:top w:val="nil"/>
              <w:left w:val="nil"/>
              <w:bottom w:val="nil"/>
              <w:right w:val="nil"/>
            </w:tcBorders>
            <w:shd w:val="clear" w:color="auto" w:fill="auto"/>
            <w:vAlign w:val="center"/>
            <w:hideMark/>
          </w:tcPr>
          <w:p w14:paraId="4B29BE47"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4,4'-DDD</w:t>
            </w:r>
          </w:p>
        </w:tc>
        <w:tc>
          <w:tcPr>
            <w:tcW w:w="4050" w:type="dxa"/>
            <w:tcBorders>
              <w:top w:val="nil"/>
              <w:left w:val="nil"/>
              <w:bottom w:val="nil"/>
              <w:right w:val="nil"/>
            </w:tcBorders>
            <w:shd w:val="clear" w:color="auto" w:fill="auto"/>
            <w:hideMark/>
          </w:tcPr>
          <w:p w14:paraId="1B75838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67878713" w14:textId="77777777" w:rsidTr="00C90CEE">
        <w:trPr>
          <w:trHeight w:val="300"/>
          <w:jc w:val="center"/>
        </w:trPr>
        <w:tc>
          <w:tcPr>
            <w:tcW w:w="2505" w:type="dxa"/>
            <w:tcBorders>
              <w:top w:val="nil"/>
              <w:left w:val="nil"/>
              <w:bottom w:val="nil"/>
              <w:right w:val="nil"/>
            </w:tcBorders>
            <w:shd w:val="clear" w:color="auto" w:fill="auto"/>
            <w:vAlign w:val="center"/>
            <w:hideMark/>
          </w:tcPr>
          <w:p w14:paraId="18DF172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Copper</w:t>
            </w:r>
          </w:p>
        </w:tc>
        <w:tc>
          <w:tcPr>
            <w:tcW w:w="2350" w:type="dxa"/>
            <w:tcBorders>
              <w:top w:val="nil"/>
              <w:left w:val="nil"/>
              <w:bottom w:val="nil"/>
              <w:right w:val="nil"/>
            </w:tcBorders>
            <w:shd w:val="clear" w:color="auto" w:fill="auto"/>
            <w:vAlign w:val="center"/>
            <w:hideMark/>
          </w:tcPr>
          <w:p w14:paraId="41890D90"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2,4'-DDE</w:t>
            </w:r>
          </w:p>
        </w:tc>
        <w:tc>
          <w:tcPr>
            <w:tcW w:w="4050" w:type="dxa"/>
            <w:tcBorders>
              <w:top w:val="nil"/>
              <w:left w:val="nil"/>
              <w:bottom w:val="nil"/>
              <w:right w:val="nil"/>
            </w:tcBorders>
            <w:shd w:val="clear" w:color="auto" w:fill="auto"/>
            <w:hideMark/>
          </w:tcPr>
          <w:p w14:paraId="41DA1C9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2C41FE4E" w14:textId="77777777" w:rsidTr="00C90CEE">
        <w:trPr>
          <w:trHeight w:val="300"/>
          <w:jc w:val="center"/>
        </w:trPr>
        <w:tc>
          <w:tcPr>
            <w:tcW w:w="2505" w:type="dxa"/>
            <w:tcBorders>
              <w:top w:val="nil"/>
              <w:left w:val="nil"/>
              <w:bottom w:val="nil"/>
              <w:right w:val="nil"/>
            </w:tcBorders>
            <w:shd w:val="clear" w:color="auto" w:fill="auto"/>
            <w:vAlign w:val="center"/>
            <w:hideMark/>
          </w:tcPr>
          <w:p w14:paraId="5555C2E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Iron</w:t>
            </w:r>
          </w:p>
        </w:tc>
        <w:tc>
          <w:tcPr>
            <w:tcW w:w="2350" w:type="dxa"/>
            <w:tcBorders>
              <w:top w:val="nil"/>
              <w:left w:val="nil"/>
              <w:bottom w:val="nil"/>
              <w:right w:val="nil"/>
            </w:tcBorders>
            <w:shd w:val="clear" w:color="auto" w:fill="auto"/>
            <w:vAlign w:val="center"/>
            <w:hideMark/>
          </w:tcPr>
          <w:p w14:paraId="56234AC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4,4'-DDE</w:t>
            </w:r>
          </w:p>
        </w:tc>
        <w:tc>
          <w:tcPr>
            <w:tcW w:w="4050" w:type="dxa"/>
            <w:tcBorders>
              <w:top w:val="nil"/>
              <w:left w:val="nil"/>
              <w:bottom w:val="nil"/>
              <w:right w:val="nil"/>
            </w:tcBorders>
            <w:shd w:val="clear" w:color="auto" w:fill="auto"/>
            <w:hideMark/>
          </w:tcPr>
          <w:p w14:paraId="22F8578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57C2DB8E" w14:textId="77777777" w:rsidTr="00C90CEE">
        <w:trPr>
          <w:trHeight w:val="300"/>
          <w:jc w:val="center"/>
        </w:trPr>
        <w:tc>
          <w:tcPr>
            <w:tcW w:w="2505" w:type="dxa"/>
            <w:tcBorders>
              <w:top w:val="nil"/>
              <w:left w:val="nil"/>
              <w:bottom w:val="nil"/>
              <w:right w:val="nil"/>
            </w:tcBorders>
            <w:shd w:val="clear" w:color="auto" w:fill="auto"/>
            <w:vAlign w:val="center"/>
            <w:hideMark/>
          </w:tcPr>
          <w:p w14:paraId="7AC5B54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Lead</w:t>
            </w:r>
          </w:p>
        </w:tc>
        <w:tc>
          <w:tcPr>
            <w:tcW w:w="2350" w:type="dxa"/>
            <w:tcBorders>
              <w:top w:val="nil"/>
              <w:left w:val="nil"/>
              <w:bottom w:val="nil"/>
              <w:right w:val="nil"/>
            </w:tcBorders>
            <w:shd w:val="clear" w:color="auto" w:fill="auto"/>
            <w:vAlign w:val="center"/>
            <w:hideMark/>
          </w:tcPr>
          <w:p w14:paraId="0DC82E7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2,4'-DDT</w:t>
            </w:r>
          </w:p>
        </w:tc>
        <w:tc>
          <w:tcPr>
            <w:tcW w:w="4050" w:type="dxa"/>
            <w:tcBorders>
              <w:top w:val="nil"/>
              <w:left w:val="nil"/>
              <w:bottom w:val="nil"/>
              <w:right w:val="nil"/>
            </w:tcBorders>
            <w:shd w:val="clear" w:color="auto" w:fill="auto"/>
            <w:hideMark/>
          </w:tcPr>
          <w:p w14:paraId="53AABA88"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4852E79C" w14:textId="77777777" w:rsidTr="00C90CEE">
        <w:trPr>
          <w:trHeight w:val="300"/>
          <w:jc w:val="center"/>
        </w:trPr>
        <w:tc>
          <w:tcPr>
            <w:tcW w:w="2505" w:type="dxa"/>
            <w:tcBorders>
              <w:top w:val="nil"/>
              <w:left w:val="nil"/>
              <w:bottom w:val="nil"/>
              <w:right w:val="nil"/>
            </w:tcBorders>
            <w:shd w:val="clear" w:color="auto" w:fill="auto"/>
            <w:vAlign w:val="center"/>
            <w:hideMark/>
          </w:tcPr>
          <w:p w14:paraId="696DC2DB"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 xml:space="preserve">Manganese </w:t>
            </w:r>
          </w:p>
        </w:tc>
        <w:tc>
          <w:tcPr>
            <w:tcW w:w="2350" w:type="dxa"/>
            <w:tcBorders>
              <w:top w:val="nil"/>
              <w:left w:val="nil"/>
              <w:bottom w:val="nil"/>
              <w:right w:val="nil"/>
            </w:tcBorders>
            <w:shd w:val="clear" w:color="auto" w:fill="auto"/>
            <w:vAlign w:val="center"/>
            <w:hideMark/>
          </w:tcPr>
          <w:p w14:paraId="32D93775"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color w:val="000000"/>
                <w:sz w:val="20"/>
                <w:szCs w:val="20"/>
              </w:rPr>
              <w:t>4,4'-DDT</w:t>
            </w:r>
          </w:p>
        </w:tc>
        <w:tc>
          <w:tcPr>
            <w:tcW w:w="4050" w:type="dxa"/>
            <w:tcBorders>
              <w:top w:val="nil"/>
              <w:left w:val="nil"/>
              <w:bottom w:val="nil"/>
              <w:right w:val="nil"/>
            </w:tcBorders>
            <w:shd w:val="clear" w:color="auto" w:fill="auto"/>
            <w:hideMark/>
          </w:tcPr>
          <w:p w14:paraId="52314C8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25F1746F" w14:textId="77777777" w:rsidTr="00C90CEE">
        <w:trPr>
          <w:trHeight w:val="300"/>
          <w:jc w:val="center"/>
        </w:trPr>
        <w:tc>
          <w:tcPr>
            <w:tcW w:w="2505" w:type="dxa"/>
            <w:tcBorders>
              <w:top w:val="nil"/>
              <w:left w:val="nil"/>
              <w:bottom w:val="nil"/>
              <w:right w:val="nil"/>
            </w:tcBorders>
            <w:shd w:val="clear" w:color="auto" w:fill="auto"/>
            <w:vAlign w:val="center"/>
            <w:hideMark/>
          </w:tcPr>
          <w:p w14:paraId="2F8C2776"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Mercury</w:t>
            </w:r>
          </w:p>
        </w:tc>
        <w:tc>
          <w:tcPr>
            <w:tcW w:w="235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ED2A0E7"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r w:rsidRPr="00C90CEE">
              <w:rPr>
                <w:rFonts w:ascii="Times New Roman" w:eastAsia="Times New Roman" w:hAnsi="Times New Roman" w:cs="Times New Roman"/>
                <w:b/>
                <w:bCs/>
                <w:color w:val="000000"/>
                <w:sz w:val="20"/>
                <w:szCs w:val="20"/>
              </w:rPr>
              <w:t>Other Measurements</w:t>
            </w:r>
          </w:p>
        </w:tc>
        <w:tc>
          <w:tcPr>
            <w:tcW w:w="4050" w:type="dxa"/>
            <w:tcBorders>
              <w:top w:val="nil"/>
              <w:left w:val="nil"/>
              <w:bottom w:val="nil"/>
              <w:right w:val="nil"/>
            </w:tcBorders>
            <w:shd w:val="clear" w:color="auto" w:fill="auto"/>
            <w:hideMark/>
          </w:tcPr>
          <w:p w14:paraId="617378E3" w14:textId="77777777" w:rsidR="00C90CEE" w:rsidRPr="00C90CEE" w:rsidRDefault="00C90CEE" w:rsidP="00C90CEE">
            <w:pPr>
              <w:spacing w:after="0" w:line="240" w:lineRule="auto"/>
              <w:rPr>
                <w:rFonts w:ascii="Times New Roman" w:eastAsia="Times New Roman" w:hAnsi="Times New Roman" w:cs="Times New Roman"/>
                <w:b/>
                <w:bCs/>
                <w:color w:val="000000"/>
                <w:sz w:val="20"/>
                <w:szCs w:val="20"/>
              </w:rPr>
            </w:pPr>
          </w:p>
        </w:tc>
      </w:tr>
      <w:tr w:rsidR="00C90CEE" w:rsidRPr="00C90CEE" w14:paraId="5C1A3E27" w14:textId="77777777" w:rsidTr="00C90CEE">
        <w:trPr>
          <w:trHeight w:val="510"/>
          <w:jc w:val="center"/>
        </w:trPr>
        <w:tc>
          <w:tcPr>
            <w:tcW w:w="2505" w:type="dxa"/>
            <w:tcBorders>
              <w:top w:val="nil"/>
              <w:left w:val="nil"/>
              <w:bottom w:val="nil"/>
              <w:right w:val="nil"/>
            </w:tcBorders>
            <w:shd w:val="clear" w:color="auto" w:fill="auto"/>
            <w:vAlign w:val="center"/>
            <w:hideMark/>
          </w:tcPr>
          <w:p w14:paraId="3B0C833E"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Nickel</w:t>
            </w:r>
          </w:p>
        </w:tc>
        <w:tc>
          <w:tcPr>
            <w:tcW w:w="2350" w:type="dxa"/>
            <w:tcBorders>
              <w:top w:val="nil"/>
              <w:left w:val="nil"/>
              <w:bottom w:val="nil"/>
              <w:right w:val="nil"/>
            </w:tcBorders>
            <w:shd w:val="clear" w:color="auto" w:fill="auto"/>
            <w:vAlign w:val="center"/>
            <w:hideMark/>
          </w:tcPr>
          <w:p w14:paraId="6A13AED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Total organic carbon (mg/Kg dry weight)</w:t>
            </w:r>
          </w:p>
        </w:tc>
        <w:tc>
          <w:tcPr>
            <w:tcW w:w="4050" w:type="dxa"/>
            <w:tcBorders>
              <w:top w:val="nil"/>
              <w:left w:val="nil"/>
              <w:bottom w:val="nil"/>
              <w:right w:val="nil"/>
            </w:tcBorders>
            <w:shd w:val="clear" w:color="auto" w:fill="auto"/>
            <w:hideMark/>
          </w:tcPr>
          <w:p w14:paraId="1027A60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38C38A89" w14:textId="77777777" w:rsidTr="00C90CEE">
        <w:trPr>
          <w:trHeight w:val="300"/>
          <w:jc w:val="center"/>
        </w:trPr>
        <w:tc>
          <w:tcPr>
            <w:tcW w:w="2505" w:type="dxa"/>
            <w:tcBorders>
              <w:top w:val="nil"/>
              <w:left w:val="nil"/>
              <w:bottom w:val="nil"/>
              <w:right w:val="nil"/>
            </w:tcBorders>
            <w:shd w:val="clear" w:color="auto" w:fill="auto"/>
            <w:vAlign w:val="center"/>
            <w:hideMark/>
          </w:tcPr>
          <w:p w14:paraId="75CF3A8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Selenium</w:t>
            </w:r>
          </w:p>
        </w:tc>
        <w:tc>
          <w:tcPr>
            <w:tcW w:w="2350" w:type="dxa"/>
            <w:tcBorders>
              <w:top w:val="nil"/>
              <w:left w:val="nil"/>
              <w:bottom w:val="nil"/>
              <w:right w:val="nil"/>
            </w:tcBorders>
            <w:shd w:val="clear" w:color="auto" w:fill="auto"/>
            <w:vAlign w:val="center"/>
            <w:hideMark/>
          </w:tcPr>
          <w:p w14:paraId="2A06320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Percent moisture</w:t>
            </w:r>
          </w:p>
        </w:tc>
        <w:tc>
          <w:tcPr>
            <w:tcW w:w="4050" w:type="dxa"/>
            <w:tcBorders>
              <w:top w:val="nil"/>
              <w:left w:val="nil"/>
              <w:bottom w:val="nil"/>
              <w:right w:val="nil"/>
            </w:tcBorders>
            <w:shd w:val="clear" w:color="auto" w:fill="auto"/>
            <w:hideMark/>
          </w:tcPr>
          <w:p w14:paraId="4AB910BA"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r>
      <w:tr w:rsidR="00C90CEE" w:rsidRPr="00C90CEE" w14:paraId="414D5AF5" w14:textId="77777777" w:rsidTr="00C90CEE">
        <w:trPr>
          <w:trHeight w:val="300"/>
          <w:jc w:val="center"/>
        </w:trPr>
        <w:tc>
          <w:tcPr>
            <w:tcW w:w="2505" w:type="dxa"/>
            <w:tcBorders>
              <w:top w:val="nil"/>
              <w:left w:val="nil"/>
              <w:bottom w:val="nil"/>
              <w:right w:val="nil"/>
            </w:tcBorders>
            <w:shd w:val="clear" w:color="auto" w:fill="auto"/>
            <w:vAlign w:val="center"/>
            <w:hideMark/>
          </w:tcPr>
          <w:p w14:paraId="40A670E0"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Silver</w:t>
            </w:r>
          </w:p>
        </w:tc>
        <w:tc>
          <w:tcPr>
            <w:tcW w:w="2350" w:type="dxa"/>
            <w:tcBorders>
              <w:top w:val="nil"/>
              <w:left w:val="nil"/>
              <w:bottom w:val="nil"/>
              <w:right w:val="nil"/>
            </w:tcBorders>
            <w:shd w:val="clear" w:color="auto" w:fill="auto"/>
            <w:noWrap/>
            <w:vAlign w:val="bottom"/>
            <w:hideMark/>
          </w:tcPr>
          <w:p w14:paraId="4C4529AD"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c>
          <w:tcPr>
            <w:tcW w:w="4050" w:type="dxa"/>
            <w:tcBorders>
              <w:top w:val="nil"/>
              <w:left w:val="nil"/>
              <w:bottom w:val="nil"/>
              <w:right w:val="nil"/>
            </w:tcBorders>
            <w:shd w:val="clear" w:color="auto" w:fill="auto"/>
            <w:hideMark/>
          </w:tcPr>
          <w:p w14:paraId="145CA5B2" w14:textId="77777777" w:rsidR="00C90CEE" w:rsidRPr="00C90CEE" w:rsidRDefault="00C90CEE" w:rsidP="00C90CEE">
            <w:pPr>
              <w:spacing w:after="0" w:line="240" w:lineRule="auto"/>
              <w:rPr>
                <w:rFonts w:ascii="Times New Roman" w:eastAsia="Times New Roman" w:hAnsi="Times New Roman" w:cs="Times New Roman"/>
                <w:sz w:val="20"/>
                <w:szCs w:val="20"/>
              </w:rPr>
            </w:pPr>
          </w:p>
        </w:tc>
      </w:tr>
      <w:tr w:rsidR="00C90CEE" w:rsidRPr="00C90CEE" w14:paraId="06E73E6E" w14:textId="77777777" w:rsidTr="00C90CEE">
        <w:trPr>
          <w:trHeight w:val="300"/>
          <w:jc w:val="center"/>
        </w:trPr>
        <w:tc>
          <w:tcPr>
            <w:tcW w:w="2505" w:type="dxa"/>
            <w:tcBorders>
              <w:top w:val="nil"/>
              <w:left w:val="nil"/>
              <w:bottom w:val="nil"/>
              <w:right w:val="nil"/>
            </w:tcBorders>
            <w:shd w:val="clear" w:color="auto" w:fill="auto"/>
            <w:vAlign w:val="center"/>
            <w:hideMark/>
          </w:tcPr>
          <w:p w14:paraId="4FA732C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Tin</w:t>
            </w:r>
          </w:p>
        </w:tc>
        <w:tc>
          <w:tcPr>
            <w:tcW w:w="2350" w:type="dxa"/>
            <w:tcBorders>
              <w:top w:val="nil"/>
              <w:left w:val="nil"/>
              <w:bottom w:val="nil"/>
              <w:right w:val="nil"/>
            </w:tcBorders>
            <w:shd w:val="clear" w:color="auto" w:fill="auto"/>
            <w:noWrap/>
            <w:vAlign w:val="bottom"/>
            <w:hideMark/>
          </w:tcPr>
          <w:p w14:paraId="5C5505D1"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c>
          <w:tcPr>
            <w:tcW w:w="4050" w:type="dxa"/>
            <w:tcBorders>
              <w:top w:val="nil"/>
              <w:left w:val="nil"/>
              <w:bottom w:val="nil"/>
              <w:right w:val="nil"/>
            </w:tcBorders>
            <w:shd w:val="clear" w:color="auto" w:fill="auto"/>
            <w:hideMark/>
          </w:tcPr>
          <w:p w14:paraId="44CCFBDE" w14:textId="77777777" w:rsidR="00C90CEE" w:rsidRPr="00C90CEE" w:rsidRDefault="00C90CEE" w:rsidP="00C90CEE">
            <w:pPr>
              <w:spacing w:after="0" w:line="240" w:lineRule="auto"/>
              <w:rPr>
                <w:rFonts w:ascii="Times New Roman" w:eastAsia="Times New Roman" w:hAnsi="Times New Roman" w:cs="Times New Roman"/>
                <w:sz w:val="20"/>
                <w:szCs w:val="20"/>
              </w:rPr>
            </w:pPr>
          </w:p>
        </w:tc>
      </w:tr>
      <w:tr w:rsidR="00C90CEE" w:rsidRPr="00C90CEE" w14:paraId="452EC395" w14:textId="77777777" w:rsidTr="00C90CEE">
        <w:trPr>
          <w:trHeight w:val="300"/>
          <w:jc w:val="center"/>
        </w:trPr>
        <w:tc>
          <w:tcPr>
            <w:tcW w:w="2505" w:type="dxa"/>
            <w:tcBorders>
              <w:top w:val="nil"/>
              <w:left w:val="nil"/>
              <w:bottom w:val="nil"/>
              <w:right w:val="nil"/>
            </w:tcBorders>
            <w:shd w:val="clear" w:color="auto" w:fill="auto"/>
            <w:vAlign w:val="center"/>
            <w:hideMark/>
          </w:tcPr>
          <w:p w14:paraId="7052C013"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Vanadium</w:t>
            </w:r>
          </w:p>
        </w:tc>
        <w:tc>
          <w:tcPr>
            <w:tcW w:w="2350" w:type="dxa"/>
            <w:tcBorders>
              <w:top w:val="nil"/>
              <w:left w:val="nil"/>
              <w:bottom w:val="nil"/>
              <w:right w:val="nil"/>
            </w:tcBorders>
            <w:shd w:val="clear" w:color="auto" w:fill="auto"/>
            <w:noWrap/>
            <w:vAlign w:val="bottom"/>
            <w:hideMark/>
          </w:tcPr>
          <w:p w14:paraId="319F88FF"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c>
          <w:tcPr>
            <w:tcW w:w="4050" w:type="dxa"/>
            <w:tcBorders>
              <w:top w:val="nil"/>
              <w:left w:val="nil"/>
              <w:bottom w:val="nil"/>
              <w:right w:val="nil"/>
            </w:tcBorders>
            <w:shd w:val="clear" w:color="auto" w:fill="auto"/>
            <w:hideMark/>
          </w:tcPr>
          <w:p w14:paraId="50576E49" w14:textId="77777777" w:rsidR="00C90CEE" w:rsidRPr="00C90CEE" w:rsidRDefault="00C90CEE" w:rsidP="00C90CEE">
            <w:pPr>
              <w:spacing w:after="0" w:line="240" w:lineRule="auto"/>
              <w:rPr>
                <w:rFonts w:ascii="Times New Roman" w:eastAsia="Times New Roman" w:hAnsi="Times New Roman" w:cs="Times New Roman"/>
                <w:sz w:val="20"/>
                <w:szCs w:val="20"/>
              </w:rPr>
            </w:pPr>
          </w:p>
        </w:tc>
      </w:tr>
      <w:tr w:rsidR="00C90CEE" w:rsidRPr="00C90CEE" w14:paraId="61688AAD" w14:textId="77777777" w:rsidTr="00C90CEE">
        <w:trPr>
          <w:trHeight w:val="300"/>
          <w:jc w:val="center"/>
        </w:trPr>
        <w:tc>
          <w:tcPr>
            <w:tcW w:w="2505" w:type="dxa"/>
            <w:tcBorders>
              <w:top w:val="nil"/>
              <w:left w:val="nil"/>
              <w:bottom w:val="nil"/>
              <w:right w:val="nil"/>
            </w:tcBorders>
            <w:shd w:val="clear" w:color="auto" w:fill="auto"/>
            <w:vAlign w:val="center"/>
            <w:hideMark/>
          </w:tcPr>
          <w:p w14:paraId="2E11F58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r w:rsidRPr="00C90CEE">
              <w:rPr>
                <w:rFonts w:ascii="Times New Roman" w:eastAsia="Times New Roman" w:hAnsi="Times New Roman" w:cs="Times New Roman"/>
                <w:bCs/>
                <w:color w:val="000000"/>
                <w:sz w:val="20"/>
                <w:szCs w:val="20"/>
              </w:rPr>
              <w:t>Zinc</w:t>
            </w:r>
          </w:p>
        </w:tc>
        <w:tc>
          <w:tcPr>
            <w:tcW w:w="2350" w:type="dxa"/>
            <w:tcBorders>
              <w:top w:val="nil"/>
              <w:left w:val="nil"/>
              <w:bottom w:val="nil"/>
              <w:right w:val="nil"/>
            </w:tcBorders>
            <w:shd w:val="clear" w:color="auto" w:fill="auto"/>
            <w:noWrap/>
            <w:vAlign w:val="bottom"/>
            <w:hideMark/>
          </w:tcPr>
          <w:p w14:paraId="02054A69" w14:textId="77777777" w:rsidR="00C90CEE" w:rsidRPr="00C90CEE" w:rsidRDefault="00C90CEE" w:rsidP="00C90CEE">
            <w:pPr>
              <w:spacing w:after="0" w:line="240" w:lineRule="auto"/>
              <w:rPr>
                <w:rFonts w:ascii="Times New Roman" w:eastAsia="Times New Roman" w:hAnsi="Times New Roman" w:cs="Times New Roman"/>
                <w:color w:val="000000"/>
                <w:sz w:val="20"/>
                <w:szCs w:val="20"/>
              </w:rPr>
            </w:pPr>
          </w:p>
        </w:tc>
        <w:tc>
          <w:tcPr>
            <w:tcW w:w="4050" w:type="dxa"/>
            <w:tcBorders>
              <w:top w:val="nil"/>
              <w:left w:val="nil"/>
              <w:bottom w:val="nil"/>
              <w:right w:val="nil"/>
            </w:tcBorders>
            <w:shd w:val="clear" w:color="auto" w:fill="auto"/>
            <w:hideMark/>
          </w:tcPr>
          <w:p w14:paraId="2004561E" w14:textId="77777777" w:rsidR="00C90CEE" w:rsidRPr="00C90CEE" w:rsidRDefault="00C90CEE" w:rsidP="00C90CEE">
            <w:pPr>
              <w:spacing w:after="0" w:line="240" w:lineRule="auto"/>
              <w:rPr>
                <w:rFonts w:ascii="Times New Roman" w:eastAsia="Times New Roman" w:hAnsi="Times New Roman" w:cs="Times New Roman"/>
                <w:sz w:val="20"/>
                <w:szCs w:val="20"/>
              </w:rPr>
            </w:pPr>
          </w:p>
        </w:tc>
      </w:tr>
    </w:tbl>
    <w:p w14:paraId="292866C5" w14:textId="77777777" w:rsidR="009F48EE" w:rsidRDefault="009F48EE" w:rsidP="00FE1DDB">
      <w:pPr>
        <w:spacing w:after="0" w:line="240" w:lineRule="auto"/>
      </w:pPr>
    </w:p>
    <w:p w14:paraId="4EB75927" w14:textId="77777777" w:rsidR="009F48EE" w:rsidRDefault="009F48EE" w:rsidP="00FE1DDB">
      <w:pPr>
        <w:spacing w:after="0" w:line="240" w:lineRule="auto"/>
      </w:pPr>
    </w:p>
    <w:p w14:paraId="5A1D237F" w14:textId="63A98D96" w:rsidR="009F48EE" w:rsidRDefault="009F48EE" w:rsidP="00FE1DDB">
      <w:pPr>
        <w:spacing w:after="0" w:line="240" w:lineRule="auto"/>
        <w:rPr>
          <w:rFonts w:ascii="Times New Roman" w:hAnsi="Times New Roman" w:cs="Times New Roman"/>
          <w:sz w:val="24"/>
          <w:szCs w:val="24"/>
        </w:rPr>
      </w:pPr>
      <w:r w:rsidRPr="00FD11B1">
        <w:rPr>
          <w:rFonts w:ascii="Times New Roman" w:hAnsi="Times New Roman" w:cs="Times New Roman"/>
          <w:b/>
        </w:rPr>
        <w:lastRenderedPageBreak/>
        <w:t>Sediment Quality Guidelines</w:t>
      </w:r>
      <w:r w:rsidRPr="00FD11B1">
        <w:rPr>
          <w:rFonts w:ascii="Times New Roman" w:hAnsi="Times New Roman" w:cs="Times New Roman"/>
          <w:b/>
          <w:sz w:val="24"/>
          <w:szCs w:val="24"/>
        </w:rPr>
        <w:t xml:space="preserve"> (SQGs</w:t>
      </w:r>
      <w:r>
        <w:rPr>
          <w:rFonts w:ascii="Times New Roman" w:hAnsi="Times New Roman" w:cs="Times New Roman"/>
          <w:b/>
          <w:sz w:val="24"/>
          <w:szCs w:val="24"/>
        </w:rPr>
        <w:t xml:space="preserve">) </w:t>
      </w:r>
      <w:r w:rsidRPr="00FD11B1">
        <w:rPr>
          <w:rFonts w:ascii="Times New Roman" w:hAnsi="Times New Roman" w:cs="Times New Roman"/>
          <w:sz w:val="24"/>
          <w:szCs w:val="24"/>
        </w:rPr>
        <w:t xml:space="preserve">are </w:t>
      </w:r>
      <w:r w:rsidRPr="00FD11B1">
        <w:rPr>
          <w:rFonts w:ascii="Times New Roman" w:hAnsi="Times New Roman" w:cs="Times New Roman"/>
        </w:rPr>
        <w:t xml:space="preserve">threshold limits of contaminants </w:t>
      </w:r>
      <w:r w:rsidRPr="00FD11B1">
        <w:rPr>
          <w:rFonts w:ascii="Times New Roman" w:hAnsi="Times New Roman" w:cs="Times New Roman"/>
          <w:sz w:val="24"/>
          <w:szCs w:val="24"/>
        </w:rPr>
        <w:t>used in Ecological Risk assessments to determine the likelihood of</w:t>
      </w:r>
      <w:r>
        <w:rPr>
          <w:rFonts w:ascii="Times New Roman" w:hAnsi="Times New Roman" w:cs="Times New Roman"/>
          <w:b/>
          <w:sz w:val="24"/>
          <w:szCs w:val="24"/>
        </w:rPr>
        <w:t xml:space="preserve"> </w:t>
      </w:r>
      <w:r>
        <w:rPr>
          <w:rFonts w:ascii="Times New Roman" w:hAnsi="Times New Roman" w:cs="Times New Roman"/>
        </w:rPr>
        <w:t xml:space="preserve">adverse effects from sediment chemistry to </w:t>
      </w:r>
      <w:r w:rsidRPr="009F48EE">
        <w:rPr>
          <w:rFonts w:ascii="Times New Roman" w:hAnsi="Times New Roman" w:cs="Times New Roman"/>
        </w:rPr>
        <w:t>biological communit</w:t>
      </w:r>
      <w:r>
        <w:rPr>
          <w:rFonts w:ascii="Times New Roman" w:hAnsi="Times New Roman" w:cs="Times New Roman"/>
        </w:rPr>
        <w:t xml:space="preserve">ies. </w:t>
      </w:r>
      <w:r w:rsidRPr="00FE1DDB">
        <w:rPr>
          <w:rFonts w:ascii="Times New Roman" w:hAnsi="Times New Roman" w:cs="Times New Roman"/>
          <w:sz w:val="24"/>
          <w:szCs w:val="24"/>
        </w:rPr>
        <w:t>DEQ applies</w:t>
      </w:r>
      <w:r>
        <w:rPr>
          <w:rFonts w:ascii="Times New Roman" w:hAnsi="Times New Roman" w:cs="Times New Roman"/>
          <w:sz w:val="24"/>
          <w:szCs w:val="24"/>
        </w:rPr>
        <w:t xml:space="preserve"> both consensus-b</w:t>
      </w:r>
      <w:r w:rsidRPr="00FE1DDB">
        <w:rPr>
          <w:rFonts w:ascii="Times New Roman" w:hAnsi="Times New Roman" w:cs="Times New Roman"/>
          <w:sz w:val="24"/>
          <w:szCs w:val="24"/>
        </w:rPr>
        <w:t xml:space="preserve">ased </w:t>
      </w:r>
      <w:r>
        <w:rPr>
          <w:rFonts w:ascii="Times New Roman" w:hAnsi="Times New Roman" w:cs="Times New Roman"/>
          <w:sz w:val="24"/>
          <w:szCs w:val="24"/>
        </w:rPr>
        <w:t>SQGs</w:t>
      </w:r>
      <w:r w:rsidRPr="00FE1DDB">
        <w:rPr>
          <w:rFonts w:ascii="Times New Roman" w:hAnsi="Times New Roman" w:cs="Times New Roman"/>
          <w:sz w:val="24"/>
          <w:szCs w:val="24"/>
        </w:rPr>
        <w:t xml:space="preserve"> </w:t>
      </w:r>
      <w:r>
        <w:rPr>
          <w:rFonts w:ascii="Times New Roman" w:hAnsi="Times New Roman" w:cs="Times New Roman"/>
          <w:sz w:val="24"/>
          <w:szCs w:val="24"/>
        </w:rPr>
        <w:t xml:space="preserve">(i.e </w:t>
      </w:r>
      <w:r w:rsidRPr="00FE1DDB">
        <w:rPr>
          <w:rFonts w:ascii="Times New Roman" w:hAnsi="Times New Roman" w:cs="Times New Roman"/>
          <w:sz w:val="24"/>
          <w:szCs w:val="24"/>
        </w:rPr>
        <w:t>P</w:t>
      </w:r>
      <w:r>
        <w:rPr>
          <w:rFonts w:ascii="Times New Roman" w:hAnsi="Times New Roman" w:cs="Times New Roman"/>
          <w:sz w:val="24"/>
          <w:szCs w:val="24"/>
        </w:rPr>
        <w:t xml:space="preserve">robable Effects Concentrations </w:t>
      </w:r>
      <w:r w:rsidRPr="00FE1DDB">
        <w:rPr>
          <w:rFonts w:ascii="Times New Roman" w:hAnsi="Times New Roman" w:cs="Times New Roman"/>
          <w:sz w:val="24"/>
          <w:szCs w:val="24"/>
        </w:rPr>
        <w:t>PECs</w:t>
      </w:r>
      <w:r>
        <w:rPr>
          <w:rFonts w:ascii="Times New Roman" w:hAnsi="Times New Roman" w:cs="Times New Roman"/>
          <w:sz w:val="24"/>
          <w:szCs w:val="24"/>
        </w:rPr>
        <w:t xml:space="preserve">, </w:t>
      </w:r>
      <w:r w:rsidRPr="00FE1DDB">
        <w:rPr>
          <w:rFonts w:ascii="Times New Roman" w:hAnsi="Times New Roman" w:cs="Times New Roman"/>
          <w:sz w:val="24"/>
          <w:szCs w:val="24"/>
        </w:rPr>
        <w:t xml:space="preserve">MacDonald et al., 2000) </w:t>
      </w:r>
      <w:r>
        <w:rPr>
          <w:rFonts w:ascii="Times New Roman" w:hAnsi="Times New Roman" w:cs="Times New Roman"/>
          <w:sz w:val="24"/>
          <w:szCs w:val="24"/>
        </w:rPr>
        <w:t xml:space="preserve">and effects-based screening values known as </w:t>
      </w:r>
      <w:r w:rsidRPr="00FE1DDB">
        <w:rPr>
          <w:rFonts w:ascii="Times New Roman" w:hAnsi="Times New Roman" w:cs="Times New Roman"/>
          <w:sz w:val="24"/>
          <w:szCs w:val="24"/>
        </w:rPr>
        <w:t>Effects Range Median</w:t>
      </w:r>
      <w:r>
        <w:rPr>
          <w:rFonts w:ascii="Times New Roman" w:hAnsi="Times New Roman" w:cs="Times New Roman"/>
          <w:sz w:val="24"/>
          <w:szCs w:val="24"/>
        </w:rPr>
        <w:t>s or ERMs</w:t>
      </w:r>
      <w:r w:rsidRPr="009F48EE">
        <w:rPr>
          <w:rFonts w:ascii="Times New Roman" w:hAnsi="Times New Roman" w:cs="Times New Roman"/>
          <w:sz w:val="24"/>
          <w:szCs w:val="24"/>
        </w:rPr>
        <w:t xml:space="preserve"> </w:t>
      </w:r>
      <w:r>
        <w:rPr>
          <w:rFonts w:ascii="Times New Roman" w:hAnsi="Times New Roman" w:cs="Times New Roman"/>
          <w:sz w:val="24"/>
          <w:szCs w:val="24"/>
        </w:rPr>
        <w:t>(</w:t>
      </w:r>
      <w:r w:rsidRPr="00FE1DDB">
        <w:rPr>
          <w:rFonts w:ascii="Times New Roman" w:hAnsi="Times New Roman" w:cs="Times New Roman"/>
          <w:sz w:val="24"/>
          <w:szCs w:val="24"/>
        </w:rPr>
        <w:t>Long et al., 1995</w:t>
      </w:r>
      <w:r>
        <w:rPr>
          <w:rFonts w:ascii="Times New Roman" w:hAnsi="Times New Roman" w:cs="Times New Roman"/>
          <w:sz w:val="24"/>
          <w:szCs w:val="24"/>
        </w:rPr>
        <w:t>). ERM and PEC screening values are published in DEQ’s Water Quality Monitoring and Assessment Guidance Manual. Bottom salinity at time of sample collection dictates which group of the aforementioned screening values are applied. Transitional waters (oligohaline) are compared against whichever screening value is lower Table 4.5-</w:t>
      </w:r>
      <w:r w:rsidR="008B0194">
        <w:rPr>
          <w:rFonts w:ascii="Times New Roman" w:hAnsi="Times New Roman" w:cs="Times New Roman"/>
          <w:sz w:val="24"/>
          <w:szCs w:val="24"/>
        </w:rPr>
        <w:t>14</w:t>
      </w:r>
      <w:r>
        <w:rPr>
          <w:rFonts w:ascii="Times New Roman" w:hAnsi="Times New Roman" w:cs="Times New Roman"/>
          <w:sz w:val="24"/>
          <w:szCs w:val="24"/>
        </w:rPr>
        <w:t>.</w:t>
      </w:r>
    </w:p>
    <w:p w14:paraId="4D88ED88" w14:textId="51B35516" w:rsidR="009F48EE" w:rsidRDefault="009F48EE" w:rsidP="00FE1DDB">
      <w:pPr>
        <w:spacing w:after="0" w:line="240" w:lineRule="auto"/>
        <w:rPr>
          <w:rFonts w:ascii="Times New Roman" w:hAnsi="Times New Roman" w:cs="Times New Roman"/>
          <w:sz w:val="24"/>
          <w:szCs w:val="24"/>
        </w:rPr>
      </w:pPr>
    </w:p>
    <w:p w14:paraId="67D41909" w14:textId="5AECFF25" w:rsidR="004A7945" w:rsidRPr="009B272A" w:rsidRDefault="004A7945" w:rsidP="00307B7A">
      <w:pPr>
        <w:pStyle w:val="Caption"/>
        <w:rPr>
          <w:rFonts w:ascii="Times New Roman" w:hAnsi="Times New Roman" w:cs="Times New Roman"/>
          <w:i w:val="0"/>
          <w:color w:val="000000" w:themeColor="text1"/>
          <w:sz w:val="28"/>
          <w:szCs w:val="24"/>
        </w:rPr>
      </w:pPr>
      <w:r w:rsidRPr="009E29FD">
        <w:rPr>
          <w:rFonts w:ascii="Times New Roman" w:hAnsi="Times New Roman" w:cs="Times New Roman"/>
          <w:i w:val="0"/>
          <w:color w:val="000000" w:themeColor="text1"/>
          <w:sz w:val="20"/>
        </w:rPr>
        <w:t xml:space="preserve">Table 4.5- </w:t>
      </w:r>
      <w:r w:rsidR="008B0194" w:rsidRPr="009E29FD">
        <w:rPr>
          <w:rFonts w:ascii="Times New Roman" w:hAnsi="Times New Roman" w:cs="Times New Roman"/>
          <w:i w:val="0"/>
          <w:color w:val="000000" w:themeColor="text1"/>
          <w:sz w:val="20"/>
        </w:rPr>
        <w:fldChar w:fldCharType="begin"/>
      </w:r>
      <w:r w:rsidR="008B0194" w:rsidRPr="009E29FD">
        <w:rPr>
          <w:rFonts w:ascii="Times New Roman" w:hAnsi="Times New Roman" w:cs="Times New Roman"/>
          <w:i w:val="0"/>
          <w:color w:val="000000" w:themeColor="text1"/>
          <w:sz w:val="20"/>
        </w:rPr>
        <w:instrText xml:space="preserve"> SEQ Table_4.5- \* ARABIC </w:instrText>
      </w:r>
      <w:r w:rsidR="008B0194" w:rsidRPr="009E29FD">
        <w:rPr>
          <w:rFonts w:ascii="Times New Roman" w:hAnsi="Times New Roman" w:cs="Times New Roman"/>
          <w:i w:val="0"/>
          <w:color w:val="000000" w:themeColor="text1"/>
          <w:sz w:val="20"/>
        </w:rPr>
        <w:fldChar w:fldCharType="separate"/>
      </w:r>
      <w:r w:rsidR="008B0194">
        <w:rPr>
          <w:rFonts w:ascii="Times New Roman" w:hAnsi="Times New Roman" w:cs="Times New Roman"/>
          <w:i w:val="0"/>
          <w:noProof/>
          <w:color w:val="000000" w:themeColor="text1"/>
          <w:sz w:val="20"/>
        </w:rPr>
        <w:t>14</w:t>
      </w:r>
      <w:r w:rsidR="008B0194" w:rsidRPr="009E29FD">
        <w:rPr>
          <w:rFonts w:ascii="Times New Roman" w:hAnsi="Times New Roman" w:cs="Times New Roman"/>
          <w:i w:val="0"/>
          <w:color w:val="000000" w:themeColor="text1"/>
          <w:sz w:val="20"/>
        </w:rPr>
        <w:fldChar w:fldCharType="end"/>
      </w:r>
      <w:r w:rsidR="008B0194" w:rsidRPr="009B272A">
        <w:rPr>
          <w:rFonts w:ascii="Times New Roman" w:hAnsi="Times New Roman" w:cs="Times New Roman"/>
          <w:i w:val="0"/>
          <w:color w:val="000000" w:themeColor="text1"/>
          <w:sz w:val="20"/>
        </w:rPr>
        <w:t xml:space="preserve"> </w:t>
      </w:r>
      <w:r w:rsidR="009B272A" w:rsidRPr="009B272A">
        <w:rPr>
          <w:rFonts w:ascii="Times New Roman" w:hAnsi="Times New Roman" w:cs="Times New Roman"/>
          <w:i w:val="0"/>
          <w:color w:val="000000" w:themeColor="text1"/>
          <w:sz w:val="20"/>
        </w:rPr>
        <w:t>Applied Sediment Quality Guideline (SQG) screening values based on salinity regime</w:t>
      </w:r>
    </w:p>
    <w:tbl>
      <w:tblPr>
        <w:tblW w:w="9360" w:type="dxa"/>
        <w:tblLook w:val="04A0" w:firstRow="1" w:lastRow="0" w:firstColumn="1" w:lastColumn="0" w:noHBand="0" w:noVBand="1"/>
        <w:tblCaption w:val="Table 4.5- 13 Applied Sediment Quality Guideline (SQG) screening values based on salinity regime"/>
        <w:tblDescription w:val="Table 4.5- 13 Applied Sediment Quality Guideline (SQG) screening values based on salinity regime"/>
      </w:tblPr>
      <w:tblGrid>
        <w:gridCol w:w="2160"/>
        <w:gridCol w:w="7200"/>
      </w:tblGrid>
      <w:tr w:rsidR="009F48EE" w:rsidRPr="009F48EE" w14:paraId="733BF700" w14:textId="77777777" w:rsidTr="00307B7A">
        <w:trPr>
          <w:trHeight w:val="300"/>
        </w:trPr>
        <w:tc>
          <w:tcPr>
            <w:tcW w:w="2160" w:type="dxa"/>
            <w:tcBorders>
              <w:bottom w:val="single" w:sz="4" w:space="0" w:color="auto"/>
            </w:tcBorders>
            <w:shd w:val="clear" w:color="auto" w:fill="auto"/>
            <w:noWrap/>
            <w:vAlign w:val="center"/>
            <w:hideMark/>
          </w:tcPr>
          <w:p w14:paraId="238388D0" w14:textId="77777777" w:rsidR="009F48EE" w:rsidRPr="009F48EE" w:rsidRDefault="009F48EE" w:rsidP="009F48EE">
            <w:pPr>
              <w:spacing w:after="0" w:line="240" w:lineRule="auto"/>
              <w:rPr>
                <w:rFonts w:ascii="Times New Roman" w:eastAsia="Times New Roman" w:hAnsi="Times New Roman" w:cs="Times New Roman"/>
                <w:b/>
                <w:bCs/>
                <w:color w:val="000000"/>
                <w:sz w:val="20"/>
                <w:szCs w:val="20"/>
              </w:rPr>
            </w:pPr>
            <w:r w:rsidRPr="009F48EE">
              <w:rPr>
                <w:rFonts w:ascii="Times New Roman" w:eastAsia="Times New Roman" w:hAnsi="Times New Roman" w:cs="Times New Roman"/>
                <w:b/>
                <w:bCs/>
                <w:color w:val="000000"/>
                <w:sz w:val="20"/>
                <w:szCs w:val="20"/>
              </w:rPr>
              <w:t>Salinity Regime</w:t>
            </w:r>
          </w:p>
        </w:tc>
        <w:tc>
          <w:tcPr>
            <w:tcW w:w="7200" w:type="dxa"/>
            <w:tcBorders>
              <w:bottom w:val="single" w:sz="4" w:space="0" w:color="auto"/>
            </w:tcBorders>
            <w:shd w:val="clear" w:color="auto" w:fill="auto"/>
            <w:noWrap/>
            <w:vAlign w:val="center"/>
            <w:hideMark/>
          </w:tcPr>
          <w:p w14:paraId="08244A1D" w14:textId="57CD70C0" w:rsidR="009F48EE" w:rsidRPr="009F48EE" w:rsidRDefault="009F48EE" w:rsidP="009F48EE">
            <w:pPr>
              <w:spacing w:after="0" w:line="240" w:lineRule="auto"/>
              <w:rPr>
                <w:rFonts w:ascii="Times New Roman" w:eastAsia="Times New Roman" w:hAnsi="Times New Roman" w:cs="Times New Roman"/>
                <w:b/>
                <w:bCs/>
                <w:color w:val="000000"/>
                <w:sz w:val="20"/>
                <w:szCs w:val="20"/>
              </w:rPr>
            </w:pPr>
            <w:r w:rsidRPr="009F48EE">
              <w:rPr>
                <w:rFonts w:ascii="Times New Roman" w:eastAsia="Times New Roman" w:hAnsi="Times New Roman" w:cs="Times New Roman"/>
                <w:b/>
                <w:bCs/>
                <w:color w:val="000000"/>
                <w:sz w:val="20"/>
                <w:szCs w:val="20"/>
              </w:rPr>
              <w:t xml:space="preserve">Screening Value </w:t>
            </w:r>
          </w:p>
        </w:tc>
      </w:tr>
      <w:tr w:rsidR="009F48EE" w:rsidRPr="009F48EE" w14:paraId="448F91BB" w14:textId="77777777" w:rsidTr="00307B7A">
        <w:trPr>
          <w:trHeight w:val="300"/>
        </w:trPr>
        <w:tc>
          <w:tcPr>
            <w:tcW w:w="2160" w:type="dxa"/>
            <w:tcBorders>
              <w:top w:val="single" w:sz="4" w:space="0" w:color="auto"/>
              <w:bottom w:val="single" w:sz="4" w:space="0" w:color="auto"/>
              <w:right w:val="single" w:sz="4" w:space="0" w:color="auto"/>
            </w:tcBorders>
            <w:shd w:val="clear" w:color="auto" w:fill="auto"/>
            <w:noWrap/>
            <w:vAlign w:val="center"/>
            <w:hideMark/>
          </w:tcPr>
          <w:p w14:paraId="5E7FAB3E" w14:textId="77777777"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Tidal Freshwater</w:t>
            </w:r>
          </w:p>
        </w:tc>
        <w:tc>
          <w:tcPr>
            <w:tcW w:w="7200" w:type="dxa"/>
            <w:tcBorders>
              <w:top w:val="single" w:sz="4" w:space="0" w:color="auto"/>
              <w:left w:val="single" w:sz="4" w:space="0" w:color="auto"/>
              <w:bottom w:val="single" w:sz="4" w:space="0" w:color="auto"/>
            </w:tcBorders>
            <w:shd w:val="clear" w:color="auto" w:fill="auto"/>
            <w:noWrap/>
            <w:vAlign w:val="center"/>
            <w:hideMark/>
          </w:tcPr>
          <w:p w14:paraId="62D94742" w14:textId="77777777"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Probable Effects Concentration (PEC)</w:t>
            </w:r>
          </w:p>
        </w:tc>
      </w:tr>
      <w:tr w:rsidR="009F48EE" w:rsidRPr="009F48EE" w14:paraId="689A77CF" w14:textId="77777777" w:rsidTr="00307B7A">
        <w:trPr>
          <w:trHeight w:val="450"/>
        </w:trPr>
        <w:tc>
          <w:tcPr>
            <w:tcW w:w="2160" w:type="dxa"/>
            <w:tcBorders>
              <w:top w:val="single" w:sz="4" w:space="0" w:color="auto"/>
              <w:bottom w:val="single" w:sz="4" w:space="0" w:color="auto"/>
              <w:right w:val="single" w:sz="4" w:space="0" w:color="auto"/>
            </w:tcBorders>
            <w:shd w:val="clear" w:color="auto" w:fill="auto"/>
            <w:noWrap/>
            <w:vAlign w:val="center"/>
            <w:hideMark/>
          </w:tcPr>
          <w:p w14:paraId="52D69C35" w14:textId="77777777"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Oligohaline</w:t>
            </w:r>
          </w:p>
        </w:tc>
        <w:tc>
          <w:tcPr>
            <w:tcW w:w="7200" w:type="dxa"/>
            <w:tcBorders>
              <w:top w:val="single" w:sz="4" w:space="0" w:color="auto"/>
              <w:left w:val="single" w:sz="4" w:space="0" w:color="auto"/>
              <w:bottom w:val="single" w:sz="4" w:space="0" w:color="auto"/>
            </w:tcBorders>
            <w:shd w:val="clear" w:color="auto" w:fill="auto"/>
            <w:vAlign w:val="center"/>
            <w:hideMark/>
          </w:tcPr>
          <w:p w14:paraId="0E337EF7" w14:textId="6D9AA481"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lowest v</w:t>
            </w:r>
            <w:r w:rsidR="007F59D8" w:rsidRPr="00DC0B60">
              <w:rPr>
                <w:rFonts w:ascii="Times New Roman" w:eastAsia="Times New Roman" w:hAnsi="Times New Roman" w:cs="Times New Roman"/>
                <w:color w:val="000000"/>
                <w:sz w:val="20"/>
                <w:szCs w:val="20"/>
              </w:rPr>
              <w:t>alue: Effects Range Median (ERM</w:t>
            </w:r>
            <w:r w:rsidRPr="009F48EE">
              <w:rPr>
                <w:rFonts w:ascii="Times New Roman" w:eastAsia="Times New Roman" w:hAnsi="Times New Roman" w:cs="Times New Roman"/>
                <w:color w:val="000000"/>
                <w:sz w:val="20"/>
                <w:szCs w:val="20"/>
              </w:rPr>
              <w:t>) or Probable Effects Concentration (PEC)</w:t>
            </w:r>
          </w:p>
        </w:tc>
      </w:tr>
      <w:tr w:rsidR="009F48EE" w:rsidRPr="009F48EE" w14:paraId="543B8709" w14:textId="77777777" w:rsidTr="00307B7A">
        <w:trPr>
          <w:trHeight w:val="300"/>
        </w:trPr>
        <w:tc>
          <w:tcPr>
            <w:tcW w:w="2160" w:type="dxa"/>
            <w:tcBorders>
              <w:top w:val="single" w:sz="4" w:space="0" w:color="auto"/>
              <w:right w:val="single" w:sz="4" w:space="0" w:color="auto"/>
            </w:tcBorders>
            <w:shd w:val="clear" w:color="auto" w:fill="auto"/>
            <w:noWrap/>
            <w:vAlign w:val="center"/>
            <w:hideMark/>
          </w:tcPr>
          <w:p w14:paraId="08F3353E" w14:textId="77777777"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Low mesohaline</w:t>
            </w:r>
          </w:p>
        </w:tc>
        <w:tc>
          <w:tcPr>
            <w:tcW w:w="7200" w:type="dxa"/>
            <w:vMerge w:val="restart"/>
            <w:tcBorders>
              <w:top w:val="single" w:sz="4" w:space="0" w:color="auto"/>
              <w:left w:val="single" w:sz="4" w:space="0" w:color="auto"/>
              <w:bottom w:val="single" w:sz="4" w:space="0" w:color="auto"/>
            </w:tcBorders>
            <w:shd w:val="clear" w:color="auto" w:fill="auto"/>
            <w:noWrap/>
            <w:vAlign w:val="center"/>
            <w:hideMark/>
          </w:tcPr>
          <w:p w14:paraId="754E345B" w14:textId="77777777" w:rsidR="009F48EE" w:rsidRPr="009F48EE" w:rsidRDefault="009F48EE" w:rsidP="007316B8">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Effects Range Medians (ERM)</w:t>
            </w:r>
          </w:p>
        </w:tc>
      </w:tr>
      <w:tr w:rsidR="009F48EE" w:rsidRPr="009F48EE" w14:paraId="1357474E" w14:textId="77777777" w:rsidTr="00307B7A">
        <w:trPr>
          <w:trHeight w:val="300"/>
        </w:trPr>
        <w:tc>
          <w:tcPr>
            <w:tcW w:w="2160" w:type="dxa"/>
            <w:tcBorders>
              <w:right w:val="single" w:sz="4" w:space="0" w:color="auto"/>
            </w:tcBorders>
            <w:shd w:val="clear" w:color="auto" w:fill="auto"/>
            <w:noWrap/>
            <w:vAlign w:val="center"/>
            <w:hideMark/>
          </w:tcPr>
          <w:p w14:paraId="0AB84767" w14:textId="77777777" w:rsidR="009F48EE" w:rsidRPr="009F48EE" w:rsidRDefault="009F48EE" w:rsidP="009F48EE">
            <w:pPr>
              <w:spacing w:after="0" w:line="240" w:lineRule="auto"/>
              <w:jc w:val="both"/>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High mesohaline</w:t>
            </w:r>
          </w:p>
        </w:tc>
        <w:tc>
          <w:tcPr>
            <w:tcW w:w="7200" w:type="dxa"/>
            <w:vMerge/>
            <w:tcBorders>
              <w:left w:val="single" w:sz="4" w:space="0" w:color="auto"/>
              <w:bottom w:val="single" w:sz="4" w:space="0" w:color="auto"/>
            </w:tcBorders>
            <w:vAlign w:val="center"/>
            <w:hideMark/>
          </w:tcPr>
          <w:p w14:paraId="5A97F9CE" w14:textId="77777777" w:rsidR="009F48EE" w:rsidRPr="009F48EE" w:rsidRDefault="009F48EE" w:rsidP="009F48EE">
            <w:pPr>
              <w:spacing w:after="0" w:line="240" w:lineRule="auto"/>
              <w:rPr>
                <w:rFonts w:ascii="Times New Roman" w:eastAsia="Times New Roman" w:hAnsi="Times New Roman" w:cs="Times New Roman"/>
                <w:color w:val="000000"/>
                <w:sz w:val="20"/>
                <w:szCs w:val="20"/>
              </w:rPr>
            </w:pPr>
          </w:p>
        </w:tc>
      </w:tr>
      <w:tr w:rsidR="009F48EE" w:rsidRPr="009F48EE" w14:paraId="7C1A6D52" w14:textId="77777777" w:rsidTr="00307B7A">
        <w:trPr>
          <w:trHeight w:val="300"/>
        </w:trPr>
        <w:tc>
          <w:tcPr>
            <w:tcW w:w="2160" w:type="dxa"/>
            <w:tcBorders>
              <w:right w:val="single" w:sz="4" w:space="0" w:color="auto"/>
            </w:tcBorders>
            <w:shd w:val="clear" w:color="auto" w:fill="auto"/>
            <w:noWrap/>
            <w:vAlign w:val="center"/>
            <w:hideMark/>
          </w:tcPr>
          <w:p w14:paraId="16572B4B" w14:textId="77777777" w:rsidR="009F48EE" w:rsidRPr="009F48EE" w:rsidRDefault="009F48EE" w:rsidP="009F48EE">
            <w:pPr>
              <w:spacing w:after="0" w:line="240" w:lineRule="auto"/>
              <w:jc w:val="both"/>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Polyhaline</w:t>
            </w:r>
          </w:p>
        </w:tc>
        <w:tc>
          <w:tcPr>
            <w:tcW w:w="7200" w:type="dxa"/>
            <w:vMerge/>
            <w:tcBorders>
              <w:left w:val="single" w:sz="4" w:space="0" w:color="auto"/>
              <w:bottom w:val="single" w:sz="4" w:space="0" w:color="auto"/>
            </w:tcBorders>
            <w:vAlign w:val="center"/>
            <w:hideMark/>
          </w:tcPr>
          <w:p w14:paraId="29249950" w14:textId="77777777" w:rsidR="009F48EE" w:rsidRPr="009F48EE" w:rsidRDefault="009F48EE" w:rsidP="009F48EE">
            <w:pPr>
              <w:spacing w:after="0" w:line="240" w:lineRule="auto"/>
              <w:rPr>
                <w:rFonts w:ascii="Times New Roman" w:eastAsia="Times New Roman" w:hAnsi="Times New Roman" w:cs="Times New Roman"/>
                <w:color w:val="000000"/>
                <w:sz w:val="20"/>
                <w:szCs w:val="20"/>
              </w:rPr>
            </w:pPr>
          </w:p>
        </w:tc>
      </w:tr>
      <w:tr w:rsidR="009F48EE" w:rsidRPr="009F48EE" w14:paraId="690FA2D5" w14:textId="77777777" w:rsidTr="00307B7A">
        <w:trPr>
          <w:trHeight w:val="300"/>
        </w:trPr>
        <w:tc>
          <w:tcPr>
            <w:tcW w:w="2160" w:type="dxa"/>
            <w:tcBorders>
              <w:bottom w:val="single" w:sz="4" w:space="0" w:color="auto"/>
              <w:right w:val="single" w:sz="4" w:space="0" w:color="auto"/>
            </w:tcBorders>
            <w:shd w:val="clear" w:color="auto" w:fill="auto"/>
            <w:noWrap/>
            <w:vAlign w:val="center"/>
            <w:hideMark/>
          </w:tcPr>
          <w:p w14:paraId="1CE0EC23" w14:textId="77777777" w:rsidR="009F48EE" w:rsidRPr="009F48EE" w:rsidRDefault="009F48EE" w:rsidP="009F48EE">
            <w:pPr>
              <w:spacing w:after="0" w:line="240" w:lineRule="auto"/>
              <w:jc w:val="both"/>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Euhaline</w:t>
            </w:r>
          </w:p>
        </w:tc>
        <w:tc>
          <w:tcPr>
            <w:tcW w:w="7200" w:type="dxa"/>
            <w:vMerge/>
            <w:tcBorders>
              <w:left w:val="single" w:sz="4" w:space="0" w:color="auto"/>
              <w:bottom w:val="single" w:sz="4" w:space="0" w:color="auto"/>
            </w:tcBorders>
            <w:vAlign w:val="center"/>
            <w:hideMark/>
          </w:tcPr>
          <w:p w14:paraId="7BCFAC3D" w14:textId="77777777" w:rsidR="009F48EE" w:rsidRPr="009F48EE" w:rsidRDefault="009F48EE" w:rsidP="009F48EE">
            <w:pPr>
              <w:spacing w:after="0" w:line="240" w:lineRule="auto"/>
              <w:rPr>
                <w:rFonts w:ascii="Times New Roman" w:eastAsia="Times New Roman" w:hAnsi="Times New Roman" w:cs="Times New Roman"/>
                <w:color w:val="000000"/>
                <w:sz w:val="20"/>
                <w:szCs w:val="20"/>
              </w:rPr>
            </w:pPr>
          </w:p>
        </w:tc>
      </w:tr>
    </w:tbl>
    <w:p w14:paraId="6438A9D0" w14:textId="77777777" w:rsidR="009F48EE" w:rsidRPr="009F48EE" w:rsidRDefault="009F48EE" w:rsidP="00FE1DDB">
      <w:pPr>
        <w:spacing w:after="0" w:line="240" w:lineRule="auto"/>
        <w:rPr>
          <w:rFonts w:ascii="Times New Roman" w:hAnsi="Times New Roman" w:cs="Times New Roman"/>
        </w:rPr>
      </w:pPr>
    </w:p>
    <w:p w14:paraId="5F621F2F" w14:textId="77777777" w:rsidR="009F48EE" w:rsidRDefault="009F48EE" w:rsidP="00FE1DDB">
      <w:pPr>
        <w:spacing w:after="0" w:line="240" w:lineRule="auto"/>
      </w:pPr>
    </w:p>
    <w:p w14:paraId="4B9AD4A0" w14:textId="5C98DED2" w:rsidR="009F48EE" w:rsidRPr="009F48EE" w:rsidRDefault="009F48EE" w:rsidP="00FE1DDB">
      <w:pPr>
        <w:spacing w:after="0" w:line="240" w:lineRule="auto"/>
        <w:rPr>
          <w:rFonts w:ascii="Times New Roman" w:hAnsi="Times New Roman" w:cs="Times New Roman"/>
        </w:rPr>
      </w:pPr>
      <w:r w:rsidRPr="009F48EE">
        <w:rPr>
          <w:rFonts w:ascii="Times New Roman" w:hAnsi="Times New Roman" w:cs="Times New Roman"/>
        </w:rPr>
        <w:t>For each station</w:t>
      </w:r>
      <w:r w:rsidR="00D25E86">
        <w:rPr>
          <w:rFonts w:ascii="Times New Roman" w:hAnsi="Times New Roman" w:cs="Times New Roman"/>
        </w:rPr>
        <w:t>,</w:t>
      </w:r>
      <w:r w:rsidRPr="009F48EE">
        <w:rPr>
          <w:rFonts w:ascii="Times New Roman" w:hAnsi="Times New Roman" w:cs="Times New Roman"/>
        </w:rPr>
        <w:t xml:space="preserve"> </w:t>
      </w:r>
      <w:r w:rsidR="00626C6E">
        <w:rPr>
          <w:rFonts w:ascii="Times New Roman" w:hAnsi="Times New Roman" w:cs="Times New Roman"/>
        </w:rPr>
        <w:t xml:space="preserve">quotients were derived by dividing </w:t>
      </w:r>
      <w:r w:rsidRPr="009F48EE">
        <w:rPr>
          <w:rFonts w:ascii="Times New Roman" w:hAnsi="Times New Roman" w:cs="Times New Roman"/>
        </w:rPr>
        <w:t xml:space="preserve">the measured concentration of each contaminant by its corresponding PEC or ERM screening value. </w:t>
      </w:r>
      <w:r w:rsidR="00626C6E">
        <w:rPr>
          <w:rFonts w:ascii="Times New Roman" w:hAnsi="Times New Roman" w:cs="Times New Roman"/>
        </w:rPr>
        <w:t>Quotients greater than 1</w:t>
      </w:r>
      <w:r w:rsidRPr="009F48EE">
        <w:rPr>
          <w:rFonts w:ascii="Times New Roman" w:hAnsi="Times New Roman" w:cs="Times New Roman"/>
        </w:rPr>
        <w:t xml:space="preserve"> </w:t>
      </w:r>
      <w:r w:rsidR="00626C6E">
        <w:rPr>
          <w:rFonts w:ascii="Times New Roman" w:hAnsi="Times New Roman" w:cs="Times New Roman"/>
        </w:rPr>
        <w:t xml:space="preserve">indicate </w:t>
      </w:r>
      <w:r w:rsidRPr="009F48EE">
        <w:rPr>
          <w:rFonts w:ascii="Times New Roman" w:hAnsi="Times New Roman" w:cs="Times New Roman"/>
        </w:rPr>
        <w:t xml:space="preserve">the measured concentration exceeded its screening value and adverse effects from that contaminant are “probable”. To predict the toxicity for mixtures of </w:t>
      </w:r>
      <w:r w:rsidR="00626C6E">
        <w:rPr>
          <w:rFonts w:ascii="Times New Roman" w:hAnsi="Times New Roman" w:cs="Times New Roman"/>
        </w:rPr>
        <w:t>multiple</w:t>
      </w:r>
      <w:r w:rsidRPr="009F48EE">
        <w:rPr>
          <w:rFonts w:ascii="Times New Roman" w:hAnsi="Times New Roman" w:cs="Times New Roman"/>
        </w:rPr>
        <w:t xml:space="preserve"> contaminants in sediments, the mean from an ecologically relevant subset of contaminant</w:t>
      </w:r>
      <w:r w:rsidR="00626C6E">
        <w:rPr>
          <w:rFonts w:ascii="Times New Roman" w:hAnsi="Times New Roman" w:cs="Times New Roman"/>
        </w:rPr>
        <w:t xml:space="preserve"> quotients</w:t>
      </w:r>
      <w:r w:rsidR="00B46EE3">
        <w:rPr>
          <w:rFonts w:ascii="Times New Roman" w:hAnsi="Times New Roman" w:cs="Times New Roman"/>
        </w:rPr>
        <w:t xml:space="preserve"> (mean Sediment Quality Guidelines Quotient or mSQGq) is used</w:t>
      </w:r>
      <w:r>
        <w:rPr>
          <w:rFonts w:ascii="Times New Roman" w:hAnsi="Times New Roman" w:cs="Times New Roman"/>
        </w:rPr>
        <w:t>. DEQ’s s</w:t>
      </w:r>
      <w:r w:rsidRPr="009F48EE">
        <w:rPr>
          <w:rFonts w:ascii="Times New Roman" w:hAnsi="Times New Roman" w:cs="Times New Roman"/>
        </w:rPr>
        <w:t xml:space="preserve">altwater sites </w:t>
      </w:r>
      <w:r w:rsidR="00B46EE3">
        <w:rPr>
          <w:rFonts w:ascii="Times New Roman" w:hAnsi="Times New Roman" w:cs="Times New Roman"/>
        </w:rPr>
        <w:t>incorporate</w:t>
      </w:r>
      <w:r w:rsidRPr="009F48EE">
        <w:rPr>
          <w:rFonts w:ascii="Times New Roman" w:hAnsi="Times New Roman" w:cs="Times New Roman"/>
        </w:rPr>
        <w:t xml:space="preserve"> the </w:t>
      </w:r>
      <w:r>
        <w:rPr>
          <w:rFonts w:ascii="Times New Roman" w:hAnsi="Times New Roman" w:cs="Times New Roman"/>
        </w:rPr>
        <w:t xml:space="preserve">same contaminant subset </w:t>
      </w:r>
      <w:r w:rsidR="007F59D8">
        <w:rPr>
          <w:rFonts w:ascii="Times New Roman" w:hAnsi="Times New Roman" w:cs="Times New Roman"/>
        </w:rPr>
        <w:t>used to calculate</w:t>
      </w:r>
      <w:r>
        <w:rPr>
          <w:rFonts w:ascii="Times New Roman" w:hAnsi="Times New Roman" w:cs="Times New Roman"/>
        </w:rPr>
        <w:t xml:space="preserve"> the </w:t>
      </w:r>
      <w:r w:rsidRPr="009F48EE">
        <w:rPr>
          <w:rFonts w:ascii="Times New Roman" w:hAnsi="Times New Roman" w:cs="Times New Roman"/>
        </w:rPr>
        <w:t xml:space="preserve">mean Effects-Range Median quotient (mERM-Q) </w:t>
      </w:r>
      <w:r w:rsidR="004A7945">
        <w:rPr>
          <w:rFonts w:ascii="Times New Roman" w:hAnsi="Times New Roman" w:cs="Times New Roman"/>
        </w:rPr>
        <w:t xml:space="preserve">from </w:t>
      </w:r>
      <w:r w:rsidRPr="009F48EE">
        <w:rPr>
          <w:rFonts w:ascii="Times New Roman" w:hAnsi="Times New Roman" w:cs="Times New Roman"/>
        </w:rPr>
        <w:t>Long et al. 1995</w:t>
      </w:r>
      <w:r w:rsidR="004A7945">
        <w:rPr>
          <w:rFonts w:ascii="Times New Roman" w:hAnsi="Times New Roman" w:cs="Times New Roman"/>
        </w:rPr>
        <w:t xml:space="preserve"> and the NCCA 2015 Technical </w:t>
      </w:r>
      <w:r w:rsidR="007F59D8">
        <w:rPr>
          <w:rFonts w:ascii="Times New Roman" w:hAnsi="Times New Roman" w:cs="Times New Roman"/>
        </w:rPr>
        <w:t>Support</w:t>
      </w:r>
      <w:r w:rsidR="004A7945">
        <w:rPr>
          <w:rFonts w:ascii="Times New Roman" w:hAnsi="Times New Roman" w:cs="Times New Roman"/>
        </w:rPr>
        <w:t xml:space="preserve"> Document</w:t>
      </w:r>
      <w:r>
        <w:rPr>
          <w:rFonts w:ascii="Times New Roman" w:hAnsi="Times New Roman" w:cs="Times New Roman"/>
        </w:rPr>
        <w:t>.</w:t>
      </w:r>
      <w:r w:rsidR="00B46EE3">
        <w:rPr>
          <w:rFonts w:ascii="Times New Roman" w:hAnsi="Times New Roman" w:cs="Times New Roman"/>
        </w:rPr>
        <w:t xml:space="preserve"> </w:t>
      </w:r>
      <w:r>
        <w:rPr>
          <w:rFonts w:ascii="Times New Roman" w:hAnsi="Times New Roman" w:cs="Times New Roman"/>
        </w:rPr>
        <w:t>F</w:t>
      </w:r>
      <w:r w:rsidRPr="009F48EE">
        <w:rPr>
          <w:rFonts w:ascii="Times New Roman" w:hAnsi="Times New Roman" w:cs="Times New Roman"/>
        </w:rPr>
        <w:t>reshwater and transitional sites adhere to the</w:t>
      </w:r>
      <w:r w:rsidR="00626C6E">
        <w:rPr>
          <w:rFonts w:ascii="Times New Roman" w:hAnsi="Times New Roman" w:cs="Times New Roman"/>
        </w:rPr>
        <w:t xml:space="preserve"> subset of contaminant quotients</w:t>
      </w:r>
      <w:r>
        <w:rPr>
          <w:rFonts w:ascii="Times New Roman" w:hAnsi="Times New Roman" w:cs="Times New Roman"/>
        </w:rPr>
        <w:t xml:space="preserve"> used </w:t>
      </w:r>
      <w:r w:rsidR="00626C6E">
        <w:rPr>
          <w:rFonts w:ascii="Times New Roman" w:hAnsi="Times New Roman" w:cs="Times New Roman"/>
        </w:rPr>
        <w:t>when calculating</w:t>
      </w:r>
      <w:r>
        <w:rPr>
          <w:rFonts w:ascii="Times New Roman" w:hAnsi="Times New Roman" w:cs="Times New Roman"/>
        </w:rPr>
        <w:t xml:space="preserve"> the</w:t>
      </w:r>
      <w:r w:rsidRPr="009F48EE">
        <w:rPr>
          <w:rFonts w:ascii="Times New Roman" w:hAnsi="Times New Roman" w:cs="Times New Roman"/>
        </w:rPr>
        <w:t xml:space="preserve"> </w:t>
      </w:r>
      <w:r>
        <w:rPr>
          <w:rFonts w:ascii="Times New Roman" w:hAnsi="Times New Roman" w:cs="Times New Roman"/>
        </w:rPr>
        <w:t xml:space="preserve">mean </w:t>
      </w:r>
      <w:r w:rsidRPr="00FE1DDB">
        <w:rPr>
          <w:rFonts w:ascii="Times New Roman" w:hAnsi="Times New Roman" w:cs="Times New Roman"/>
          <w:sz w:val="24"/>
          <w:szCs w:val="24"/>
        </w:rPr>
        <w:t>P</w:t>
      </w:r>
      <w:r>
        <w:rPr>
          <w:rFonts w:ascii="Times New Roman" w:hAnsi="Times New Roman" w:cs="Times New Roman"/>
          <w:sz w:val="24"/>
          <w:szCs w:val="24"/>
        </w:rPr>
        <w:t>robable Effects Concentrations</w:t>
      </w:r>
      <w:r w:rsidRPr="009F48EE">
        <w:rPr>
          <w:rFonts w:ascii="Times New Roman" w:hAnsi="Times New Roman" w:cs="Times New Roman"/>
        </w:rPr>
        <w:t xml:space="preserve"> </w:t>
      </w:r>
      <w:r>
        <w:rPr>
          <w:rFonts w:ascii="Times New Roman" w:hAnsi="Times New Roman" w:cs="Times New Roman"/>
        </w:rPr>
        <w:t xml:space="preserve">quotient </w:t>
      </w:r>
      <w:r w:rsidRPr="009F48EE">
        <w:rPr>
          <w:rFonts w:ascii="Times New Roman" w:hAnsi="Times New Roman" w:cs="Times New Roman"/>
        </w:rPr>
        <w:t xml:space="preserve">(mPEC-Q) </w:t>
      </w:r>
      <w:r w:rsidR="00B46EE3">
        <w:rPr>
          <w:rFonts w:ascii="Times New Roman" w:hAnsi="Times New Roman" w:cs="Times New Roman"/>
        </w:rPr>
        <w:t xml:space="preserve">(Hyland et al. 2003; </w:t>
      </w:r>
      <w:r w:rsidRPr="009F48EE">
        <w:rPr>
          <w:rFonts w:ascii="Times New Roman" w:hAnsi="Times New Roman" w:cs="Times New Roman"/>
        </w:rPr>
        <w:t>MacDonald et al. 2000</w:t>
      </w:r>
      <w:r w:rsidR="00B46EE3">
        <w:rPr>
          <w:rFonts w:ascii="Times New Roman" w:hAnsi="Times New Roman" w:cs="Times New Roman"/>
        </w:rPr>
        <w:t xml:space="preserve">; </w:t>
      </w:r>
      <w:r w:rsidRPr="009F48EE">
        <w:rPr>
          <w:rFonts w:ascii="Times New Roman" w:hAnsi="Times New Roman" w:cs="Times New Roman"/>
        </w:rPr>
        <w:t>Ingersoll et al. 2001</w:t>
      </w:r>
      <w:r w:rsidR="00B46EE3">
        <w:rPr>
          <w:rFonts w:ascii="Times New Roman" w:hAnsi="Times New Roman" w:cs="Times New Roman"/>
        </w:rPr>
        <w:t>)</w:t>
      </w:r>
      <w:r w:rsidRPr="009F48EE">
        <w:rPr>
          <w:rFonts w:ascii="Times New Roman" w:hAnsi="Times New Roman" w:cs="Times New Roman"/>
        </w:rPr>
        <w:t>.</w:t>
      </w:r>
      <w:r w:rsidR="007F59D8">
        <w:rPr>
          <w:rFonts w:ascii="Times New Roman" w:hAnsi="Times New Roman" w:cs="Times New Roman"/>
        </w:rPr>
        <w:t xml:space="preserve"> The larger the value of mSQGq, the higher the risk of adverse effects to aquatic life Table 4.5-</w:t>
      </w:r>
      <w:r w:rsidR="008B0194">
        <w:rPr>
          <w:rFonts w:ascii="Times New Roman" w:hAnsi="Times New Roman" w:cs="Times New Roman"/>
        </w:rPr>
        <w:t>15</w:t>
      </w:r>
      <w:r w:rsidR="007F59D8">
        <w:rPr>
          <w:rFonts w:ascii="Times New Roman" w:hAnsi="Times New Roman" w:cs="Times New Roman"/>
        </w:rPr>
        <w:t>.</w:t>
      </w:r>
    </w:p>
    <w:p w14:paraId="5FED92A9" w14:textId="13A3234F" w:rsidR="00545A3B" w:rsidRDefault="00545A3B" w:rsidP="00FE1DDB">
      <w:pPr>
        <w:spacing w:after="0" w:line="240" w:lineRule="auto"/>
        <w:jc w:val="both"/>
        <w:rPr>
          <w:rFonts w:ascii="Times New Roman" w:hAnsi="Times New Roman" w:cs="Times New Roman"/>
          <w:sz w:val="24"/>
          <w:szCs w:val="24"/>
        </w:rPr>
      </w:pPr>
    </w:p>
    <w:p w14:paraId="7F5F439D" w14:textId="67DEC858" w:rsidR="004A7945" w:rsidRPr="007F59D8" w:rsidRDefault="004A7945" w:rsidP="00307B7A">
      <w:pPr>
        <w:pStyle w:val="Caption"/>
        <w:keepNext/>
        <w:rPr>
          <w:rFonts w:ascii="Times New Roman" w:hAnsi="Times New Roman" w:cs="Times New Roman"/>
          <w:i w:val="0"/>
          <w:color w:val="000000" w:themeColor="text1"/>
          <w:sz w:val="20"/>
        </w:rPr>
      </w:pPr>
      <w:r w:rsidRPr="009E29FD">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15</w:t>
      </w:r>
      <w:r w:rsidR="007F59D8" w:rsidRPr="007F59D8">
        <w:rPr>
          <w:rFonts w:ascii="Times New Roman" w:hAnsi="Times New Roman" w:cs="Times New Roman"/>
          <w:i w:val="0"/>
          <w:color w:val="000000" w:themeColor="text1"/>
          <w:sz w:val="20"/>
        </w:rPr>
        <w:t xml:space="preserve"> Scores and threshold limits of Mean Sediment Quality Guideline Quotients (mSQGq)</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6480" w:type="dxa"/>
        <w:tblLook w:val="04A0" w:firstRow="1" w:lastRow="0" w:firstColumn="1" w:lastColumn="0" w:noHBand="0" w:noVBand="1"/>
        <w:tblCaption w:val="Table 4.5- 14 Scores and threshold limits of Mean Sediment Quality Guideline Quotients (mSQGq)"/>
        <w:tblDescription w:val="Table 4.5- 14 Scores and threshold limits of Mean Sediment Quality Guideline Quotients (mSQGq)"/>
      </w:tblPr>
      <w:tblGrid>
        <w:gridCol w:w="1609"/>
        <w:gridCol w:w="125"/>
        <w:gridCol w:w="2368"/>
        <w:gridCol w:w="1088"/>
        <w:gridCol w:w="1290"/>
      </w:tblGrid>
      <w:tr w:rsidR="009F48EE" w:rsidRPr="009F48EE" w14:paraId="2B48FEB6" w14:textId="77777777" w:rsidTr="00307B7A">
        <w:trPr>
          <w:trHeight w:val="372"/>
        </w:trPr>
        <w:tc>
          <w:tcPr>
            <w:tcW w:w="1734" w:type="dxa"/>
            <w:gridSpan w:val="2"/>
            <w:tcBorders>
              <w:top w:val="nil"/>
              <w:left w:val="nil"/>
              <w:bottom w:val="single" w:sz="4" w:space="0" w:color="auto"/>
              <w:right w:val="nil"/>
            </w:tcBorders>
            <w:shd w:val="clear" w:color="auto" w:fill="auto"/>
            <w:vAlign w:val="bottom"/>
            <w:hideMark/>
          </w:tcPr>
          <w:p w14:paraId="1E3AB08E" w14:textId="4B71CB0D"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hAnsi="Times New Roman" w:cs="Times New Roman"/>
                <w:b/>
              </w:rPr>
              <w:t>mSQGq</w:t>
            </w:r>
            <w:r w:rsidRPr="009F48EE">
              <w:rPr>
                <w:rFonts w:ascii="Times New Roman" w:eastAsia="Times New Roman" w:hAnsi="Times New Roman" w:cs="Times New Roman"/>
                <w:b/>
                <w:bCs/>
                <w:color w:val="222222"/>
                <w:sz w:val="20"/>
                <w:szCs w:val="20"/>
              </w:rPr>
              <w:t xml:space="preserve"> Score</w:t>
            </w:r>
          </w:p>
        </w:tc>
        <w:tc>
          <w:tcPr>
            <w:tcW w:w="2368" w:type="dxa"/>
            <w:tcBorders>
              <w:top w:val="nil"/>
              <w:left w:val="nil"/>
              <w:bottom w:val="single" w:sz="4" w:space="0" w:color="auto"/>
              <w:right w:val="nil"/>
            </w:tcBorders>
            <w:shd w:val="clear" w:color="auto" w:fill="auto"/>
            <w:vAlign w:val="bottom"/>
            <w:hideMark/>
          </w:tcPr>
          <w:p w14:paraId="4C93FB3F" w14:textId="25EEE12F"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hAnsi="Times New Roman" w:cs="Times New Roman"/>
                <w:b/>
              </w:rPr>
              <w:t>mSQGq</w:t>
            </w:r>
            <w:r w:rsidRPr="009F48EE">
              <w:rPr>
                <w:rFonts w:ascii="Times New Roman" w:eastAsia="Times New Roman" w:hAnsi="Times New Roman" w:cs="Times New Roman"/>
                <w:b/>
                <w:bCs/>
                <w:color w:val="222222"/>
                <w:sz w:val="20"/>
                <w:szCs w:val="20"/>
              </w:rPr>
              <w:t xml:space="preserve"> Score Range</w:t>
            </w:r>
          </w:p>
        </w:tc>
        <w:tc>
          <w:tcPr>
            <w:tcW w:w="1088" w:type="dxa"/>
            <w:tcBorders>
              <w:top w:val="nil"/>
              <w:left w:val="nil"/>
              <w:bottom w:val="single" w:sz="4" w:space="0" w:color="auto"/>
              <w:right w:val="nil"/>
            </w:tcBorders>
            <w:shd w:val="clear" w:color="auto" w:fill="auto"/>
            <w:vAlign w:val="bottom"/>
            <w:hideMark/>
          </w:tcPr>
          <w:p w14:paraId="641A7A8C"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Stations</w:t>
            </w:r>
          </w:p>
        </w:tc>
        <w:tc>
          <w:tcPr>
            <w:tcW w:w="1290" w:type="dxa"/>
            <w:tcBorders>
              <w:top w:val="nil"/>
              <w:left w:val="nil"/>
              <w:bottom w:val="single" w:sz="4" w:space="0" w:color="auto"/>
              <w:right w:val="nil"/>
            </w:tcBorders>
            <w:shd w:val="clear" w:color="auto" w:fill="auto"/>
            <w:vAlign w:val="bottom"/>
            <w:hideMark/>
          </w:tcPr>
          <w:p w14:paraId="66DC44D1"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Percentage</w:t>
            </w:r>
          </w:p>
        </w:tc>
      </w:tr>
      <w:tr w:rsidR="009F48EE" w:rsidRPr="009F48EE" w14:paraId="1C58FDD2" w14:textId="77777777" w:rsidTr="00307B7A">
        <w:trPr>
          <w:trHeight w:val="317"/>
        </w:trPr>
        <w:tc>
          <w:tcPr>
            <w:tcW w:w="1609" w:type="dxa"/>
            <w:tcBorders>
              <w:top w:val="single" w:sz="4" w:space="0" w:color="auto"/>
              <w:left w:val="nil"/>
              <w:bottom w:val="single" w:sz="4" w:space="0" w:color="D9D9D9" w:themeColor="background1" w:themeShade="D9"/>
              <w:right w:val="nil"/>
            </w:tcBorders>
            <w:shd w:val="clear" w:color="auto" w:fill="auto"/>
            <w:hideMark/>
          </w:tcPr>
          <w:p w14:paraId="2A605E77"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Good</w:t>
            </w:r>
          </w:p>
        </w:tc>
        <w:tc>
          <w:tcPr>
            <w:tcW w:w="2493" w:type="dxa"/>
            <w:gridSpan w:val="2"/>
            <w:tcBorders>
              <w:top w:val="single" w:sz="4" w:space="0" w:color="auto"/>
              <w:left w:val="nil"/>
              <w:bottom w:val="single" w:sz="4" w:space="0" w:color="D9D9D9" w:themeColor="background1" w:themeShade="D9"/>
              <w:right w:val="nil"/>
            </w:tcBorders>
            <w:shd w:val="clear" w:color="auto" w:fill="auto"/>
            <w:hideMark/>
          </w:tcPr>
          <w:p w14:paraId="4E14C69C"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u w:val="single"/>
              </w:rPr>
              <w:t>&lt;</w:t>
            </w:r>
            <w:r w:rsidRPr="009F48EE">
              <w:rPr>
                <w:rFonts w:ascii="Times New Roman" w:eastAsia="Times New Roman" w:hAnsi="Times New Roman" w:cs="Times New Roman"/>
                <w:color w:val="222222"/>
                <w:sz w:val="20"/>
                <w:szCs w:val="20"/>
              </w:rPr>
              <w:t xml:space="preserve"> 0.022</w:t>
            </w:r>
          </w:p>
        </w:tc>
        <w:tc>
          <w:tcPr>
            <w:tcW w:w="1088" w:type="dxa"/>
            <w:tcBorders>
              <w:top w:val="single" w:sz="4" w:space="0" w:color="auto"/>
              <w:left w:val="nil"/>
              <w:bottom w:val="single" w:sz="4" w:space="0" w:color="D9D9D9" w:themeColor="background1" w:themeShade="D9"/>
              <w:right w:val="nil"/>
            </w:tcBorders>
            <w:shd w:val="clear" w:color="auto" w:fill="auto"/>
            <w:hideMark/>
          </w:tcPr>
          <w:p w14:paraId="0E141E2D"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127</w:t>
            </w:r>
          </w:p>
        </w:tc>
        <w:tc>
          <w:tcPr>
            <w:tcW w:w="1290" w:type="dxa"/>
            <w:tcBorders>
              <w:top w:val="single" w:sz="4" w:space="0" w:color="auto"/>
              <w:left w:val="nil"/>
              <w:bottom w:val="single" w:sz="4" w:space="0" w:color="D9D9D9" w:themeColor="background1" w:themeShade="D9"/>
              <w:right w:val="nil"/>
            </w:tcBorders>
            <w:shd w:val="clear" w:color="auto" w:fill="auto"/>
            <w:hideMark/>
          </w:tcPr>
          <w:p w14:paraId="34D64D1C"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42.76 ± 5.65</w:t>
            </w:r>
          </w:p>
        </w:tc>
      </w:tr>
      <w:tr w:rsidR="009F48EE" w:rsidRPr="009F48EE" w14:paraId="0024B5D8" w14:textId="77777777" w:rsidTr="00307B7A">
        <w:trPr>
          <w:trHeight w:val="317"/>
        </w:trPr>
        <w:tc>
          <w:tcPr>
            <w:tcW w:w="1609"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1D0E222E"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Fair</w:t>
            </w:r>
          </w:p>
        </w:tc>
        <w:tc>
          <w:tcPr>
            <w:tcW w:w="2493" w:type="dxa"/>
            <w:gridSpan w:val="2"/>
            <w:tcBorders>
              <w:top w:val="single" w:sz="4" w:space="0" w:color="D9D9D9" w:themeColor="background1" w:themeShade="D9"/>
              <w:left w:val="nil"/>
              <w:bottom w:val="single" w:sz="4" w:space="0" w:color="D9D9D9" w:themeColor="background1" w:themeShade="D9"/>
              <w:right w:val="nil"/>
            </w:tcBorders>
            <w:shd w:val="clear" w:color="auto" w:fill="auto"/>
            <w:hideMark/>
          </w:tcPr>
          <w:p w14:paraId="4241FDBA"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 xml:space="preserve">&gt; 0.022  and </w:t>
            </w:r>
            <w:r w:rsidRPr="009F48EE">
              <w:rPr>
                <w:rFonts w:ascii="Times New Roman" w:eastAsia="Times New Roman" w:hAnsi="Times New Roman" w:cs="Times New Roman"/>
                <w:color w:val="222222"/>
                <w:sz w:val="20"/>
                <w:szCs w:val="20"/>
                <w:u w:val="single"/>
              </w:rPr>
              <w:t>&lt;</w:t>
            </w:r>
            <w:r w:rsidRPr="009F48EE">
              <w:rPr>
                <w:rFonts w:ascii="Times New Roman" w:eastAsia="Times New Roman" w:hAnsi="Times New Roman" w:cs="Times New Roman"/>
                <w:color w:val="222222"/>
                <w:sz w:val="20"/>
                <w:szCs w:val="20"/>
              </w:rPr>
              <w:t xml:space="preserve"> 0.098</w:t>
            </w:r>
          </w:p>
        </w:tc>
        <w:tc>
          <w:tcPr>
            <w:tcW w:w="1088"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78AF9931"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141</w:t>
            </w:r>
          </w:p>
        </w:tc>
        <w:tc>
          <w:tcPr>
            <w:tcW w:w="1290"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0394D7BA"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47.47 ± 5.7</w:t>
            </w:r>
          </w:p>
        </w:tc>
      </w:tr>
      <w:tr w:rsidR="009F48EE" w:rsidRPr="009F48EE" w14:paraId="65A47F64" w14:textId="77777777" w:rsidTr="00307B7A">
        <w:trPr>
          <w:trHeight w:val="317"/>
        </w:trPr>
        <w:tc>
          <w:tcPr>
            <w:tcW w:w="1609"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1B60C695"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Poor</w:t>
            </w:r>
          </w:p>
        </w:tc>
        <w:tc>
          <w:tcPr>
            <w:tcW w:w="2493" w:type="dxa"/>
            <w:gridSpan w:val="2"/>
            <w:tcBorders>
              <w:top w:val="single" w:sz="4" w:space="0" w:color="D9D9D9" w:themeColor="background1" w:themeShade="D9"/>
              <w:left w:val="nil"/>
              <w:bottom w:val="single" w:sz="4" w:space="0" w:color="D9D9D9" w:themeColor="background1" w:themeShade="D9"/>
              <w:right w:val="nil"/>
            </w:tcBorders>
            <w:shd w:val="clear" w:color="auto" w:fill="auto"/>
            <w:hideMark/>
          </w:tcPr>
          <w:p w14:paraId="6AAF14ED"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 xml:space="preserve">&gt; 0.098  and </w:t>
            </w:r>
            <w:r w:rsidRPr="009F48EE">
              <w:rPr>
                <w:rFonts w:ascii="Times New Roman" w:eastAsia="Times New Roman" w:hAnsi="Times New Roman" w:cs="Times New Roman"/>
                <w:color w:val="222222"/>
                <w:sz w:val="20"/>
                <w:szCs w:val="20"/>
                <w:u w:val="single"/>
              </w:rPr>
              <w:t>&lt;</w:t>
            </w:r>
            <w:r w:rsidRPr="009F48EE">
              <w:rPr>
                <w:rFonts w:ascii="Times New Roman" w:eastAsia="Times New Roman" w:hAnsi="Times New Roman" w:cs="Times New Roman"/>
                <w:color w:val="222222"/>
                <w:sz w:val="20"/>
                <w:szCs w:val="20"/>
              </w:rPr>
              <w:t xml:space="preserve"> 0.473</w:t>
            </w:r>
          </w:p>
        </w:tc>
        <w:tc>
          <w:tcPr>
            <w:tcW w:w="1088"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59C2A54F"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29</w:t>
            </w:r>
          </w:p>
        </w:tc>
        <w:tc>
          <w:tcPr>
            <w:tcW w:w="1290" w:type="dxa"/>
            <w:tcBorders>
              <w:top w:val="single" w:sz="4" w:space="0" w:color="D9D9D9" w:themeColor="background1" w:themeShade="D9"/>
              <w:left w:val="nil"/>
              <w:bottom w:val="single" w:sz="4" w:space="0" w:color="D9D9D9" w:themeColor="background1" w:themeShade="D9"/>
              <w:right w:val="nil"/>
            </w:tcBorders>
            <w:shd w:val="clear" w:color="auto" w:fill="auto"/>
            <w:hideMark/>
          </w:tcPr>
          <w:p w14:paraId="1B4CA00B"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9.76 ± 3.39</w:t>
            </w:r>
          </w:p>
        </w:tc>
      </w:tr>
      <w:tr w:rsidR="009F48EE" w:rsidRPr="009F48EE" w14:paraId="60A1EBA2" w14:textId="77777777" w:rsidTr="00307B7A">
        <w:trPr>
          <w:trHeight w:val="317"/>
        </w:trPr>
        <w:tc>
          <w:tcPr>
            <w:tcW w:w="1609" w:type="dxa"/>
            <w:tcBorders>
              <w:top w:val="single" w:sz="4" w:space="0" w:color="D9D9D9" w:themeColor="background1" w:themeShade="D9"/>
              <w:left w:val="nil"/>
              <w:bottom w:val="single" w:sz="4" w:space="0" w:color="auto"/>
              <w:right w:val="nil"/>
            </w:tcBorders>
            <w:shd w:val="clear" w:color="auto" w:fill="auto"/>
            <w:hideMark/>
          </w:tcPr>
          <w:p w14:paraId="72B7FE69"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Very Poor</w:t>
            </w:r>
          </w:p>
        </w:tc>
        <w:tc>
          <w:tcPr>
            <w:tcW w:w="2493" w:type="dxa"/>
            <w:gridSpan w:val="2"/>
            <w:tcBorders>
              <w:top w:val="single" w:sz="4" w:space="0" w:color="D9D9D9" w:themeColor="background1" w:themeShade="D9"/>
              <w:left w:val="nil"/>
              <w:bottom w:val="single" w:sz="4" w:space="0" w:color="auto"/>
              <w:right w:val="nil"/>
            </w:tcBorders>
            <w:shd w:val="clear" w:color="auto" w:fill="auto"/>
            <w:hideMark/>
          </w:tcPr>
          <w:p w14:paraId="17A7EF3E" w14:textId="77777777" w:rsidR="009F48EE" w:rsidRPr="009F48EE" w:rsidRDefault="009F48EE" w:rsidP="009F48EE">
            <w:pPr>
              <w:spacing w:after="0" w:line="240" w:lineRule="auto"/>
              <w:jc w:val="both"/>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&gt;0.473</w:t>
            </w:r>
          </w:p>
        </w:tc>
        <w:tc>
          <w:tcPr>
            <w:tcW w:w="1088" w:type="dxa"/>
            <w:tcBorders>
              <w:top w:val="single" w:sz="4" w:space="0" w:color="D9D9D9" w:themeColor="background1" w:themeShade="D9"/>
              <w:left w:val="nil"/>
              <w:bottom w:val="single" w:sz="4" w:space="0" w:color="auto"/>
              <w:right w:val="nil"/>
            </w:tcBorders>
            <w:shd w:val="clear" w:color="auto" w:fill="auto"/>
            <w:vAlign w:val="center"/>
            <w:hideMark/>
          </w:tcPr>
          <w:p w14:paraId="2091E2FC" w14:textId="77777777" w:rsidR="009F48EE" w:rsidRPr="009F48EE" w:rsidRDefault="009F48EE" w:rsidP="009F48EE">
            <w:pPr>
              <w:spacing w:after="0" w:line="240" w:lineRule="auto"/>
              <w:rPr>
                <w:rFonts w:ascii="Times New Roman" w:eastAsia="Times New Roman" w:hAnsi="Times New Roman" w:cs="Times New Roman"/>
                <w:color w:val="222222"/>
                <w:sz w:val="20"/>
                <w:szCs w:val="20"/>
              </w:rPr>
            </w:pPr>
            <w:r w:rsidRPr="009F48EE">
              <w:rPr>
                <w:rFonts w:ascii="Times New Roman" w:eastAsia="Times New Roman" w:hAnsi="Times New Roman" w:cs="Times New Roman"/>
                <w:color w:val="222222"/>
                <w:sz w:val="20"/>
                <w:szCs w:val="20"/>
              </w:rPr>
              <w:t>0</w:t>
            </w:r>
          </w:p>
        </w:tc>
        <w:tc>
          <w:tcPr>
            <w:tcW w:w="1290" w:type="dxa"/>
            <w:tcBorders>
              <w:top w:val="single" w:sz="4" w:space="0" w:color="D9D9D9" w:themeColor="background1" w:themeShade="D9"/>
              <w:left w:val="nil"/>
              <w:bottom w:val="single" w:sz="4" w:space="0" w:color="auto"/>
              <w:right w:val="nil"/>
            </w:tcBorders>
            <w:shd w:val="clear" w:color="auto" w:fill="auto"/>
            <w:noWrap/>
            <w:vAlign w:val="center"/>
            <w:hideMark/>
          </w:tcPr>
          <w:p w14:paraId="17BD9FA3" w14:textId="77777777" w:rsidR="009F48EE" w:rsidRPr="009F48EE" w:rsidRDefault="009F48EE" w:rsidP="009F48EE">
            <w:pPr>
              <w:spacing w:after="0" w:line="240" w:lineRule="auto"/>
              <w:rPr>
                <w:rFonts w:ascii="Times New Roman" w:eastAsia="Times New Roman" w:hAnsi="Times New Roman" w:cs="Times New Roman"/>
                <w:color w:val="000000"/>
                <w:sz w:val="20"/>
                <w:szCs w:val="20"/>
              </w:rPr>
            </w:pPr>
            <w:r w:rsidRPr="009F48EE">
              <w:rPr>
                <w:rFonts w:ascii="Times New Roman" w:eastAsia="Times New Roman" w:hAnsi="Times New Roman" w:cs="Times New Roman"/>
                <w:color w:val="000000"/>
                <w:sz w:val="20"/>
                <w:szCs w:val="20"/>
              </w:rPr>
              <w:t>0</w:t>
            </w:r>
          </w:p>
        </w:tc>
      </w:tr>
      <w:tr w:rsidR="009F48EE" w:rsidRPr="009F48EE" w14:paraId="64176FF3" w14:textId="77777777" w:rsidTr="00307B7A">
        <w:trPr>
          <w:trHeight w:val="286"/>
        </w:trPr>
        <w:tc>
          <w:tcPr>
            <w:tcW w:w="1609" w:type="dxa"/>
            <w:tcBorders>
              <w:top w:val="nil"/>
              <w:left w:val="nil"/>
              <w:bottom w:val="single" w:sz="4" w:space="0" w:color="auto"/>
              <w:right w:val="nil"/>
            </w:tcBorders>
            <w:shd w:val="clear" w:color="auto" w:fill="auto"/>
            <w:hideMark/>
          </w:tcPr>
          <w:p w14:paraId="3ED98144"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Total</w:t>
            </w:r>
          </w:p>
        </w:tc>
        <w:tc>
          <w:tcPr>
            <w:tcW w:w="2493" w:type="dxa"/>
            <w:gridSpan w:val="2"/>
            <w:tcBorders>
              <w:top w:val="nil"/>
              <w:left w:val="nil"/>
              <w:bottom w:val="single" w:sz="4" w:space="0" w:color="auto"/>
              <w:right w:val="nil"/>
            </w:tcBorders>
            <w:shd w:val="clear" w:color="auto" w:fill="auto"/>
            <w:hideMark/>
          </w:tcPr>
          <w:p w14:paraId="3940D842"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 </w:t>
            </w:r>
          </w:p>
        </w:tc>
        <w:tc>
          <w:tcPr>
            <w:tcW w:w="1088" w:type="dxa"/>
            <w:tcBorders>
              <w:top w:val="nil"/>
              <w:left w:val="nil"/>
              <w:bottom w:val="single" w:sz="4" w:space="0" w:color="auto"/>
              <w:right w:val="nil"/>
            </w:tcBorders>
            <w:shd w:val="clear" w:color="auto" w:fill="auto"/>
            <w:hideMark/>
          </w:tcPr>
          <w:p w14:paraId="07B52B8E"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297</w:t>
            </w:r>
          </w:p>
        </w:tc>
        <w:tc>
          <w:tcPr>
            <w:tcW w:w="1290" w:type="dxa"/>
            <w:tcBorders>
              <w:top w:val="nil"/>
              <w:left w:val="nil"/>
              <w:bottom w:val="single" w:sz="4" w:space="0" w:color="auto"/>
              <w:right w:val="nil"/>
            </w:tcBorders>
            <w:shd w:val="clear" w:color="auto" w:fill="auto"/>
            <w:hideMark/>
          </w:tcPr>
          <w:p w14:paraId="4C549651" w14:textId="77777777" w:rsidR="009F48EE" w:rsidRPr="009F48EE" w:rsidRDefault="009F48EE" w:rsidP="009F48EE">
            <w:pPr>
              <w:spacing w:after="0" w:line="240" w:lineRule="auto"/>
              <w:jc w:val="both"/>
              <w:rPr>
                <w:rFonts w:ascii="Times New Roman" w:eastAsia="Times New Roman" w:hAnsi="Times New Roman" w:cs="Times New Roman"/>
                <w:b/>
                <w:bCs/>
                <w:color w:val="222222"/>
                <w:sz w:val="20"/>
                <w:szCs w:val="20"/>
              </w:rPr>
            </w:pPr>
            <w:r w:rsidRPr="009F48EE">
              <w:rPr>
                <w:rFonts w:ascii="Times New Roman" w:eastAsia="Times New Roman" w:hAnsi="Times New Roman" w:cs="Times New Roman"/>
                <w:b/>
                <w:bCs/>
                <w:color w:val="222222"/>
                <w:sz w:val="20"/>
                <w:szCs w:val="20"/>
              </w:rPr>
              <w:t> </w:t>
            </w:r>
          </w:p>
        </w:tc>
      </w:tr>
    </w:tbl>
    <w:p w14:paraId="72DC9505" w14:textId="77777777" w:rsidR="009F48EE" w:rsidRDefault="009F48EE" w:rsidP="00FE1DDB">
      <w:pPr>
        <w:spacing w:after="0" w:line="240" w:lineRule="auto"/>
        <w:jc w:val="both"/>
        <w:rPr>
          <w:rFonts w:ascii="Times New Roman" w:hAnsi="Times New Roman" w:cs="Times New Roman"/>
          <w:sz w:val="24"/>
          <w:szCs w:val="24"/>
        </w:rPr>
      </w:pPr>
    </w:p>
    <w:p w14:paraId="2147C988" w14:textId="3D3F19FC" w:rsidR="00320A0E" w:rsidRDefault="001E55D3"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Logistic Regression Model (LRM):</w:t>
      </w:r>
      <w:r w:rsidRPr="00FE1DDB">
        <w:rPr>
          <w:rFonts w:ascii="Times New Roman" w:hAnsi="Times New Roman" w:cs="Times New Roman"/>
          <w:sz w:val="24"/>
          <w:szCs w:val="24"/>
        </w:rPr>
        <w:t xml:space="preserve"> NCCA introduced the Logistic Regression Model for sediment characterizations in the report on the 2010 National Survey (US EPA, 2015, 2016). Tabled logistic regression coefficients from Field et al. (2002) were presented for 10 metals, 21 PAHs, biphenyl, total PCBs, and 4 pesticides. The observed concentration of each tabled analyte is used in the LRM to calculate the estimated probability of significant acute mortality to </w:t>
      </w:r>
      <w:r w:rsidRPr="00FE1DDB">
        <w:rPr>
          <w:rFonts w:ascii="Times New Roman" w:hAnsi="Times New Roman" w:cs="Times New Roman"/>
          <w:sz w:val="24"/>
          <w:szCs w:val="24"/>
        </w:rPr>
        <w:lastRenderedPageBreak/>
        <w:t>amphipod crustaceans. NCCA subsequently use</w:t>
      </w:r>
      <w:r w:rsidR="009352C6" w:rsidRPr="00FE1DDB">
        <w:rPr>
          <w:rFonts w:ascii="Times New Roman" w:hAnsi="Times New Roman" w:cs="Times New Roman"/>
          <w:sz w:val="24"/>
          <w:szCs w:val="24"/>
        </w:rPr>
        <w:t>d</w:t>
      </w:r>
      <w:r w:rsidRPr="00FE1DDB">
        <w:rPr>
          <w:rFonts w:ascii="Times New Roman" w:hAnsi="Times New Roman" w:cs="Times New Roman"/>
          <w:sz w:val="24"/>
          <w:szCs w:val="24"/>
        </w:rPr>
        <w:t xml:space="preserve"> the maximum probability of toxicity (P</w:t>
      </w:r>
      <w:r w:rsidRPr="00FE1DDB">
        <w:rPr>
          <w:rFonts w:ascii="Times New Roman" w:hAnsi="Times New Roman" w:cs="Times New Roman"/>
          <w:b/>
          <w:sz w:val="24"/>
          <w:szCs w:val="24"/>
          <w:vertAlign w:val="subscript"/>
        </w:rPr>
        <w:t>max</w:t>
      </w:r>
      <w:r w:rsidRPr="00FE1DDB">
        <w:rPr>
          <w:rFonts w:ascii="Times New Roman" w:hAnsi="Times New Roman" w:cs="Times New Roman"/>
          <w:sz w:val="24"/>
          <w:szCs w:val="24"/>
        </w:rPr>
        <w:t>) among all analytes to characterize sediment chemistry at the site</w:t>
      </w:r>
      <w:r w:rsidR="00B632EE">
        <w:rPr>
          <w:rFonts w:ascii="Times New Roman" w:hAnsi="Times New Roman" w:cs="Times New Roman"/>
          <w:sz w:val="24"/>
          <w:szCs w:val="24"/>
        </w:rPr>
        <w:t xml:space="preserve"> </w:t>
      </w:r>
      <w:r w:rsidR="00B632EE" w:rsidRPr="00FE1DDB">
        <w:rPr>
          <w:rFonts w:ascii="Times New Roman" w:hAnsi="Times New Roman" w:cs="Times New Roman"/>
          <w:sz w:val="24"/>
          <w:szCs w:val="24"/>
        </w:rPr>
        <w:t>(US EPA, 2015, 2016)</w:t>
      </w:r>
      <w:r w:rsidRPr="00FE1DDB">
        <w:rPr>
          <w:rFonts w:ascii="Times New Roman" w:hAnsi="Times New Roman" w:cs="Times New Roman"/>
          <w:sz w:val="24"/>
          <w:szCs w:val="24"/>
        </w:rPr>
        <w:t xml:space="preserve">. Table </w:t>
      </w:r>
      <w:r w:rsidR="005238B2"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Pr>
          <w:rFonts w:ascii="Times New Roman" w:hAnsi="Times New Roman" w:cs="Times New Roman"/>
          <w:sz w:val="24"/>
          <w:szCs w:val="24"/>
        </w:rPr>
        <w:t>16</w:t>
      </w:r>
      <w:r w:rsidR="008B0194" w:rsidRPr="00FE1DDB">
        <w:rPr>
          <w:rFonts w:ascii="Times New Roman" w:hAnsi="Times New Roman" w:cs="Times New Roman"/>
          <w:sz w:val="24"/>
          <w:szCs w:val="24"/>
        </w:rPr>
        <w:t xml:space="preserve"> </w:t>
      </w:r>
      <w:r w:rsidRPr="00FE1DDB">
        <w:rPr>
          <w:rFonts w:ascii="Times New Roman" w:hAnsi="Times New Roman" w:cs="Times New Roman"/>
          <w:sz w:val="24"/>
          <w:szCs w:val="24"/>
        </w:rPr>
        <w:t>summarizes the NCCA P</w:t>
      </w:r>
      <w:r w:rsidRPr="00FE1DDB">
        <w:rPr>
          <w:rFonts w:ascii="Times New Roman" w:hAnsi="Times New Roman" w:cs="Times New Roman"/>
          <w:b/>
          <w:sz w:val="24"/>
          <w:szCs w:val="24"/>
          <w:vertAlign w:val="subscript"/>
        </w:rPr>
        <w:t>max</w:t>
      </w:r>
      <w:r w:rsidRPr="00FE1DDB">
        <w:rPr>
          <w:rFonts w:ascii="Times New Roman" w:hAnsi="Times New Roman" w:cs="Times New Roman"/>
          <w:sz w:val="24"/>
          <w:szCs w:val="24"/>
        </w:rPr>
        <w:t xml:space="preserve"> thresholds and the consequent distribution of sediment </w:t>
      </w:r>
      <w:r w:rsidR="00403F83" w:rsidRPr="00FE1DDB">
        <w:rPr>
          <w:rFonts w:ascii="Times New Roman" w:hAnsi="Times New Roman" w:cs="Times New Roman"/>
          <w:sz w:val="24"/>
          <w:szCs w:val="24"/>
        </w:rPr>
        <w:t>characterizations</w:t>
      </w:r>
      <w:r w:rsidRPr="00FE1DDB">
        <w:rPr>
          <w:rFonts w:ascii="Times New Roman" w:hAnsi="Times New Roman" w:cs="Times New Roman"/>
          <w:sz w:val="24"/>
          <w:szCs w:val="24"/>
        </w:rPr>
        <w:t xml:space="preserve"> in Virginia’s estuar</w:t>
      </w:r>
      <w:r w:rsidR="00236854" w:rsidRPr="00FE1DDB">
        <w:rPr>
          <w:rFonts w:ascii="Times New Roman" w:hAnsi="Times New Roman" w:cs="Times New Roman"/>
          <w:sz w:val="24"/>
          <w:szCs w:val="24"/>
        </w:rPr>
        <w:t>ine waters.</w:t>
      </w:r>
    </w:p>
    <w:p w14:paraId="3E9632C9" w14:textId="2F379592" w:rsidR="00D21F3A" w:rsidRDefault="00D21F3A" w:rsidP="00FE1DDB">
      <w:pPr>
        <w:spacing w:after="0" w:line="240" w:lineRule="auto"/>
        <w:jc w:val="both"/>
        <w:rPr>
          <w:rFonts w:ascii="Times New Roman" w:hAnsi="Times New Roman" w:cs="Times New Roman"/>
          <w:sz w:val="24"/>
          <w:szCs w:val="24"/>
        </w:rPr>
      </w:pPr>
    </w:p>
    <w:p w14:paraId="707348E2" w14:textId="2E9030EA" w:rsidR="007F59D8" w:rsidRPr="007F59D8" w:rsidRDefault="007F59D8" w:rsidP="00307B7A">
      <w:pPr>
        <w:pStyle w:val="Caption"/>
        <w:keepNext/>
        <w:rPr>
          <w:rFonts w:ascii="Times New Roman" w:hAnsi="Times New Roman" w:cs="Times New Roman"/>
          <w:i w:val="0"/>
          <w:color w:val="000000" w:themeColor="text1"/>
          <w:sz w:val="20"/>
        </w:rPr>
      </w:pPr>
      <w:r w:rsidRPr="007F59D8">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16</w:t>
      </w:r>
      <w:r w:rsidR="008B0194" w:rsidRPr="007F59D8">
        <w:rPr>
          <w:rFonts w:ascii="Times New Roman" w:hAnsi="Times New Roman" w:cs="Times New Roman"/>
          <w:i w:val="0"/>
          <w:color w:val="000000" w:themeColor="text1"/>
          <w:sz w:val="20"/>
        </w:rPr>
        <w:t xml:space="preserve"> </w:t>
      </w:r>
      <w:r w:rsidRPr="007F59D8">
        <w:rPr>
          <w:rFonts w:ascii="Times New Roman" w:hAnsi="Times New Roman" w:cs="Times New Roman"/>
          <w:i w:val="0"/>
          <w:color w:val="000000" w:themeColor="text1"/>
          <w:sz w:val="20"/>
        </w:rPr>
        <w:t>Logistic Regression P</w:t>
      </w:r>
      <w:r w:rsidRPr="007F59D8">
        <w:rPr>
          <w:rFonts w:ascii="Times New Roman" w:hAnsi="Times New Roman" w:cs="Times New Roman"/>
          <w:i w:val="0"/>
          <w:color w:val="000000" w:themeColor="text1"/>
          <w:sz w:val="20"/>
          <w:vertAlign w:val="subscript"/>
        </w:rPr>
        <w:t>max</w:t>
      </w:r>
      <w:r w:rsidRPr="007F59D8">
        <w:rPr>
          <w:rFonts w:ascii="Times New Roman" w:hAnsi="Times New Roman" w:cs="Times New Roman"/>
          <w:i w:val="0"/>
          <w:color w:val="000000" w:themeColor="text1"/>
          <w:sz w:val="20"/>
        </w:rPr>
        <w:t xml:space="preserve"> scores and ranges based on NCCA 2015 thresholds</w:t>
      </w:r>
      <w:r w:rsidR="008B0194">
        <w:rPr>
          <w:rFonts w:ascii="Times New Roman" w:hAnsi="Times New Roman" w:cs="Times New Roman"/>
          <w:i w:val="0"/>
          <w:color w:val="000000" w:themeColor="text1"/>
          <w:sz w:val="20"/>
        </w:rPr>
        <w:t xml:space="preserve">, </w:t>
      </w:r>
      <w:r w:rsidR="008B0194" w:rsidRPr="00247379">
        <w:rPr>
          <w:rFonts w:ascii="Times New Roman" w:hAnsi="Times New Roman" w:cs="Times New Roman"/>
          <w:i w:val="0"/>
          <w:color w:val="000000" w:themeColor="text1"/>
          <w:sz w:val="20"/>
          <w:szCs w:val="20"/>
        </w:rPr>
        <w:t>2015-2020</w:t>
      </w:r>
    </w:p>
    <w:tbl>
      <w:tblPr>
        <w:tblW w:w="6480" w:type="dxa"/>
        <w:tblLook w:val="04A0" w:firstRow="1" w:lastRow="0" w:firstColumn="1" w:lastColumn="0" w:noHBand="0" w:noVBand="1"/>
        <w:tblCaption w:val="Table 4.5- 15 Logistic Regression Pmax scores and ranges based on NCCA 2015 thresholds"/>
        <w:tblDescription w:val="Table 4.5- 15 Logistic Regression Pmax scores and ranges based on NCCA 2015 thresholds"/>
      </w:tblPr>
      <w:tblGrid>
        <w:gridCol w:w="1350"/>
        <w:gridCol w:w="2070"/>
        <w:gridCol w:w="1170"/>
        <w:gridCol w:w="1890"/>
      </w:tblGrid>
      <w:tr w:rsidR="007F59D8" w:rsidRPr="007F59D8" w14:paraId="52A8BA5C" w14:textId="77777777" w:rsidTr="00307B7A">
        <w:trPr>
          <w:trHeight w:val="317"/>
        </w:trPr>
        <w:tc>
          <w:tcPr>
            <w:tcW w:w="1350" w:type="dxa"/>
            <w:tcBorders>
              <w:top w:val="nil"/>
              <w:left w:val="nil"/>
              <w:bottom w:val="single" w:sz="12" w:space="0" w:color="111111"/>
              <w:right w:val="nil"/>
            </w:tcBorders>
            <w:shd w:val="clear" w:color="auto" w:fill="auto"/>
            <w:vAlign w:val="center"/>
            <w:hideMark/>
          </w:tcPr>
          <w:p w14:paraId="42634E74" w14:textId="77777777" w:rsidR="007F59D8" w:rsidRPr="007F59D8" w:rsidRDefault="007F59D8" w:rsidP="007F59D8">
            <w:pPr>
              <w:spacing w:after="0" w:line="240" w:lineRule="auto"/>
              <w:rPr>
                <w:rFonts w:ascii="Times New Roman" w:eastAsia="Times New Roman" w:hAnsi="Times New Roman" w:cs="Times New Roman"/>
                <w:b/>
                <w:color w:val="000000"/>
                <w:sz w:val="20"/>
                <w:szCs w:val="20"/>
              </w:rPr>
            </w:pPr>
            <w:r w:rsidRPr="007F59D8">
              <w:rPr>
                <w:rFonts w:ascii="Times New Roman" w:eastAsia="Times New Roman" w:hAnsi="Times New Roman" w:cs="Times New Roman"/>
                <w:b/>
                <w:color w:val="000000"/>
                <w:sz w:val="20"/>
                <w:szCs w:val="20"/>
              </w:rPr>
              <w:t>p</w:t>
            </w:r>
            <w:r w:rsidRPr="007F59D8">
              <w:rPr>
                <w:rFonts w:ascii="Times New Roman" w:eastAsia="Times New Roman" w:hAnsi="Times New Roman" w:cs="Times New Roman"/>
                <w:b/>
                <w:color w:val="000000"/>
                <w:sz w:val="20"/>
                <w:szCs w:val="20"/>
                <w:vertAlign w:val="subscript"/>
              </w:rPr>
              <w:t xml:space="preserve">max </w:t>
            </w:r>
            <w:r w:rsidRPr="007F59D8">
              <w:rPr>
                <w:rFonts w:ascii="Times New Roman" w:eastAsia="Times New Roman" w:hAnsi="Times New Roman" w:cs="Times New Roman"/>
                <w:b/>
                <w:color w:val="000000"/>
                <w:sz w:val="20"/>
                <w:szCs w:val="20"/>
              </w:rPr>
              <w:t>Score</w:t>
            </w:r>
          </w:p>
        </w:tc>
        <w:tc>
          <w:tcPr>
            <w:tcW w:w="2070" w:type="dxa"/>
            <w:tcBorders>
              <w:top w:val="nil"/>
              <w:left w:val="nil"/>
              <w:bottom w:val="single" w:sz="12" w:space="0" w:color="111111"/>
              <w:right w:val="nil"/>
            </w:tcBorders>
            <w:shd w:val="clear" w:color="auto" w:fill="auto"/>
            <w:vAlign w:val="center"/>
            <w:hideMark/>
          </w:tcPr>
          <w:p w14:paraId="76C58072" w14:textId="77777777" w:rsidR="007F59D8" w:rsidRPr="007F59D8" w:rsidRDefault="007F59D8" w:rsidP="007F59D8">
            <w:pPr>
              <w:spacing w:after="0" w:line="240" w:lineRule="auto"/>
              <w:rPr>
                <w:rFonts w:ascii="Times New Roman" w:eastAsia="Times New Roman" w:hAnsi="Times New Roman" w:cs="Times New Roman"/>
                <w:b/>
                <w:color w:val="000000"/>
                <w:sz w:val="20"/>
                <w:szCs w:val="20"/>
              </w:rPr>
            </w:pPr>
            <w:r w:rsidRPr="007F59D8">
              <w:rPr>
                <w:rFonts w:ascii="Times New Roman" w:eastAsia="Times New Roman" w:hAnsi="Times New Roman" w:cs="Times New Roman"/>
                <w:b/>
                <w:color w:val="000000"/>
                <w:sz w:val="20"/>
                <w:szCs w:val="20"/>
              </w:rPr>
              <w:t>p</w:t>
            </w:r>
            <w:r w:rsidRPr="007F59D8">
              <w:rPr>
                <w:rFonts w:ascii="Times New Roman" w:eastAsia="Times New Roman" w:hAnsi="Times New Roman" w:cs="Times New Roman"/>
                <w:b/>
                <w:color w:val="000000"/>
                <w:sz w:val="20"/>
                <w:szCs w:val="20"/>
                <w:vertAlign w:val="subscript"/>
              </w:rPr>
              <w:t>max</w:t>
            </w:r>
            <w:r w:rsidRPr="007F59D8">
              <w:rPr>
                <w:rFonts w:ascii="Times New Roman" w:eastAsia="Times New Roman" w:hAnsi="Times New Roman" w:cs="Times New Roman"/>
                <w:b/>
                <w:color w:val="000000"/>
                <w:sz w:val="20"/>
                <w:szCs w:val="20"/>
              </w:rPr>
              <w:t xml:space="preserve"> Range</w:t>
            </w:r>
          </w:p>
        </w:tc>
        <w:tc>
          <w:tcPr>
            <w:tcW w:w="1170" w:type="dxa"/>
            <w:tcBorders>
              <w:top w:val="nil"/>
              <w:left w:val="nil"/>
              <w:bottom w:val="single" w:sz="12" w:space="0" w:color="111111"/>
              <w:right w:val="nil"/>
            </w:tcBorders>
            <w:shd w:val="clear" w:color="auto" w:fill="auto"/>
            <w:vAlign w:val="center"/>
            <w:hideMark/>
          </w:tcPr>
          <w:p w14:paraId="11DD9120" w14:textId="77777777" w:rsidR="007F59D8" w:rsidRPr="007F59D8" w:rsidRDefault="007F59D8" w:rsidP="007F59D8">
            <w:pPr>
              <w:spacing w:after="0" w:line="240" w:lineRule="auto"/>
              <w:rPr>
                <w:rFonts w:ascii="Times New Roman" w:eastAsia="Times New Roman" w:hAnsi="Times New Roman" w:cs="Times New Roman"/>
                <w:b/>
                <w:color w:val="000000"/>
                <w:sz w:val="20"/>
                <w:szCs w:val="20"/>
              </w:rPr>
            </w:pPr>
            <w:r w:rsidRPr="007F59D8">
              <w:rPr>
                <w:rFonts w:ascii="Times New Roman" w:eastAsia="Times New Roman" w:hAnsi="Times New Roman" w:cs="Times New Roman"/>
                <w:b/>
                <w:color w:val="000000"/>
                <w:sz w:val="20"/>
                <w:szCs w:val="20"/>
              </w:rPr>
              <w:t>Stations</w:t>
            </w:r>
          </w:p>
        </w:tc>
        <w:tc>
          <w:tcPr>
            <w:tcW w:w="1890" w:type="dxa"/>
            <w:tcBorders>
              <w:top w:val="nil"/>
              <w:left w:val="nil"/>
              <w:bottom w:val="single" w:sz="12" w:space="0" w:color="111111"/>
              <w:right w:val="nil"/>
            </w:tcBorders>
            <w:shd w:val="clear" w:color="auto" w:fill="auto"/>
            <w:vAlign w:val="center"/>
            <w:hideMark/>
          </w:tcPr>
          <w:p w14:paraId="7C1527E7" w14:textId="77777777" w:rsidR="007F59D8" w:rsidRPr="007F59D8" w:rsidRDefault="007F59D8" w:rsidP="007F59D8">
            <w:pPr>
              <w:spacing w:after="0" w:line="240" w:lineRule="auto"/>
              <w:rPr>
                <w:rFonts w:ascii="Times New Roman" w:eastAsia="Times New Roman" w:hAnsi="Times New Roman" w:cs="Times New Roman"/>
                <w:b/>
                <w:color w:val="000000"/>
                <w:sz w:val="20"/>
                <w:szCs w:val="20"/>
              </w:rPr>
            </w:pPr>
            <w:r w:rsidRPr="007F59D8">
              <w:rPr>
                <w:rFonts w:ascii="Times New Roman" w:eastAsia="Times New Roman" w:hAnsi="Times New Roman" w:cs="Times New Roman"/>
                <w:b/>
                <w:color w:val="000000"/>
                <w:sz w:val="20"/>
                <w:szCs w:val="20"/>
              </w:rPr>
              <w:t>Percentage</w:t>
            </w:r>
          </w:p>
        </w:tc>
      </w:tr>
      <w:tr w:rsidR="007F59D8" w:rsidRPr="007F59D8" w14:paraId="3FF31CE0" w14:textId="77777777" w:rsidTr="00307B7A">
        <w:trPr>
          <w:trHeight w:val="317"/>
        </w:trPr>
        <w:tc>
          <w:tcPr>
            <w:tcW w:w="1350" w:type="dxa"/>
            <w:tcBorders>
              <w:top w:val="nil"/>
              <w:left w:val="nil"/>
              <w:bottom w:val="nil"/>
              <w:right w:val="nil"/>
            </w:tcBorders>
            <w:shd w:val="clear" w:color="auto" w:fill="auto"/>
            <w:vAlign w:val="center"/>
            <w:hideMark/>
          </w:tcPr>
          <w:p w14:paraId="2E023590"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Good</w:t>
            </w:r>
          </w:p>
        </w:tc>
        <w:tc>
          <w:tcPr>
            <w:tcW w:w="2070" w:type="dxa"/>
            <w:tcBorders>
              <w:top w:val="nil"/>
              <w:left w:val="nil"/>
              <w:bottom w:val="nil"/>
              <w:right w:val="nil"/>
            </w:tcBorders>
            <w:shd w:val="clear" w:color="auto" w:fill="auto"/>
            <w:vAlign w:val="center"/>
            <w:hideMark/>
          </w:tcPr>
          <w:p w14:paraId="25CD9C7F"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P</w:t>
            </w:r>
            <w:r w:rsidRPr="007F59D8">
              <w:rPr>
                <w:rFonts w:ascii="Times New Roman" w:eastAsia="Times New Roman" w:hAnsi="Times New Roman" w:cs="Times New Roman"/>
                <w:color w:val="000000"/>
                <w:sz w:val="20"/>
                <w:szCs w:val="20"/>
                <w:vertAlign w:val="subscript"/>
              </w:rPr>
              <w:t>max</w:t>
            </w:r>
            <w:r w:rsidRPr="007F59D8">
              <w:rPr>
                <w:rFonts w:ascii="Times New Roman" w:eastAsia="Times New Roman" w:hAnsi="Times New Roman" w:cs="Times New Roman"/>
                <w:color w:val="000000"/>
                <w:sz w:val="20"/>
                <w:szCs w:val="20"/>
              </w:rPr>
              <w:t xml:space="preserve"> </w:t>
            </w:r>
            <w:r w:rsidRPr="007F59D8">
              <w:rPr>
                <w:rFonts w:ascii="Times New Roman" w:eastAsia="Times New Roman" w:hAnsi="Times New Roman" w:cs="Times New Roman"/>
                <w:color w:val="000000"/>
                <w:sz w:val="20"/>
                <w:szCs w:val="20"/>
                <w:u w:val="single"/>
              </w:rPr>
              <w:t>&lt;</w:t>
            </w:r>
            <w:r w:rsidRPr="007F59D8">
              <w:rPr>
                <w:rFonts w:ascii="Times New Roman" w:eastAsia="Times New Roman" w:hAnsi="Times New Roman" w:cs="Times New Roman"/>
                <w:color w:val="000000"/>
                <w:sz w:val="20"/>
                <w:szCs w:val="20"/>
              </w:rPr>
              <w:t xml:space="preserve"> 0.5</w:t>
            </w:r>
          </w:p>
        </w:tc>
        <w:tc>
          <w:tcPr>
            <w:tcW w:w="1170" w:type="dxa"/>
            <w:tcBorders>
              <w:top w:val="nil"/>
              <w:left w:val="nil"/>
              <w:bottom w:val="nil"/>
              <w:right w:val="nil"/>
            </w:tcBorders>
            <w:shd w:val="clear" w:color="auto" w:fill="auto"/>
            <w:vAlign w:val="center"/>
            <w:hideMark/>
          </w:tcPr>
          <w:p w14:paraId="5BF97D0A"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291</w:t>
            </w:r>
          </w:p>
        </w:tc>
        <w:tc>
          <w:tcPr>
            <w:tcW w:w="1890" w:type="dxa"/>
            <w:tcBorders>
              <w:top w:val="nil"/>
              <w:left w:val="nil"/>
              <w:bottom w:val="nil"/>
              <w:right w:val="nil"/>
            </w:tcBorders>
            <w:shd w:val="clear" w:color="auto" w:fill="auto"/>
            <w:vAlign w:val="center"/>
            <w:hideMark/>
          </w:tcPr>
          <w:p w14:paraId="0D3EDEB9"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97.98 ± 1.61</w:t>
            </w:r>
          </w:p>
        </w:tc>
      </w:tr>
      <w:tr w:rsidR="007F59D8" w:rsidRPr="007F59D8" w14:paraId="19AB9A0E" w14:textId="77777777" w:rsidTr="00307B7A">
        <w:trPr>
          <w:trHeight w:val="317"/>
        </w:trPr>
        <w:tc>
          <w:tcPr>
            <w:tcW w:w="1350" w:type="dxa"/>
            <w:tcBorders>
              <w:top w:val="single" w:sz="8" w:space="0" w:color="DDDDDD"/>
              <w:left w:val="nil"/>
              <w:bottom w:val="nil"/>
              <w:right w:val="nil"/>
            </w:tcBorders>
            <w:shd w:val="clear" w:color="auto" w:fill="auto"/>
            <w:vAlign w:val="center"/>
            <w:hideMark/>
          </w:tcPr>
          <w:p w14:paraId="6CA783A8"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Fair</w:t>
            </w:r>
          </w:p>
        </w:tc>
        <w:tc>
          <w:tcPr>
            <w:tcW w:w="2070" w:type="dxa"/>
            <w:tcBorders>
              <w:top w:val="single" w:sz="8" w:space="0" w:color="DDDDDD"/>
              <w:left w:val="nil"/>
              <w:bottom w:val="nil"/>
              <w:right w:val="nil"/>
            </w:tcBorders>
            <w:shd w:val="clear" w:color="auto" w:fill="auto"/>
            <w:vAlign w:val="center"/>
            <w:hideMark/>
          </w:tcPr>
          <w:p w14:paraId="7172AC67"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P</w:t>
            </w:r>
            <w:r w:rsidRPr="007F59D8">
              <w:rPr>
                <w:rFonts w:ascii="Times New Roman" w:eastAsia="Times New Roman" w:hAnsi="Times New Roman" w:cs="Times New Roman"/>
                <w:color w:val="000000"/>
                <w:sz w:val="20"/>
                <w:szCs w:val="20"/>
                <w:vertAlign w:val="subscript"/>
              </w:rPr>
              <w:t>max</w:t>
            </w:r>
            <w:r w:rsidRPr="007F59D8">
              <w:rPr>
                <w:rFonts w:ascii="Times New Roman" w:eastAsia="Times New Roman" w:hAnsi="Times New Roman" w:cs="Times New Roman"/>
                <w:color w:val="000000"/>
                <w:sz w:val="20"/>
                <w:szCs w:val="20"/>
              </w:rPr>
              <w:t xml:space="preserve"> &gt; 0.5 and &lt; 0.75</w:t>
            </w:r>
          </w:p>
        </w:tc>
        <w:tc>
          <w:tcPr>
            <w:tcW w:w="1170" w:type="dxa"/>
            <w:tcBorders>
              <w:top w:val="single" w:sz="8" w:space="0" w:color="DDDDDD"/>
              <w:left w:val="nil"/>
              <w:bottom w:val="nil"/>
              <w:right w:val="nil"/>
            </w:tcBorders>
            <w:shd w:val="clear" w:color="auto" w:fill="auto"/>
            <w:vAlign w:val="center"/>
            <w:hideMark/>
          </w:tcPr>
          <w:p w14:paraId="574CECAB"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3</w:t>
            </w:r>
          </w:p>
        </w:tc>
        <w:tc>
          <w:tcPr>
            <w:tcW w:w="1890" w:type="dxa"/>
            <w:tcBorders>
              <w:top w:val="single" w:sz="8" w:space="0" w:color="DDDDDD"/>
              <w:left w:val="nil"/>
              <w:bottom w:val="nil"/>
              <w:right w:val="nil"/>
            </w:tcBorders>
            <w:shd w:val="clear" w:color="auto" w:fill="auto"/>
            <w:vAlign w:val="center"/>
            <w:hideMark/>
          </w:tcPr>
          <w:p w14:paraId="3D2042B3" w14:textId="77777777" w:rsidR="007F59D8" w:rsidRPr="007F59D8" w:rsidRDefault="007F59D8" w:rsidP="007F59D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1.01 ± 1.14</w:t>
            </w:r>
          </w:p>
        </w:tc>
      </w:tr>
      <w:tr w:rsidR="007316B8" w:rsidRPr="007F59D8" w14:paraId="334C3B08" w14:textId="77777777" w:rsidTr="00307B7A">
        <w:trPr>
          <w:trHeight w:val="317"/>
        </w:trPr>
        <w:tc>
          <w:tcPr>
            <w:tcW w:w="1350" w:type="dxa"/>
            <w:tcBorders>
              <w:top w:val="single" w:sz="8" w:space="0" w:color="DDDDDD"/>
              <w:left w:val="nil"/>
              <w:bottom w:val="nil"/>
              <w:right w:val="nil"/>
            </w:tcBorders>
            <w:shd w:val="clear" w:color="auto" w:fill="auto"/>
            <w:vAlign w:val="center"/>
          </w:tcPr>
          <w:p w14:paraId="349A5C66" w14:textId="494532A3" w:rsidR="007316B8" w:rsidRPr="007F59D8" w:rsidRDefault="007316B8" w:rsidP="007316B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Poor</w:t>
            </w:r>
          </w:p>
        </w:tc>
        <w:tc>
          <w:tcPr>
            <w:tcW w:w="2070" w:type="dxa"/>
            <w:tcBorders>
              <w:top w:val="single" w:sz="8" w:space="0" w:color="DDDDDD"/>
              <w:left w:val="nil"/>
              <w:bottom w:val="nil"/>
              <w:right w:val="nil"/>
            </w:tcBorders>
            <w:shd w:val="clear" w:color="auto" w:fill="auto"/>
            <w:vAlign w:val="center"/>
          </w:tcPr>
          <w:p w14:paraId="20D78DC6" w14:textId="7EB47C5D" w:rsidR="007316B8" w:rsidRPr="007F59D8" w:rsidRDefault="007316B8" w:rsidP="007316B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P</w:t>
            </w:r>
            <w:r w:rsidRPr="007F59D8">
              <w:rPr>
                <w:rFonts w:ascii="Times New Roman" w:eastAsia="Times New Roman" w:hAnsi="Times New Roman" w:cs="Times New Roman"/>
                <w:color w:val="000000"/>
                <w:sz w:val="20"/>
                <w:szCs w:val="20"/>
                <w:vertAlign w:val="subscript"/>
              </w:rPr>
              <w:t xml:space="preserve">max </w:t>
            </w:r>
            <w:r w:rsidRPr="007F59D8">
              <w:rPr>
                <w:rFonts w:ascii="Times New Roman" w:eastAsia="Times New Roman" w:hAnsi="Times New Roman" w:cs="Times New Roman"/>
                <w:color w:val="000000"/>
                <w:sz w:val="20"/>
                <w:szCs w:val="20"/>
                <w:u w:val="single"/>
              </w:rPr>
              <w:t>&gt;</w:t>
            </w:r>
            <w:r w:rsidRPr="007F59D8">
              <w:rPr>
                <w:rFonts w:ascii="Times New Roman" w:eastAsia="Times New Roman" w:hAnsi="Times New Roman" w:cs="Times New Roman"/>
                <w:color w:val="000000"/>
                <w:sz w:val="20"/>
                <w:szCs w:val="20"/>
              </w:rPr>
              <w:t xml:space="preserve"> 0.75</w:t>
            </w:r>
          </w:p>
        </w:tc>
        <w:tc>
          <w:tcPr>
            <w:tcW w:w="1170" w:type="dxa"/>
            <w:tcBorders>
              <w:top w:val="single" w:sz="8" w:space="0" w:color="DDDDDD"/>
              <w:left w:val="nil"/>
              <w:bottom w:val="nil"/>
              <w:right w:val="nil"/>
            </w:tcBorders>
            <w:shd w:val="clear" w:color="auto" w:fill="auto"/>
            <w:vAlign w:val="center"/>
          </w:tcPr>
          <w:p w14:paraId="08669ACF" w14:textId="6D14043A" w:rsidR="007316B8" w:rsidRPr="007F59D8" w:rsidRDefault="007316B8" w:rsidP="007316B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3</w:t>
            </w:r>
          </w:p>
        </w:tc>
        <w:tc>
          <w:tcPr>
            <w:tcW w:w="1890" w:type="dxa"/>
            <w:tcBorders>
              <w:top w:val="single" w:sz="8" w:space="0" w:color="DDDDDD"/>
              <w:left w:val="nil"/>
              <w:bottom w:val="nil"/>
              <w:right w:val="nil"/>
            </w:tcBorders>
            <w:shd w:val="clear" w:color="auto" w:fill="auto"/>
            <w:vAlign w:val="center"/>
          </w:tcPr>
          <w:p w14:paraId="634D9B50" w14:textId="33F31C6F" w:rsidR="007316B8" w:rsidRPr="007F59D8" w:rsidRDefault="007316B8" w:rsidP="007316B8">
            <w:pPr>
              <w:spacing w:after="0" w:line="240" w:lineRule="auto"/>
              <w:rPr>
                <w:rFonts w:ascii="Times New Roman" w:eastAsia="Times New Roman" w:hAnsi="Times New Roman" w:cs="Times New Roman"/>
                <w:color w:val="000000"/>
                <w:sz w:val="20"/>
                <w:szCs w:val="20"/>
              </w:rPr>
            </w:pPr>
            <w:r w:rsidRPr="007F59D8">
              <w:rPr>
                <w:rFonts w:ascii="Times New Roman" w:eastAsia="Times New Roman" w:hAnsi="Times New Roman" w:cs="Times New Roman"/>
                <w:color w:val="000000"/>
                <w:sz w:val="20"/>
                <w:szCs w:val="20"/>
              </w:rPr>
              <w:t>1.01 ± 1.14</w:t>
            </w:r>
          </w:p>
        </w:tc>
      </w:tr>
      <w:tr w:rsidR="007316B8" w:rsidRPr="007F59D8" w14:paraId="1C65C787" w14:textId="77777777" w:rsidTr="00307B7A">
        <w:trPr>
          <w:trHeight w:val="317"/>
        </w:trPr>
        <w:tc>
          <w:tcPr>
            <w:tcW w:w="1350" w:type="dxa"/>
            <w:tcBorders>
              <w:top w:val="single" w:sz="8" w:space="0" w:color="DDDDDD"/>
              <w:left w:val="nil"/>
              <w:bottom w:val="single" w:sz="8" w:space="0" w:color="auto"/>
              <w:right w:val="nil"/>
            </w:tcBorders>
            <w:shd w:val="clear" w:color="auto" w:fill="auto"/>
            <w:vAlign w:val="center"/>
          </w:tcPr>
          <w:p w14:paraId="6741DA6F" w14:textId="0FCF536B" w:rsidR="007316B8" w:rsidRPr="007F59D8" w:rsidRDefault="007316B8" w:rsidP="007316B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Very Poor</w:t>
            </w:r>
          </w:p>
        </w:tc>
        <w:tc>
          <w:tcPr>
            <w:tcW w:w="2070" w:type="dxa"/>
            <w:tcBorders>
              <w:top w:val="single" w:sz="8" w:space="0" w:color="DDDDDD"/>
              <w:left w:val="nil"/>
              <w:bottom w:val="single" w:sz="8" w:space="0" w:color="auto"/>
              <w:right w:val="nil"/>
            </w:tcBorders>
            <w:shd w:val="clear" w:color="auto" w:fill="auto"/>
            <w:vAlign w:val="center"/>
          </w:tcPr>
          <w:p w14:paraId="6465BBE0" w14:textId="5F6412C9" w:rsidR="007316B8" w:rsidRPr="007F59D8" w:rsidRDefault="007316B8" w:rsidP="007316B8">
            <w:pPr>
              <w:spacing w:after="0" w:line="240" w:lineRule="auto"/>
              <w:rPr>
                <w:rFonts w:ascii="Times New Roman" w:eastAsia="Times New Roman" w:hAnsi="Times New Roman" w:cs="Times New Roman"/>
                <w:color w:val="000000"/>
                <w:sz w:val="20"/>
                <w:szCs w:val="20"/>
              </w:rPr>
            </w:pPr>
          </w:p>
        </w:tc>
        <w:tc>
          <w:tcPr>
            <w:tcW w:w="1170" w:type="dxa"/>
            <w:tcBorders>
              <w:top w:val="single" w:sz="8" w:space="0" w:color="DDDDDD"/>
              <w:left w:val="nil"/>
              <w:bottom w:val="single" w:sz="8" w:space="0" w:color="auto"/>
              <w:right w:val="nil"/>
            </w:tcBorders>
            <w:shd w:val="clear" w:color="auto" w:fill="auto"/>
            <w:vAlign w:val="center"/>
          </w:tcPr>
          <w:p w14:paraId="2DE55B44" w14:textId="65ECCE4B" w:rsidR="007316B8" w:rsidRPr="007F59D8" w:rsidRDefault="007316B8" w:rsidP="007316B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890" w:type="dxa"/>
            <w:tcBorders>
              <w:top w:val="single" w:sz="8" w:space="0" w:color="DDDDDD"/>
              <w:left w:val="nil"/>
              <w:bottom w:val="single" w:sz="8" w:space="0" w:color="auto"/>
              <w:right w:val="nil"/>
            </w:tcBorders>
            <w:shd w:val="clear" w:color="auto" w:fill="auto"/>
            <w:vAlign w:val="center"/>
          </w:tcPr>
          <w:p w14:paraId="52EAFFD7" w14:textId="5D52F2E1" w:rsidR="007316B8" w:rsidRPr="007F59D8" w:rsidRDefault="007316B8" w:rsidP="007316B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7316B8" w:rsidRPr="007F59D8" w14:paraId="69F301D7" w14:textId="77777777" w:rsidTr="00307B7A">
        <w:trPr>
          <w:trHeight w:val="317"/>
        </w:trPr>
        <w:tc>
          <w:tcPr>
            <w:tcW w:w="1350" w:type="dxa"/>
            <w:tcBorders>
              <w:top w:val="nil"/>
              <w:left w:val="nil"/>
              <w:bottom w:val="single" w:sz="8" w:space="0" w:color="auto"/>
              <w:right w:val="nil"/>
            </w:tcBorders>
            <w:shd w:val="clear" w:color="auto" w:fill="auto"/>
            <w:vAlign w:val="center"/>
            <w:hideMark/>
          </w:tcPr>
          <w:p w14:paraId="07A45984" w14:textId="77777777" w:rsidR="007316B8" w:rsidRPr="007F59D8" w:rsidRDefault="007316B8" w:rsidP="007316B8">
            <w:pPr>
              <w:spacing w:after="0" w:line="240" w:lineRule="auto"/>
              <w:rPr>
                <w:rFonts w:ascii="Times New Roman" w:eastAsia="Times New Roman" w:hAnsi="Times New Roman" w:cs="Times New Roman"/>
                <w:b/>
                <w:bCs/>
                <w:color w:val="000000"/>
                <w:sz w:val="20"/>
                <w:szCs w:val="20"/>
              </w:rPr>
            </w:pPr>
            <w:r w:rsidRPr="007F59D8">
              <w:rPr>
                <w:rFonts w:ascii="Times New Roman" w:eastAsia="Times New Roman" w:hAnsi="Times New Roman" w:cs="Times New Roman"/>
                <w:b/>
                <w:bCs/>
                <w:color w:val="000000"/>
                <w:sz w:val="20"/>
                <w:szCs w:val="20"/>
              </w:rPr>
              <w:t>Total</w:t>
            </w:r>
          </w:p>
        </w:tc>
        <w:tc>
          <w:tcPr>
            <w:tcW w:w="2070" w:type="dxa"/>
            <w:tcBorders>
              <w:top w:val="nil"/>
              <w:left w:val="nil"/>
              <w:bottom w:val="single" w:sz="8" w:space="0" w:color="auto"/>
              <w:right w:val="nil"/>
            </w:tcBorders>
            <w:shd w:val="clear" w:color="auto" w:fill="auto"/>
            <w:vAlign w:val="center"/>
            <w:hideMark/>
          </w:tcPr>
          <w:p w14:paraId="470ADDC4" w14:textId="77777777" w:rsidR="007316B8" w:rsidRPr="007F59D8" w:rsidRDefault="007316B8" w:rsidP="007316B8">
            <w:pPr>
              <w:spacing w:after="0" w:line="240" w:lineRule="auto"/>
              <w:rPr>
                <w:rFonts w:ascii="Calibri" w:eastAsia="Times New Roman" w:hAnsi="Calibri" w:cs="Calibri"/>
                <w:color w:val="000000"/>
              </w:rPr>
            </w:pPr>
            <w:r w:rsidRPr="007F59D8">
              <w:rPr>
                <w:rFonts w:ascii="Calibri" w:eastAsia="Times New Roman" w:hAnsi="Calibri" w:cs="Calibri"/>
                <w:color w:val="000000"/>
              </w:rPr>
              <w:t> </w:t>
            </w:r>
          </w:p>
        </w:tc>
        <w:tc>
          <w:tcPr>
            <w:tcW w:w="1170" w:type="dxa"/>
            <w:tcBorders>
              <w:top w:val="nil"/>
              <w:left w:val="nil"/>
              <w:bottom w:val="single" w:sz="8" w:space="0" w:color="auto"/>
              <w:right w:val="nil"/>
            </w:tcBorders>
            <w:shd w:val="clear" w:color="auto" w:fill="auto"/>
            <w:vAlign w:val="center"/>
            <w:hideMark/>
          </w:tcPr>
          <w:p w14:paraId="06EA869E" w14:textId="77777777" w:rsidR="007316B8" w:rsidRPr="007F59D8" w:rsidRDefault="007316B8" w:rsidP="007316B8">
            <w:pPr>
              <w:spacing w:after="0" w:line="240" w:lineRule="auto"/>
              <w:rPr>
                <w:rFonts w:ascii="Times New Roman" w:eastAsia="Times New Roman" w:hAnsi="Times New Roman" w:cs="Times New Roman"/>
                <w:b/>
                <w:bCs/>
                <w:color w:val="000000"/>
                <w:sz w:val="20"/>
                <w:szCs w:val="20"/>
              </w:rPr>
            </w:pPr>
            <w:r w:rsidRPr="007F59D8">
              <w:rPr>
                <w:rFonts w:ascii="Times New Roman" w:eastAsia="Times New Roman" w:hAnsi="Times New Roman" w:cs="Times New Roman"/>
                <w:b/>
                <w:bCs/>
                <w:color w:val="000000"/>
                <w:sz w:val="20"/>
                <w:szCs w:val="20"/>
              </w:rPr>
              <w:t>297</w:t>
            </w:r>
          </w:p>
        </w:tc>
        <w:tc>
          <w:tcPr>
            <w:tcW w:w="1890" w:type="dxa"/>
            <w:tcBorders>
              <w:top w:val="nil"/>
              <w:left w:val="nil"/>
              <w:bottom w:val="single" w:sz="8" w:space="0" w:color="auto"/>
              <w:right w:val="nil"/>
            </w:tcBorders>
            <w:shd w:val="clear" w:color="auto" w:fill="auto"/>
            <w:vAlign w:val="center"/>
            <w:hideMark/>
          </w:tcPr>
          <w:p w14:paraId="6E3B09C7" w14:textId="77777777" w:rsidR="007316B8" w:rsidRPr="007F59D8" w:rsidRDefault="007316B8" w:rsidP="007316B8">
            <w:pPr>
              <w:spacing w:after="0" w:line="240" w:lineRule="auto"/>
              <w:rPr>
                <w:rFonts w:ascii="Calibri" w:eastAsia="Times New Roman" w:hAnsi="Calibri" w:cs="Calibri"/>
                <w:color w:val="000000"/>
              </w:rPr>
            </w:pPr>
            <w:r w:rsidRPr="007F59D8">
              <w:rPr>
                <w:rFonts w:ascii="Calibri" w:eastAsia="Times New Roman" w:hAnsi="Calibri" w:cs="Calibri"/>
                <w:color w:val="000000"/>
              </w:rPr>
              <w:t> </w:t>
            </w:r>
          </w:p>
        </w:tc>
      </w:tr>
    </w:tbl>
    <w:p w14:paraId="3E4B95C5" w14:textId="49619143" w:rsidR="00DC0B60" w:rsidRPr="00FE1DDB" w:rsidRDefault="00DC0B60" w:rsidP="00FE1DDB">
      <w:pPr>
        <w:spacing w:after="0" w:line="240" w:lineRule="auto"/>
        <w:rPr>
          <w:rFonts w:ascii="Times New Roman" w:hAnsi="Times New Roman" w:cs="Times New Roman"/>
          <w:b/>
          <w:sz w:val="24"/>
          <w:szCs w:val="24"/>
        </w:rPr>
      </w:pPr>
    </w:p>
    <w:p w14:paraId="2F0108A4" w14:textId="2689290C" w:rsidR="00D21F3A" w:rsidRPr="00FE1DDB" w:rsidRDefault="00D21F3A"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Equilibrium Partitioning Sediment Benchmark for PAH Mixtures (ESB</w:t>
      </w:r>
      <w:r w:rsidR="001C093F" w:rsidRPr="00FE1DDB">
        <w:rPr>
          <w:rFonts w:ascii="Times New Roman" w:hAnsi="Times New Roman" w:cs="Times New Roman"/>
          <w:b/>
          <w:sz w:val="24"/>
          <w:szCs w:val="24"/>
          <w:vertAlign w:val="subscript"/>
        </w:rPr>
        <w:t>PAH</w:t>
      </w:r>
      <w:r w:rsidRPr="00FE1DDB">
        <w:rPr>
          <w:rFonts w:ascii="Times New Roman" w:hAnsi="Times New Roman" w:cs="Times New Roman"/>
          <w:b/>
          <w:sz w:val="24"/>
          <w:szCs w:val="24"/>
        </w:rPr>
        <w:t>):</w:t>
      </w:r>
      <w:r w:rsidRPr="00FE1DDB">
        <w:rPr>
          <w:rFonts w:ascii="Times New Roman" w:hAnsi="Times New Roman" w:cs="Times New Roman"/>
          <w:sz w:val="24"/>
          <w:szCs w:val="24"/>
        </w:rPr>
        <w:t xml:space="preserve"> </w:t>
      </w:r>
      <w:r w:rsidR="00DC0B60" w:rsidRPr="00FE1DDB">
        <w:rPr>
          <w:rFonts w:ascii="Times New Roman" w:hAnsi="Times New Roman" w:cs="Times New Roman"/>
          <w:sz w:val="24"/>
          <w:szCs w:val="24"/>
        </w:rPr>
        <w:t xml:space="preserve">The ESB for PAH mixtures is the only one of the three sediment chemical contamination indices utilized in this report that adjusts the risk of benthic effects for the sediment concentration of total organic Carbon, which binds PAHs (and other organic contaminants) and reduces their availability to benthic organisms. </w:t>
      </w:r>
      <w:r w:rsidRPr="00FE1DDB">
        <w:rPr>
          <w:rFonts w:ascii="Times New Roman" w:hAnsi="Times New Roman" w:cs="Times New Roman"/>
          <w:sz w:val="24"/>
          <w:szCs w:val="24"/>
        </w:rPr>
        <w:t>EPA has</w:t>
      </w:r>
      <w:r w:rsidR="00EE6C94" w:rsidRPr="00FE1DDB">
        <w:rPr>
          <w:rFonts w:ascii="Times New Roman" w:hAnsi="Times New Roman" w:cs="Times New Roman"/>
          <w:sz w:val="24"/>
          <w:szCs w:val="24"/>
        </w:rPr>
        <w:t xml:space="preserve"> published guidelines for estimating the effects of mixtures of PAHs in sediments on the resident benthic communities (US EPA, 2003).</w:t>
      </w:r>
      <w:r w:rsidR="000279EF" w:rsidRPr="00FE1DDB">
        <w:rPr>
          <w:rFonts w:ascii="Times New Roman" w:hAnsi="Times New Roman" w:cs="Times New Roman"/>
          <w:sz w:val="24"/>
          <w:szCs w:val="24"/>
        </w:rPr>
        <w:t xml:space="preserve"> The Virginia DEQ uses this method to provide a third line of evidence for the characterization of sediment contamination in estuarine waters.</w:t>
      </w:r>
      <w:r w:rsidR="0039036A" w:rsidRPr="00FE1DDB">
        <w:rPr>
          <w:rFonts w:ascii="Times New Roman" w:hAnsi="Times New Roman" w:cs="Times New Roman"/>
          <w:sz w:val="24"/>
          <w:szCs w:val="24"/>
        </w:rPr>
        <w:t xml:space="preserve"> </w:t>
      </w:r>
      <w:r w:rsidR="00137937" w:rsidRPr="00FE1DDB">
        <w:rPr>
          <w:rFonts w:ascii="Times New Roman" w:hAnsi="Times New Roman" w:cs="Times New Roman"/>
          <w:sz w:val="24"/>
          <w:szCs w:val="24"/>
        </w:rPr>
        <w:t>In summary, t</w:t>
      </w:r>
      <w:r w:rsidR="0039036A" w:rsidRPr="00FE1DDB">
        <w:rPr>
          <w:rFonts w:ascii="Times New Roman" w:hAnsi="Times New Roman" w:cs="Times New Roman"/>
          <w:sz w:val="24"/>
          <w:szCs w:val="24"/>
        </w:rPr>
        <w:t xml:space="preserve">he observed </w:t>
      </w:r>
      <w:r w:rsidR="00137937" w:rsidRPr="00FE1DDB">
        <w:rPr>
          <w:rFonts w:ascii="Times New Roman" w:hAnsi="Times New Roman" w:cs="Times New Roman"/>
          <w:sz w:val="24"/>
          <w:szCs w:val="24"/>
        </w:rPr>
        <w:t xml:space="preserve">sediment </w:t>
      </w:r>
      <w:r w:rsidR="0039036A" w:rsidRPr="00FE1DDB">
        <w:rPr>
          <w:rFonts w:ascii="Times New Roman" w:hAnsi="Times New Roman" w:cs="Times New Roman"/>
          <w:sz w:val="24"/>
          <w:szCs w:val="24"/>
        </w:rPr>
        <w:t>concentrations</w:t>
      </w:r>
      <w:r w:rsidR="00137937" w:rsidRPr="00FE1DDB">
        <w:rPr>
          <w:rFonts w:ascii="Times New Roman" w:hAnsi="Times New Roman" w:cs="Times New Roman"/>
          <w:sz w:val="24"/>
          <w:szCs w:val="24"/>
        </w:rPr>
        <w:t xml:space="preserve"> of 23 individual PAHs are multiplied by their respective toxicity coefficients and adjusted for the total organic </w:t>
      </w:r>
      <w:r w:rsidR="008549F8" w:rsidRPr="00FE1DDB">
        <w:rPr>
          <w:rFonts w:ascii="Times New Roman" w:hAnsi="Times New Roman" w:cs="Times New Roman"/>
          <w:sz w:val="24"/>
          <w:szCs w:val="24"/>
        </w:rPr>
        <w:t>C</w:t>
      </w:r>
      <w:r w:rsidR="00137937" w:rsidRPr="00FE1DDB">
        <w:rPr>
          <w:rFonts w:ascii="Times New Roman" w:hAnsi="Times New Roman" w:cs="Times New Roman"/>
          <w:sz w:val="24"/>
          <w:szCs w:val="24"/>
        </w:rPr>
        <w:t xml:space="preserve">arbon concentration in the sediment. The resultant values are then summed across all 23 PAHs, and the sum is </w:t>
      </w:r>
      <w:r w:rsidR="00B62B8E" w:rsidRPr="00FE1DDB">
        <w:rPr>
          <w:rFonts w:ascii="Times New Roman" w:hAnsi="Times New Roman" w:cs="Times New Roman"/>
          <w:sz w:val="24"/>
          <w:szCs w:val="24"/>
        </w:rPr>
        <w:t>sub</w:t>
      </w:r>
      <w:r w:rsidR="00137937" w:rsidRPr="00FE1DDB">
        <w:rPr>
          <w:rFonts w:ascii="Times New Roman" w:hAnsi="Times New Roman" w:cs="Times New Roman"/>
          <w:sz w:val="24"/>
          <w:szCs w:val="24"/>
        </w:rPr>
        <w:t xml:space="preserve">sequently compared to an EPA-defined critical value. </w:t>
      </w:r>
      <w:r w:rsidR="00F042FA" w:rsidRPr="00FE1DDB">
        <w:rPr>
          <w:rFonts w:ascii="Times New Roman" w:hAnsi="Times New Roman" w:cs="Times New Roman"/>
          <w:sz w:val="24"/>
          <w:szCs w:val="24"/>
        </w:rPr>
        <w:t>The EPA critical value divides the results into two classes: value</w:t>
      </w:r>
      <w:r w:rsidR="006D6EAE" w:rsidRPr="00FE1DDB">
        <w:rPr>
          <w:rFonts w:ascii="Times New Roman" w:hAnsi="Times New Roman" w:cs="Times New Roman"/>
          <w:sz w:val="24"/>
          <w:szCs w:val="24"/>
        </w:rPr>
        <w:t>s</w:t>
      </w:r>
      <w:r w:rsidR="00F042FA" w:rsidRPr="00FE1DDB">
        <w:rPr>
          <w:rFonts w:ascii="Times New Roman" w:hAnsi="Times New Roman" w:cs="Times New Roman"/>
          <w:sz w:val="24"/>
          <w:szCs w:val="24"/>
        </w:rPr>
        <w:t xml:space="preserve"> ≤ 1.0 - low probability of benthic effects, and value</w:t>
      </w:r>
      <w:r w:rsidR="00527245" w:rsidRPr="00FE1DDB">
        <w:rPr>
          <w:rFonts w:ascii="Times New Roman" w:hAnsi="Times New Roman" w:cs="Times New Roman"/>
          <w:sz w:val="24"/>
          <w:szCs w:val="24"/>
        </w:rPr>
        <w:t>s</w:t>
      </w:r>
      <w:r w:rsidR="00F042FA" w:rsidRPr="00FE1DDB">
        <w:rPr>
          <w:rFonts w:ascii="Times New Roman" w:hAnsi="Times New Roman" w:cs="Times New Roman"/>
          <w:sz w:val="24"/>
          <w:szCs w:val="24"/>
        </w:rPr>
        <w:t xml:space="preserve"> &gt; 1.0 </w:t>
      </w:r>
      <w:r w:rsidR="00527245" w:rsidRPr="00FE1DDB">
        <w:rPr>
          <w:rFonts w:ascii="Times New Roman" w:hAnsi="Times New Roman" w:cs="Times New Roman"/>
          <w:sz w:val="24"/>
          <w:szCs w:val="24"/>
        </w:rPr>
        <w:t>-</w:t>
      </w:r>
      <w:r w:rsidR="00F042FA" w:rsidRPr="00FE1DDB">
        <w:rPr>
          <w:rFonts w:ascii="Times New Roman" w:hAnsi="Times New Roman" w:cs="Times New Roman"/>
          <w:sz w:val="24"/>
          <w:szCs w:val="24"/>
        </w:rPr>
        <w:t xml:space="preserve"> </w:t>
      </w:r>
      <w:r w:rsidR="00527245" w:rsidRPr="00FE1DDB">
        <w:rPr>
          <w:rFonts w:ascii="Times New Roman" w:hAnsi="Times New Roman" w:cs="Times New Roman"/>
          <w:sz w:val="24"/>
          <w:szCs w:val="24"/>
        </w:rPr>
        <w:t xml:space="preserve">elevated probability of benthic effects. </w:t>
      </w:r>
      <w:r w:rsidR="002A01FA" w:rsidRPr="00FE1DDB">
        <w:rPr>
          <w:rFonts w:ascii="Times New Roman" w:hAnsi="Times New Roman" w:cs="Times New Roman"/>
          <w:sz w:val="24"/>
          <w:szCs w:val="24"/>
        </w:rPr>
        <w:t xml:space="preserve">To </w:t>
      </w:r>
      <w:r w:rsidR="00DC772C" w:rsidRPr="00FE1DDB">
        <w:rPr>
          <w:rFonts w:ascii="Times New Roman" w:hAnsi="Times New Roman" w:cs="Times New Roman"/>
          <w:sz w:val="24"/>
          <w:szCs w:val="24"/>
        </w:rPr>
        <w:t xml:space="preserve">further </w:t>
      </w:r>
      <w:r w:rsidR="002A01FA" w:rsidRPr="00FE1DDB">
        <w:rPr>
          <w:rFonts w:ascii="Times New Roman" w:hAnsi="Times New Roman" w:cs="Times New Roman"/>
          <w:sz w:val="24"/>
          <w:szCs w:val="24"/>
        </w:rPr>
        <w:t>refine</w:t>
      </w:r>
      <w:r w:rsidR="00DC772C" w:rsidRPr="00FE1DDB">
        <w:rPr>
          <w:rFonts w:ascii="Times New Roman" w:hAnsi="Times New Roman" w:cs="Times New Roman"/>
          <w:sz w:val="24"/>
          <w:szCs w:val="24"/>
        </w:rPr>
        <w:t xml:space="preserve"> the</w:t>
      </w:r>
      <w:r w:rsidR="002A01FA" w:rsidRPr="00FE1DDB">
        <w:rPr>
          <w:rFonts w:ascii="Times New Roman" w:hAnsi="Times New Roman" w:cs="Times New Roman"/>
          <w:sz w:val="24"/>
          <w:szCs w:val="24"/>
        </w:rPr>
        <w:t xml:space="preserve"> degree of benthic risk and for the sake of comparability with other sediment contamination indices in this report, the</w:t>
      </w:r>
      <w:r w:rsidR="006F2768" w:rsidRPr="00FE1DDB">
        <w:rPr>
          <w:rFonts w:ascii="Times New Roman" w:hAnsi="Times New Roman" w:cs="Times New Roman"/>
          <w:sz w:val="24"/>
          <w:szCs w:val="24"/>
        </w:rPr>
        <w:t xml:space="preserve"> </w:t>
      </w:r>
      <w:r w:rsidR="002A01FA" w:rsidRPr="00FE1DDB">
        <w:rPr>
          <w:rFonts w:ascii="Times New Roman" w:hAnsi="Times New Roman" w:cs="Times New Roman"/>
          <w:sz w:val="24"/>
          <w:szCs w:val="24"/>
        </w:rPr>
        <w:t xml:space="preserve">elevated probability range of </w:t>
      </w:r>
      <w:r w:rsidR="006F2768" w:rsidRPr="00FE1DDB">
        <w:rPr>
          <w:rFonts w:ascii="Times New Roman" w:hAnsi="Times New Roman" w:cs="Times New Roman"/>
          <w:sz w:val="24"/>
          <w:szCs w:val="24"/>
        </w:rPr>
        <w:t>ESB values was subdivided</w:t>
      </w:r>
      <w:r w:rsidR="00DC0B60">
        <w:rPr>
          <w:rFonts w:ascii="Times New Roman" w:hAnsi="Times New Roman" w:cs="Times New Roman"/>
          <w:sz w:val="24"/>
          <w:szCs w:val="24"/>
        </w:rPr>
        <w:t xml:space="preserve"> Table 4.5-</w:t>
      </w:r>
      <w:r w:rsidR="008B0194">
        <w:rPr>
          <w:rFonts w:ascii="Times New Roman" w:hAnsi="Times New Roman" w:cs="Times New Roman"/>
          <w:sz w:val="24"/>
          <w:szCs w:val="24"/>
        </w:rPr>
        <w:t>17</w:t>
      </w:r>
      <w:r w:rsidR="006F2768" w:rsidRPr="00FE1DDB">
        <w:rPr>
          <w:rFonts w:ascii="Times New Roman" w:hAnsi="Times New Roman" w:cs="Times New Roman"/>
          <w:sz w:val="24"/>
          <w:szCs w:val="24"/>
        </w:rPr>
        <w:t xml:space="preserve">. </w:t>
      </w:r>
      <w:r w:rsidR="00DC0B60">
        <w:rPr>
          <w:rFonts w:ascii="Times New Roman" w:hAnsi="Times New Roman" w:cs="Times New Roman"/>
          <w:sz w:val="24"/>
          <w:szCs w:val="24"/>
        </w:rPr>
        <w:t xml:space="preserve">Only 4 of the 297 sites did not score as “Good”. In the Lower Chesapeake Bay 3 sites scored as “Fair” and the only site scoring “Poor” was in the Southern Branch of the Elisabeth River-Deep Creek. </w:t>
      </w:r>
    </w:p>
    <w:p w14:paraId="269DD406" w14:textId="77777777" w:rsidR="00DC0B60" w:rsidRPr="00DC0B60" w:rsidRDefault="00DC0B60" w:rsidP="00FE1DDB">
      <w:pPr>
        <w:spacing w:after="0" w:line="240" w:lineRule="auto"/>
        <w:rPr>
          <w:rFonts w:ascii="Times New Roman" w:hAnsi="Times New Roman" w:cs="Times New Roman"/>
          <w:color w:val="000000" w:themeColor="text1"/>
          <w:sz w:val="28"/>
          <w:szCs w:val="24"/>
        </w:rPr>
      </w:pPr>
    </w:p>
    <w:p w14:paraId="64DA39A1" w14:textId="36F34B8A" w:rsidR="00DC0B60" w:rsidRPr="00DC0B60" w:rsidRDefault="00DC0B60" w:rsidP="00307B7A">
      <w:pPr>
        <w:pStyle w:val="Caption"/>
        <w:keepNext/>
        <w:rPr>
          <w:rFonts w:ascii="Times New Roman" w:hAnsi="Times New Roman" w:cs="Times New Roman"/>
          <w:i w:val="0"/>
          <w:color w:val="000000" w:themeColor="text1"/>
          <w:sz w:val="20"/>
        </w:rPr>
      </w:pPr>
      <w:r w:rsidRPr="00DC0B60">
        <w:rPr>
          <w:rFonts w:ascii="Times New Roman" w:hAnsi="Times New Roman" w:cs="Times New Roman"/>
          <w:i w:val="0"/>
          <w:color w:val="000000" w:themeColor="text1"/>
          <w:sz w:val="20"/>
        </w:rPr>
        <w:t xml:space="preserve">Table 4.5- </w:t>
      </w:r>
      <w:r w:rsidRPr="00DC0B60">
        <w:rPr>
          <w:rFonts w:ascii="Times New Roman" w:hAnsi="Times New Roman" w:cs="Times New Roman"/>
          <w:i w:val="0"/>
          <w:color w:val="000000" w:themeColor="text1"/>
          <w:sz w:val="20"/>
        </w:rPr>
        <w:fldChar w:fldCharType="begin"/>
      </w:r>
      <w:r w:rsidRPr="00DC0B60">
        <w:rPr>
          <w:rFonts w:ascii="Times New Roman" w:hAnsi="Times New Roman" w:cs="Times New Roman"/>
          <w:i w:val="0"/>
          <w:color w:val="000000" w:themeColor="text1"/>
          <w:sz w:val="20"/>
        </w:rPr>
        <w:instrText xml:space="preserve"> SEQ Table_4.5- \* ARABIC </w:instrText>
      </w:r>
      <w:r w:rsidRPr="00DC0B60">
        <w:rPr>
          <w:rFonts w:ascii="Times New Roman" w:hAnsi="Times New Roman" w:cs="Times New Roman"/>
          <w:i w:val="0"/>
          <w:color w:val="000000" w:themeColor="text1"/>
          <w:sz w:val="20"/>
        </w:rPr>
        <w:fldChar w:fldCharType="end"/>
      </w:r>
      <w:r w:rsidR="008B0194">
        <w:rPr>
          <w:rFonts w:ascii="Times New Roman" w:hAnsi="Times New Roman" w:cs="Times New Roman"/>
          <w:i w:val="0"/>
          <w:color w:val="000000" w:themeColor="text1"/>
          <w:sz w:val="20"/>
        </w:rPr>
        <w:t>17</w:t>
      </w:r>
      <w:r>
        <w:rPr>
          <w:rFonts w:ascii="Times New Roman" w:hAnsi="Times New Roman" w:cs="Times New Roman"/>
          <w:i w:val="0"/>
          <w:color w:val="000000" w:themeColor="text1"/>
          <w:sz w:val="20"/>
        </w:rPr>
        <w:t xml:space="preserve"> </w:t>
      </w:r>
      <w:r w:rsidRPr="00DC0B60">
        <w:rPr>
          <w:rFonts w:ascii="Times New Roman" w:hAnsi="Times New Roman" w:cs="Times New Roman"/>
          <w:i w:val="0"/>
          <w:color w:val="000000" w:themeColor="text1"/>
          <w:sz w:val="20"/>
        </w:rPr>
        <w:t>Scores and ranges of Equilibrium Partitioning Sediment Benchmarks (ESBs) for PAH mixtures based on NCCA 2015 thresholds</w:t>
      </w:r>
      <w:r>
        <w:rPr>
          <w:rFonts w:ascii="Times New Roman" w:hAnsi="Times New Roman" w:cs="Times New Roman"/>
          <w:i w:val="0"/>
          <w:color w:val="000000" w:themeColor="text1"/>
          <w:sz w:val="20"/>
        </w:rPr>
        <w:t>.</w:t>
      </w:r>
    </w:p>
    <w:tbl>
      <w:tblPr>
        <w:tblW w:w="5560" w:type="dxa"/>
        <w:tblLook w:val="04A0" w:firstRow="1" w:lastRow="0" w:firstColumn="1" w:lastColumn="0" w:noHBand="0" w:noVBand="1"/>
        <w:tblCaption w:val="Table 4.5- 16 Scores and ranges of Equilibrium Partitioning Sediment Benchmarks (ESBs) for PAH mixtures based on NCCA 2015 thresholds."/>
        <w:tblDescription w:val="Table 4.5- 16 Scores and ranges of Equilibrium Partitioning Sediment Benchmarks (ESBs) for PAH mixtures based on NCCA 2015 thresholds."/>
      </w:tblPr>
      <w:tblGrid>
        <w:gridCol w:w="1140"/>
        <w:gridCol w:w="2160"/>
        <w:gridCol w:w="960"/>
        <w:gridCol w:w="1300"/>
      </w:tblGrid>
      <w:tr w:rsidR="00DC0B60" w:rsidRPr="00DC0B60" w14:paraId="743A09E8" w14:textId="77777777" w:rsidTr="00307B7A">
        <w:trPr>
          <w:trHeight w:val="317"/>
        </w:trPr>
        <w:tc>
          <w:tcPr>
            <w:tcW w:w="1140" w:type="dxa"/>
            <w:tcBorders>
              <w:left w:val="nil"/>
              <w:bottom w:val="single" w:sz="4" w:space="0" w:color="auto"/>
              <w:right w:val="nil"/>
            </w:tcBorders>
            <w:shd w:val="clear" w:color="auto" w:fill="auto"/>
            <w:vAlign w:val="bottom"/>
            <w:hideMark/>
          </w:tcPr>
          <w:p w14:paraId="71CB5DEA"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ESB Score</w:t>
            </w:r>
          </w:p>
        </w:tc>
        <w:tc>
          <w:tcPr>
            <w:tcW w:w="2160" w:type="dxa"/>
            <w:tcBorders>
              <w:left w:val="nil"/>
              <w:bottom w:val="single" w:sz="4" w:space="0" w:color="auto"/>
              <w:right w:val="nil"/>
            </w:tcBorders>
            <w:shd w:val="clear" w:color="auto" w:fill="auto"/>
            <w:vAlign w:val="bottom"/>
            <w:hideMark/>
          </w:tcPr>
          <w:p w14:paraId="21DEC8FB"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ESB Range</w:t>
            </w:r>
          </w:p>
        </w:tc>
        <w:tc>
          <w:tcPr>
            <w:tcW w:w="960" w:type="dxa"/>
            <w:tcBorders>
              <w:left w:val="nil"/>
              <w:bottom w:val="single" w:sz="4" w:space="0" w:color="auto"/>
              <w:right w:val="nil"/>
            </w:tcBorders>
            <w:shd w:val="clear" w:color="auto" w:fill="auto"/>
            <w:vAlign w:val="bottom"/>
            <w:hideMark/>
          </w:tcPr>
          <w:p w14:paraId="7AD0F91B"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Stations</w:t>
            </w:r>
          </w:p>
        </w:tc>
        <w:tc>
          <w:tcPr>
            <w:tcW w:w="1300" w:type="dxa"/>
            <w:tcBorders>
              <w:left w:val="nil"/>
              <w:bottom w:val="single" w:sz="4" w:space="0" w:color="auto"/>
              <w:right w:val="nil"/>
            </w:tcBorders>
            <w:shd w:val="clear" w:color="auto" w:fill="auto"/>
            <w:vAlign w:val="bottom"/>
            <w:hideMark/>
          </w:tcPr>
          <w:p w14:paraId="3DF17C4A"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Percentage</w:t>
            </w:r>
          </w:p>
        </w:tc>
      </w:tr>
      <w:tr w:rsidR="00DC0B60" w:rsidRPr="00DC0B60" w14:paraId="068DD21C" w14:textId="77777777" w:rsidTr="00307B7A">
        <w:trPr>
          <w:trHeight w:val="317"/>
        </w:trPr>
        <w:tc>
          <w:tcPr>
            <w:tcW w:w="1140" w:type="dxa"/>
            <w:tcBorders>
              <w:top w:val="single" w:sz="4" w:space="0" w:color="auto"/>
              <w:left w:val="nil"/>
              <w:bottom w:val="nil"/>
              <w:right w:val="nil"/>
            </w:tcBorders>
            <w:shd w:val="clear" w:color="auto" w:fill="auto"/>
            <w:vAlign w:val="center"/>
            <w:hideMark/>
          </w:tcPr>
          <w:p w14:paraId="719B001D"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Good</w:t>
            </w:r>
          </w:p>
        </w:tc>
        <w:tc>
          <w:tcPr>
            <w:tcW w:w="2160" w:type="dxa"/>
            <w:tcBorders>
              <w:top w:val="single" w:sz="4" w:space="0" w:color="auto"/>
              <w:left w:val="nil"/>
              <w:bottom w:val="nil"/>
              <w:right w:val="nil"/>
            </w:tcBorders>
            <w:shd w:val="clear" w:color="auto" w:fill="auto"/>
            <w:vAlign w:val="center"/>
            <w:hideMark/>
          </w:tcPr>
          <w:p w14:paraId="62605C08"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 xml:space="preserve">ESB </w:t>
            </w:r>
            <w:r w:rsidRPr="00DC0B60">
              <w:rPr>
                <w:rFonts w:ascii="Times New Roman" w:eastAsia="Times New Roman" w:hAnsi="Times New Roman" w:cs="Times New Roman"/>
                <w:color w:val="222222"/>
                <w:sz w:val="20"/>
                <w:szCs w:val="20"/>
                <w:u w:val="single"/>
              </w:rPr>
              <w:t>&lt;</w:t>
            </w:r>
            <w:r w:rsidRPr="00DC0B60">
              <w:rPr>
                <w:rFonts w:ascii="Times New Roman" w:eastAsia="Times New Roman" w:hAnsi="Times New Roman" w:cs="Times New Roman"/>
                <w:color w:val="222222"/>
                <w:sz w:val="20"/>
                <w:szCs w:val="20"/>
              </w:rPr>
              <w:t xml:space="preserve"> 1.000</w:t>
            </w:r>
          </w:p>
        </w:tc>
        <w:tc>
          <w:tcPr>
            <w:tcW w:w="960" w:type="dxa"/>
            <w:tcBorders>
              <w:top w:val="single" w:sz="4" w:space="0" w:color="auto"/>
              <w:left w:val="nil"/>
              <w:bottom w:val="nil"/>
              <w:right w:val="nil"/>
            </w:tcBorders>
            <w:shd w:val="clear" w:color="auto" w:fill="auto"/>
            <w:vAlign w:val="center"/>
            <w:hideMark/>
          </w:tcPr>
          <w:p w14:paraId="25B796B8"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293</w:t>
            </w:r>
          </w:p>
        </w:tc>
        <w:tc>
          <w:tcPr>
            <w:tcW w:w="1300" w:type="dxa"/>
            <w:tcBorders>
              <w:top w:val="single" w:sz="4" w:space="0" w:color="auto"/>
              <w:left w:val="nil"/>
              <w:bottom w:val="nil"/>
              <w:right w:val="nil"/>
            </w:tcBorders>
            <w:shd w:val="clear" w:color="auto" w:fill="auto"/>
            <w:vAlign w:val="center"/>
            <w:hideMark/>
          </w:tcPr>
          <w:p w14:paraId="0F1DD555"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98.65 ± 1.32</w:t>
            </w:r>
          </w:p>
        </w:tc>
      </w:tr>
      <w:tr w:rsidR="00DC0B60" w:rsidRPr="00DC0B60" w14:paraId="4F43F70E" w14:textId="77777777" w:rsidTr="00307B7A">
        <w:trPr>
          <w:trHeight w:val="317"/>
        </w:trPr>
        <w:tc>
          <w:tcPr>
            <w:tcW w:w="1140" w:type="dxa"/>
            <w:tcBorders>
              <w:top w:val="single" w:sz="8" w:space="0" w:color="DDDDDD"/>
              <w:left w:val="nil"/>
              <w:bottom w:val="nil"/>
              <w:right w:val="nil"/>
            </w:tcBorders>
            <w:shd w:val="clear" w:color="auto" w:fill="auto"/>
            <w:vAlign w:val="center"/>
            <w:hideMark/>
          </w:tcPr>
          <w:p w14:paraId="09C22071"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Fair</w:t>
            </w:r>
          </w:p>
        </w:tc>
        <w:tc>
          <w:tcPr>
            <w:tcW w:w="2160" w:type="dxa"/>
            <w:tcBorders>
              <w:top w:val="single" w:sz="8" w:space="0" w:color="DDDDDD"/>
              <w:left w:val="nil"/>
              <w:bottom w:val="nil"/>
              <w:right w:val="nil"/>
            </w:tcBorders>
            <w:shd w:val="clear" w:color="auto" w:fill="auto"/>
            <w:vAlign w:val="center"/>
            <w:hideMark/>
          </w:tcPr>
          <w:p w14:paraId="77633F3A"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ESB &gt; 1.000 to 1.100</w:t>
            </w:r>
          </w:p>
        </w:tc>
        <w:tc>
          <w:tcPr>
            <w:tcW w:w="960" w:type="dxa"/>
            <w:tcBorders>
              <w:top w:val="single" w:sz="8" w:space="0" w:color="DDDDDD"/>
              <w:left w:val="nil"/>
              <w:bottom w:val="nil"/>
              <w:right w:val="nil"/>
            </w:tcBorders>
            <w:shd w:val="clear" w:color="auto" w:fill="auto"/>
            <w:vAlign w:val="center"/>
            <w:hideMark/>
          </w:tcPr>
          <w:p w14:paraId="357D8C68"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3</w:t>
            </w:r>
          </w:p>
        </w:tc>
        <w:tc>
          <w:tcPr>
            <w:tcW w:w="1300" w:type="dxa"/>
            <w:tcBorders>
              <w:top w:val="single" w:sz="8" w:space="0" w:color="DDDDDD"/>
              <w:left w:val="nil"/>
              <w:bottom w:val="nil"/>
              <w:right w:val="nil"/>
            </w:tcBorders>
            <w:shd w:val="clear" w:color="auto" w:fill="auto"/>
            <w:vAlign w:val="center"/>
            <w:hideMark/>
          </w:tcPr>
          <w:p w14:paraId="2C8040D5"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1.01 ± 1.14</w:t>
            </w:r>
          </w:p>
        </w:tc>
      </w:tr>
      <w:tr w:rsidR="00DC0B60" w:rsidRPr="00DC0B60" w14:paraId="03BA8489" w14:textId="77777777" w:rsidTr="00307B7A">
        <w:trPr>
          <w:trHeight w:val="317"/>
        </w:trPr>
        <w:tc>
          <w:tcPr>
            <w:tcW w:w="1140" w:type="dxa"/>
            <w:tcBorders>
              <w:top w:val="single" w:sz="8" w:space="0" w:color="DDDDDD"/>
              <w:left w:val="nil"/>
              <w:bottom w:val="single" w:sz="4" w:space="0" w:color="D9D9D9"/>
              <w:right w:val="nil"/>
            </w:tcBorders>
            <w:shd w:val="clear" w:color="auto" w:fill="auto"/>
            <w:vAlign w:val="center"/>
            <w:hideMark/>
          </w:tcPr>
          <w:p w14:paraId="7D69BF74" w14:textId="77777777" w:rsidR="00DC0B60" w:rsidRPr="00DC0B60" w:rsidRDefault="00DC0B60" w:rsidP="00DC0B60">
            <w:pPr>
              <w:spacing w:after="0" w:line="240" w:lineRule="auto"/>
              <w:rPr>
                <w:rFonts w:ascii="Times New Roman" w:eastAsia="Times New Roman" w:hAnsi="Times New Roman" w:cs="Times New Roman"/>
                <w:sz w:val="20"/>
                <w:szCs w:val="20"/>
              </w:rPr>
            </w:pPr>
            <w:r w:rsidRPr="00DC0B60">
              <w:rPr>
                <w:rFonts w:ascii="Times New Roman" w:eastAsia="Times New Roman" w:hAnsi="Times New Roman" w:cs="Times New Roman"/>
                <w:sz w:val="20"/>
                <w:szCs w:val="20"/>
              </w:rPr>
              <w:t>Poor</w:t>
            </w:r>
          </w:p>
        </w:tc>
        <w:tc>
          <w:tcPr>
            <w:tcW w:w="2160" w:type="dxa"/>
            <w:tcBorders>
              <w:top w:val="single" w:sz="8" w:space="0" w:color="DDDDDD"/>
              <w:left w:val="nil"/>
              <w:bottom w:val="single" w:sz="4" w:space="0" w:color="D9D9D9"/>
              <w:right w:val="nil"/>
            </w:tcBorders>
            <w:shd w:val="clear" w:color="auto" w:fill="auto"/>
            <w:vAlign w:val="center"/>
            <w:hideMark/>
          </w:tcPr>
          <w:p w14:paraId="5CE2D081" w14:textId="77777777" w:rsidR="00DC0B60" w:rsidRPr="00DC0B60" w:rsidRDefault="00DC0B60" w:rsidP="00DC0B60">
            <w:pPr>
              <w:spacing w:after="0" w:line="240" w:lineRule="auto"/>
              <w:rPr>
                <w:rFonts w:ascii="Times New Roman" w:eastAsia="Times New Roman" w:hAnsi="Times New Roman" w:cs="Times New Roman"/>
                <w:sz w:val="20"/>
                <w:szCs w:val="20"/>
              </w:rPr>
            </w:pPr>
            <w:r w:rsidRPr="00DC0B60">
              <w:rPr>
                <w:rFonts w:ascii="Times New Roman" w:eastAsia="Times New Roman" w:hAnsi="Times New Roman" w:cs="Times New Roman"/>
                <w:sz w:val="20"/>
                <w:szCs w:val="20"/>
              </w:rPr>
              <w:t>ESB &gt; 1.100 to 5.001</w:t>
            </w:r>
          </w:p>
        </w:tc>
        <w:tc>
          <w:tcPr>
            <w:tcW w:w="960" w:type="dxa"/>
            <w:tcBorders>
              <w:top w:val="single" w:sz="8" w:space="0" w:color="DDDDDD"/>
              <w:left w:val="nil"/>
              <w:bottom w:val="single" w:sz="4" w:space="0" w:color="D9D9D9"/>
              <w:right w:val="nil"/>
            </w:tcBorders>
            <w:shd w:val="clear" w:color="auto" w:fill="auto"/>
            <w:vAlign w:val="center"/>
            <w:hideMark/>
          </w:tcPr>
          <w:p w14:paraId="0465DF60" w14:textId="77777777" w:rsidR="00DC0B60" w:rsidRPr="00DC0B60" w:rsidRDefault="00DC0B60" w:rsidP="00DC0B60">
            <w:pPr>
              <w:spacing w:after="0" w:line="240" w:lineRule="auto"/>
              <w:rPr>
                <w:rFonts w:ascii="Times New Roman" w:eastAsia="Times New Roman" w:hAnsi="Times New Roman" w:cs="Times New Roman"/>
                <w:sz w:val="20"/>
                <w:szCs w:val="20"/>
              </w:rPr>
            </w:pPr>
            <w:r w:rsidRPr="00DC0B60">
              <w:rPr>
                <w:rFonts w:ascii="Times New Roman" w:eastAsia="Times New Roman" w:hAnsi="Times New Roman" w:cs="Times New Roman"/>
                <w:sz w:val="20"/>
                <w:szCs w:val="20"/>
              </w:rPr>
              <w:t>0</w:t>
            </w:r>
          </w:p>
        </w:tc>
        <w:tc>
          <w:tcPr>
            <w:tcW w:w="1300" w:type="dxa"/>
            <w:tcBorders>
              <w:top w:val="single" w:sz="8" w:space="0" w:color="DDDDDD"/>
              <w:left w:val="nil"/>
              <w:bottom w:val="single" w:sz="4" w:space="0" w:color="D9D9D9"/>
              <w:right w:val="nil"/>
            </w:tcBorders>
            <w:shd w:val="clear" w:color="auto" w:fill="auto"/>
            <w:vAlign w:val="center"/>
            <w:hideMark/>
          </w:tcPr>
          <w:p w14:paraId="533718AD" w14:textId="77777777" w:rsidR="00DC0B60" w:rsidRPr="00DC0B60" w:rsidRDefault="00DC0B60" w:rsidP="00DC0B60">
            <w:pPr>
              <w:spacing w:after="0" w:line="240" w:lineRule="auto"/>
              <w:rPr>
                <w:rFonts w:ascii="Times New Roman" w:eastAsia="Times New Roman" w:hAnsi="Times New Roman" w:cs="Times New Roman"/>
                <w:sz w:val="20"/>
                <w:szCs w:val="20"/>
              </w:rPr>
            </w:pPr>
            <w:r w:rsidRPr="00DC0B60">
              <w:rPr>
                <w:rFonts w:ascii="Times New Roman" w:eastAsia="Times New Roman" w:hAnsi="Times New Roman" w:cs="Times New Roman"/>
                <w:sz w:val="20"/>
                <w:szCs w:val="20"/>
              </w:rPr>
              <w:t>0.34 ± 0.65</w:t>
            </w:r>
          </w:p>
        </w:tc>
      </w:tr>
      <w:tr w:rsidR="00DC0B60" w:rsidRPr="00DC0B60" w14:paraId="20D4EC1C" w14:textId="77777777" w:rsidTr="00307B7A">
        <w:trPr>
          <w:trHeight w:val="317"/>
        </w:trPr>
        <w:tc>
          <w:tcPr>
            <w:tcW w:w="1140" w:type="dxa"/>
            <w:tcBorders>
              <w:top w:val="nil"/>
              <w:left w:val="nil"/>
              <w:bottom w:val="single" w:sz="8" w:space="0" w:color="000000"/>
              <w:right w:val="nil"/>
            </w:tcBorders>
            <w:shd w:val="clear" w:color="auto" w:fill="auto"/>
            <w:vAlign w:val="center"/>
            <w:hideMark/>
          </w:tcPr>
          <w:p w14:paraId="257B2D86"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Very Poor</w:t>
            </w:r>
          </w:p>
        </w:tc>
        <w:tc>
          <w:tcPr>
            <w:tcW w:w="2160" w:type="dxa"/>
            <w:tcBorders>
              <w:top w:val="nil"/>
              <w:left w:val="nil"/>
              <w:bottom w:val="single" w:sz="8" w:space="0" w:color="000000"/>
              <w:right w:val="nil"/>
            </w:tcBorders>
            <w:shd w:val="clear" w:color="auto" w:fill="auto"/>
            <w:vAlign w:val="center"/>
            <w:hideMark/>
          </w:tcPr>
          <w:p w14:paraId="018E388A" w14:textId="70174586"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ESB &gt;  5.000</w:t>
            </w:r>
            <w:r w:rsidR="007316B8">
              <w:rPr>
                <w:rFonts w:ascii="Times New Roman" w:eastAsia="Times New Roman" w:hAnsi="Times New Roman" w:cs="Times New Roman"/>
                <w:color w:val="222222"/>
                <w:sz w:val="20"/>
                <w:szCs w:val="20"/>
              </w:rPr>
              <w:t>1</w:t>
            </w:r>
          </w:p>
        </w:tc>
        <w:tc>
          <w:tcPr>
            <w:tcW w:w="960" w:type="dxa"/>
            <w:tcBorders>
              <w:top w:val="nil"/>
              <w:left w:val="nil"/>
              <w:bottom w:val="single" w:sz="8" w:space="0" w:color="000000"/>
              <w:right w:val="nil"/>
            </w:tcBorders>
            <w:shd w:val="clear" w:color="auto" w:fill="auto"/>
            <w:vAlign w:val="center"/>
            <w:hideMark/>
          </w:tcPr>
          <w:p w14:paraId="481BA4DA"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0</w:t>
            </w:r>
          </w:p>
        </w:tc>
        <w:tc>
          <w:tcPr>
            <w:tcW w:w="1300" w:type="dxa"/>
            <w:tcBorders>
              <w:top w:val="nil"/>
              <w:left w:val="nil"/>
              <w:bottom w:val="single" w:sz="8" w:space="0" w:color="000000"/>
              <w:right w:val="nil"/>
            </w:tcBorders>
            <w:shd w:val="clear" w:color="auto" w:fill="auto"/>
            <w:vAlign w:val="center"/>
            <w:hideMark/>
          </w:tcPr>
          <w:p w14:paraId="67902B2B" w14:textId="77777777" w:rsidR="00DC0B60" w:rsidRPr="00DC0B60" w:rsidRDefault="00DC0B60" w:rsidP="00DC0B60">
            <w:pPr>
              <w:spacing w:after="0" w:line="240" w:lineRule="auto"/>
              <w:rPr>
                <w:rFonts w:ascii="Times New Roman" w:eastAsia="Times New Roman" w:hAnsi="Times New Roman" w:cs="Times New Roman"/>
                <w:color w:val="222222"/>
                <w:sz w:val="20"/>
                <w:szCs w:val="20"/>
              </w:rPr>
            </w:pPr>
            <w:r w:rsidRPr="00DC0B60">
              <w:rPr>
                <w:rFonts w:ascii="Times New Roman" w:eastAsia="Times New Roman" w:hAnsi="Times New Roman" w:cs="Times New Roman"/>
                <w:color w:val="222222"/>
                <w:sz w:val="20"/>
                <w:szCs w:val="20"/>
              </w:rPr>
              <w:t>0</w:t>
            </w:r>
          </w:p>
        </w:tc>
      </w:tr>
      <w:tr w:rsidR="00DC0B60" w:rsidRPr="00DC0B60" w14:paraId="29A56C31" w14:textId="77777777" w:rsidTr="00307B7A">
        <w:trPr>
          <w:trHeight w:val="317"/>
        </w:trPr>
        <w:tc>
          <w:tcPr>
            <w:tcW w:w="1140" w:type="dxa"/>
            <w:tcBorders>
              <w:top w:val="single" w:sz="8" w:space="0" w:color="DDDDDD"/>
              <w:left w:val="nil"/>
              <w:bottom w:val="single" w:sz="12" w:space="0" w:color="111111"/>
              <w:right w:val="nil"/>
            </w:tcBorders>
            <w:shd w:val="clear" w:color="auto" w:fill="auto"/>
            <w:vAlign w:val="center"/>
            <w:hideMark/>
          </w:tcPr>
          <w:p w14:paraId="2372BFB2"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Total</w:t>
            </w:r>
          </w:p>
        </w:tc>
        <w:tc>
          <w:tcPr>
            <w:tcW w:w="2160" w:type="dxa"/>
            <w:tcBorders>
              <w:top w:val="single" w:sz="8" w:space="0" w:color="DDDDDD"/>
              <w:left w:val="nil"/>
              <w:bottom w:val="single" w:sz="12" w:space="0" w:color="111111"/>
              <w:right w:val="nil"/>
            </w:tcBorders>
            <w:shd w:val="clear" w:color="auto" w:fill="auto"/>
            <w:vAlign w:val="center"/>
            <w:hideMark/>
          </w:tcPr>
          <w:p w14:paraId="0430DB1F"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 </w:t>
            </w:r>
          </w:p>
        </w:tc>
        <w:tc>
          <w:tcPr>
            <w:tcW w:w="960" w:type="dxa"/>
            <w:tcBorders>
              <w:top w:val="single" w:sz="8" w:space="0" w:color="DDDDDD"/>
              <w:left w:val="nil"/>
              <w:bottom w:val="single" w:sz="12" w:space="0" w:color="111111"/>
              <w:right w:val="nil"/>
            </w:tcBorders>
            <w:shd w:val="clear" w:color="auto" w:fill="auto"/>
            <w:vAlign w:val="center"/>
            <w:hideMark/>
          </w:tcPr>
          <w:p w14:paraId="6152E45D"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297</w:t>
            </w:r>
          </w:p>
        </w:tc>
        <w:tc>
          <w:tcPr>
            <w:tcW w:w="1300" w:type="dxa"/>
            <w:tcBorders>
              <w:top w:val="single" w:sz="8" w:space="0" w:color="DDDDDD"/>
              <w:left w:val="nil"/>
              <w:bottom w:val="single" w:sz="12" w:space="0" w:color="111111"/>
              <w:right w:val="nil"/>
            </w:tcBorders>
            <w:shd w:val="clear" w:color="auto" w:fill="auto"/>
            <w:vAlign w:val="center"/>
            <w:hideMark/>
          </w:tcPr>
          <w:p w14:paraId="440FB527" w14:textId="77777777" w:rsidR="00DC0B60" w:rsidRPr="00DC0B60" w:rsidRDefault="00DC0B60" w:rsidP="00DC0B60">
            <w:pPr>
              <w:spacing w:after="0" w:line="240" w:lineRule="auto"/>
              <w:rPr>
                <w:rFonts w:ascii="Times New Roman" w:eastAsia="Times New Roman" w:hAnsi="Times New Roman" w:cs="Times New Roman"/>
                <w:b/>
                <w:bCs/>
                <w:color w:val="222222"/>
                <w:sz w:val="20"/>
                <w:szCs w:val="20"/>
              </w:rPr>
            </w:pPr>
            <w:r w:rsidRPr="00DC0B60">
              <w:rPr>
                <w:rFonts w:ascii="Times New Roman" w:eastAsia="Times New Roman" w:hAnsi="Times New Roman" w:cs="Times New Roman"/>
                <w:b/>
                <w:bCs/>
                <w:color w:val="222222"/>
                <w:sz w:val="20"/>
                <w:szCs w:val="20"/>
              </w:rPr>
              <w:t> </w:t>
            </w:r>
          </w:p>
        </w:tc>
      </w:tr>
    </w:tbl>
    <w:p w14:paraId="5EF0BF69" w14:textId="77777777" w:rsidR="00FD11B1" w:rsidRDefault="00FD11B1" w:rsidP="00FE1DDB">
      <w:pPr>
        <w:spacing w:after="0" w:line="240" w:lineRule="auto"/>
        <w:rPr>
          <w:rFonts w:ascii="Times New Roman" w:hAnsi="Times New Roman" w:cs="Times New Roman"/>
          <w:b/>
          <w:szCs w:val="24"/>
        </w:rPr>
      </w:pPr>
    </w:p>
    <w:p w14:paraId="67A3ECAE" w14:textId="4A07A995" w:rsidR="009B272A" w:rsidRPr="009B272A" w:rsidRDefault="00555A66" w:rsidP="00FE1DDB">
      <w:pPr>
        <w:spacing w:after="0" w:line="240" w:lineRule="auto"/>
        <w:rPr>
          <w:rFonts w:ascii="Times New Roman" w:hAnsi="Times New Roman" w:cs="Times New Roman"/>
        </w:rPr>
      </w:pPr>
      <w:r w:rsidRPr="009B272A">
        <w:rPr>
          <w:rFonts w:ascii="Times New Roman" w:hAnsi="Times New Roman" w:cs="Times New Roman"/>
          <w:b/>
          <w:szCs w:val="24"/>
        </w:rPr>
        <w:t xml:space="preserve">Integrated Sediment Chemistry Index (SCI): </w:t>
      </w:r>
      <w:r w:rsidR="009B272A">
        <w:rPr>
          <w:rFonts w:ascii="Times New Roman" w:hAnsi="Times New Roman" w:cs="Times New Roman"/>
        </w:rPr>
        <w:t>DEQ’s</w:t>
      </w:r>
      <w:r w:rsidR="009B272A" w:rsidRPr="009B272A">
        <w:rPr>
          <w:rFonts w:ascii="Times New Roman" w:hAnsi="Times New Roman" w:cs="Times New Roman"/>
        </w:rPr>
        <w:t xml:space="preserve"> Integrated SCI is derived from characterizations of sediment chemistry based on mean Sediment Quality Guideline Quotient (mSQG-Q or mERM-Q), the P</w:t>
      </w:r>
      <w:r w:rsidR="009B272A" w:rsidRPr="009B272A">
        <w:rPr>
          <w:rFonts w:ascii="Times New Roman" w:hAnsi="Times New Roman" w:cs="Times New Roman"/>
          <w:vertAlign w:val="subscript"/>
        </w:rPr>
        <w:t>max</w:t>
      </w:r>
      <w:r w:rsidR="009B272A" w:rsidRPr="009B272A">
        <w:rPr>
          <w:rFonts w:ascii="Times New Roman" w:hAnsi="Times New Roman" w:cs="Times New Roman"/>
        </w:rPr>
        <w:t xml:space="preserve"> statistic of the Logistic Regression Model (LRM-P</w:t>
      </w:r>
      <w:r w:rsidR="009B272A" w:rsidRPr="009B272A">
        <w:rPr>
          <w:rFonts w:ascii="Times New Roman" w:hAnsi="Times New Roman" w:cs="Times New Roman"/>
          <w:vertAlign w:val="subscript"/>
        </w:rPr>
        <w:t>max</w:t>
      </w:r>
      <w:r w:rsidR="009B272A" w:rsidRPr="009B272A">
        <w:rPr>
          <w:rFonts w:ascii="Times New Roman" w:hAnsi="Times New Roman" w:cs="Times New Roman"/>
        </w:rPr>
        <w:t xml:space="preserve">), and the Equilibrium Partitioning Sediment </w:t>
      </w:r>
      <w:r w:rsidR="009B272A" w:rsidRPr="009B272A">
        <w:rPr>
          <w:rFonts w:ascii="Times New Roman" w:hAnsi="Times New Roman" w:cs="Times New Roman"/>
        </w:rPr>
        <w:lastRenderedPageBreak/>
        <w:t xml:space="preserve">Benchmark for </w:t>
      </w:r>
      <w:r w:rsidR="009B272A" w:rsidRPr="009E29FD">
        <w:rPr>
          <w:rFonts w:ascii="Times New Roman" w:hAnsi="Times New Roman" w:cs="Times New Roman"/>
        </w:rPr>
        <w:t>PAH Mixtures (ESB</w:t>
      </w:r>
      <w:r w:rsidR="009B272A" w:rsidRPr="009E29FD">
        <w:rPr>
          <w:rFonts w:ascii="Times New Roman" w:hAnsi="Times New Roman" w:cs="Times New Roman"/>
          <w:vertAlign w:val="subscript"/>
        </w:rPr>
        <w:t>PAH</w:t>
      </w:r>
      <w:r w:rsidR="009B272A" w:rsidRPr="009E29FD">
        <w:rPr>
          <w:rFonts w:ascii="Times New Roman" w:hAnsi="Times New Roman" w:cs="Times New Roman"/>
        </w:rPr>
        <w:t>). This is a slight deviation from the NCCA SCI which does not include the ESB</w:t>
      </w:r>
      <w:r w:rsidR="009B272A" w:rsidRPr="009E29FD">
        <w:rPr>
          <w:rFonts w:ascii="Times New Roman" w:hAnsi="Times New Roman" w:cs="Times New Roman"/>
          <w:vertAlign w:val="subscript"/>
        </w:rPr>
        <w:t>PAH</w:t>
      </w:r>
      <w:r w:rsidR="009B272A" w:rsidRPr="009E29FD">
        <w:rPr>
          <w:rFonts w:ascii="Times New Roman" w:hAnsi="Times New Roman" w:cs="Times New Roman"/>
          <w:szCs w:val="24"/>
        </w:rPr>
        <w:t xml:space="preserve"> .The </w:t>
      </w:r>
      <w:r w:rsidR="009B272A" w:rsidRPr="009E29FD">
        <w:rPr>
          <w:rFonts w:ascii="Times New Roman" w:hAnsi="Times New Roman" w:cs="Times New Roman"/>
        </w:rPr>
        <w:t>ESB</w:t>
      </w:r>
      <w:r w:rsidR="009B272A" w:rsidRPr="009E29FD">
        <w:rPr>
          <w:rFonts w:ascii="Times New Roman" w:hAnsi="Times New Roman" w:cs="Times New Roman"/>
          <w:vertAlign w:val="subscript"/>
        </w:rPr>
        <w:t>PAH</w:t>
      </w:r>
      <w:r w:rsidR="009B272A" w:rsidRPr="009E29FD">
        <w:rPr>
          <w:rFonts w:ascii="Times New Roman" w:hAnsi="Times New Roman" w:cs="Times New Roman"/>
          <w:szCs w:val="24"/>
        </w:rPr>
        <w:t xml:space="preserve"> </w:t>
      </w:r>
      <w:r w:rsidR="005D12C4" w:rsidRPr="009E29FD">
        <w:rPr>
          <w:rFonts w:ascii="Times New Roman" w:hAnsi="Times New Roman" w:cs="Times New Roman"/>
        </w:rPr>
        <w:t>incorporates reduced PAH bioavailability from Total Organic Carbon sequestration and is pertinent to include</w:t>
      </w:r>
      <w:r w:rsidR="005D12C4">
        <w:rPr>
          <w:rFonts w:ascii="Times New Roman" w:hAnsi="Times New Roman" w:cs="Times New Roman"/>
        </w:rPr>
        <w:t xml:space="preserve"> in the SCI</w:t>
      </w:r>
      <w:r w:rsidR="009B272A">
        <w:rPr>
          <w:rFonts w:ascii="Times New Roman" w:hAnsi="Times New Roman" w:cs="Times New Roman"/>
          <w:szCs w:val="24"/>
        </w:rPr>
        <w:t xml:space="preserve">. </w:t>
      </w:r>
      <w:r w:rsidR="009B272A" w:rsidRPr="00FE1DDB">
        <w:rPr>
          <w:rFonts w:ascii="Times New Roman" w:hAnsi="Times New Roman" w:cs="Times New Roman"/>
          <w:sz w:val="24"/>
          <w:szCs w:val="24"/>
        </w:rPr>
        <w:t>Based on the percentage distributions of the SCI characterization among classes, Virginia’s estuarine waters earn a statewide characterization of “Fair</w:t>
      </w:r>
      <w:r w:rsidR="009B272A">
        <w:rPr>
          <w:rFonts w:ascii="Times New Roman" w:hAnsi="Times New Roman" w:cs="Times New Roman"/>
          <w:sz w:val="24"/>
          <w:szCs w:val="24"/>
        </w:rPr>
        <w:t>”</w:t>
      </w:r>
      <w:r w:rsidR="009B272A" w:rsidRPr="00FE1DDB">
        <w:rPr>
          <w:rFonts w:ascii="Times New Roman" w:hAnsi="Times New Roman" w:cs="Times New Roman"/>
          <w:sz w:val="24"/>
          <w:szCs w:val="24"/>
        </w:rPr>
        <w:t xml:space="preserve"> for </w:t>
      </w:r>
      <w:r w:rsidR="009B272A">
        <w:rPr>
          <w:rFonts w:ascii="Times New Roman" w:hAnsi="Times New Roman" w:cs="Times New Roman"/>
          <w:sz w:val="24"/>
          <w:szCs w:val="24"/>
        </w:rPr>
        <w:t xml:space="preserve">sediment chemical contamination </w:t>
      </w:r>
      <w:r w:rsidR="009B272A" w:rsidRPr="009B272A">
        <w:rPr>
          <w:rFonts w:ascii="Times New Roman" w:hAnsi="Times New Roman" w:cs="Times New Roman"/>
          <w:color w:val="000000" w:themeColor="text1"/>
        </w:rPr>
        <w:t xml:space="preserve">Table 4.5- </w:t>
      </w:r>
      <w:r w:rsidR="008B0194">
        <w:rPr>
          <w:rFonts w:ascii="Times New Roman" w:hAnsi="Times New Roman" w:cs="Times New Roman"/>
          <w:color w:val="000000" w:themeColor="text1"/>
        </w:rPr>
        <w:t>18</w:t>
      </w:r>
      <w:r w:rsidR="009B272A">
        <w:rPr>
          <w:rFonts w:ascii="Times New Roman" w:hAnsi="Times New Roman" w:cs="Times New Roman"/>
        </w:rPr>
        <w:t xml:space="preserve">. </w:t>
      </w:r>
    </w:p>
    <w:p w14:paraId="7FDAD20E" w14:textId="2CB16A85" w:rsidR="00ED5C3F" w:rsidRDefault="00ED5C3F" w:rsidP="00FE1DDB">
      <w:pPr>
        <w:spacing w:after="0" w:line="240" w:lineRule="auto"/>
        <w:rPr>
          <w:rFonts w:ascii="Times New Roman" w:hAnsi="Times New Roman" w:cs="Times New Roman"/>
          <w:sz w:val="24"/>
          <w:szCs w:val="24"/>
        </w:rPr>
      </w:pPr>
    </w:p>
    <w:p w14:paraId="2D8B95E4" w14:textId="580825C6" w:rsidR="009B272A" w:rsidRPr="009B272A" w:rsidRDefault="009B272A" w:rsidP="00307B7A">
      <w:pPr>
        <w:pStyle w:val="Caption"/>
        <w:keepNext/>
        <w:rPr>
          <w:rFonts w:ascii="Times New Roman" w:hAnsi="Times New Roman" w:cs="Times New Roman"/>
          <w:i w:val="0"/>
        </w:rPr>
      </w:pPr>
      <w:r w:rsidRPr="009B272A">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18</w:t>
      </w:r>
      <w:r w:rsidRPr="009B272A">
        <w:rPr>
          <w:rFonts w:ascii="Times New Roman" w:hAnsi="Times New Roman" w:cs="Times New Roman"/>
          <w:i w:val="0"/>
          <w:color w:val="000000" w:themeColor="text1"/>
          <w:sz w:val="20"/>
        </w:rPr>
        <w:t xml:space="preserve"> Integra</w:t>
      </w:r>
      <w:r>
        <w:rPr>
          <w:rFonts w:ascii="Times New Roman" w:hAnsi="Times New Roman" w:cs="Times New Roman"/>
          <w:i w:val="0"/>
          <w:color w:val="000000" w:themeColor="text1"/>
          <w:sz w:val="20"/>
        </w:rPr>
        <w:t>ted Sediment Chemistry Index (SC</w:t>
      </w:r>
      <w:r w:rsidRPr="009B272A">
        <w:rPr>
          <w:rFonts w:ascii="Times New Roman" w:hAnsi="Times New Roman" w:cs="Times New Roman"/>
          <w:i w:val="0"/>
          <w:color w:val="000000" w:themeColor="text1"/>
          <w:sz w:val="20"/>
        </w:rPr>
        <w:t>I) scores and thresholds</w:t>
      </w:r>
    </w:p>
    <w:tbl>
      <w:tblPr>
        <w:tblW w:w="7020" w:type="dxa"/>
        <w:tblLayout w:type="fixed"/>
        <w:tblLook w:val="04A0" w:firstRow="1" w:lastRow="0" w:firstColumn="1" w:lastColumn="0" w:noHBand="0" w:noVBand="1"/>
        <w:tblCaption w:val="Table 4.5- 17 Integrated Sediment Chemistry Index (SCI) scores and thresholds"/>
        <w:tblDescription w:val="Table 4.5- 17 Integrated Sediment Chemistry Index (SCI) scores and thresholds"/>
      </w:tblPr>
      <w:tblGrid>
        <w:gridCol w:w="1252"/>
        <w:gridCol w:w="3518"/>
        <w:gridCol w:w="990"/>
        <w:gridCol w:w="1260"/>
      </w:tblGrid>
      <w:tr w:rsidR="009B272A" w:rsidRPr="007316B8" w14:paraId="434004F6" w14:textId="77777777" w:rsidTr="00307B7A">
        <w:trPr>
          <w:trHeight w:val="315"/>
        </w:trPr>
        <w:tc>
          <w:tcPr>
            <w:tcW w:w="1252" w:type="dxa"/>
            <w:tcBorders>
              <w:top w:val="nil"/>
              <w:left w:val="nil"/>
              <w:bottom w:val="single" w:sz="4" w:space="0" w:color="auto"/>
              <w:right w:val="nil"/>
            </w:tcBorders>
            <w:shd w:val="clear" w:color="auto" w:fill="auto"/>
            <w:vAlign w:val="center"/>
            <w:hideMark/>
          </w:tcPr>
          <w:p w14:paraId="1269DBB0" w14:textId="4E3E7545" w:rsidR="007316B8" w:rsidRPr="007316B8" w:rsidRDefault="007316B8" w:rsidP="009B272A">
            <w:pPr>
              <w:spacing w:after="0" w:line="240" w:lineRule="auto"/>
              <w:rPr>
                <w:rFonts w:ascii="Times New Roman" w:eastAsia="Times New Roman" w:hAnsi="Times New Roman" w:cs="Times New Roman"/>
                <w:b/>
                <w:color w:val="222222"/>
                <w:sz w:val="20"/>
                <w:szCs w:val="20"/>
              </w:rPr>
            </w:pPr>
            <w:r w:rsidRPr="007316B8">
              <w:rPr>
                <w:rFonts w:ascii="Times New Roman" w:eastAsia="Times New Roman" w:hAnsi="Times New Roman" w:cs="Times New Roman"/>
                <w:b/>
                <w:color w:val="222222"/>
                <w:sz w:val="20"/>
                <w:szCs w:val="20"/>
              </w:rPr>
              <w:t>S</w:t>
            </w:r>
            <w:r w:rsidR="009B272A">
              <w:rPr>
                <w:rFonts w:ascii="Times New Roman" w:eastAsia="Times New Roman" w:hAnsi="Times New Roman" w:cs="Times New Roman"/>
                <w:b/>
                <w:color w:val="222222"/>
                <w:sz w:val="20"/>
                <w:szCs w:val="20"/>
              </w:rPr>
              <w:t>C</w:t>
            </w:r>
            <w:r w:rsidRPr="007316B8">
              <w:rPr>
                <w:rFonts w:ascii="Times New Roman" w:eastAsia="Times New Roman" w:hAnsi="Times New Roman" w:cs="Times New Roman"/>
                <w:b/>
                <w:color w:val="222222"/>
                <w:sz w:val="20"/>
                <w:szCs w:val="20"/>
              </w:rPr>
              <w:t>I Score</w:t>
            </w:r>
          </w:p>
        </w:tc>
        <w:tc>
          <w:tcPr>
            <w:tcW w:w="3518" w:type="dxa"/>
            <w:tcBorders>
              <w:top w:val="nil"/>
              <w:left w:val="nil"/>
              <w:bottom w:val="single" w:sz="4" w:space="0" w:color="auto"/>
              <w:right w:val="nil"/>
            </w:tcBorders>
            <w:shd w:val="clear" w:color="auto" w:fill="auto"/>
            <w:vAlign w:val="center"/>
            <w:hideMark/>
          </w:tcPr>
          <w:p w14:paraId="021DA4BD" w14:textId="3EA10A51" w:rsidR="007316B8" w:rsidRPr="007316B8" w:rsidRDefault="007316B8" w:rsidP="009B272A">
            <w:pPr>
              <w:spacing w:after="0" w:line="240" w:lineRule="auto"/>
              <w:rPr>
                <w:rFonts w:ascii="Times New Roman" w:eastAsia="Times New Roman" w:hAnsi="Times New Roman" w:cs="Times New Roman"/>
                <w:b/>
                <w:color w:val="222222"/>
                <w:sz w:val="20"/>
                <w:szCs w:val="20"/>
              </w:rPr>
            </w:pPr>
            <w:r w:rsidRPr="007316B8">
              <w:rPr>
                <w:rFonts w:ascii="Times New Roman" w:eastAsia="Times New Roman" w:hAnsi="Times New Roman" w:cs="Times New Roman"/>
                <w:b/>
                <w:color w:val="222222"/>
                <w:sz w:val="20"/>
                <w:szCs w:val="20"/>
              </w:rPr>
              <w:t>S</w:t>
            </w:r>
            <w:r w:rsidR="009B272A">
              <w:rPr>
                <w:rFonts w:ascii="Times New Roman" w:eastAsia="Times New Roman" w:hAnsi="Times New Roman" w:cs="Times New Roman"/>
                <w:b/>
                <w:color w:val="222222"/>
                <w:sz w:val="20"/>
                <w:szCs w:val="20"/>
              </w:rPr>
              <w:t>C</w:t>
            </w:r>
            <w:r w:rsidRPr="007316B8">
              <w:rPr>
                <w:rFonts w:ascii="Times New Roman" w:eastAsia="Times New Roman" w:hAnsi="Times New Roman" w:cs="Times New Roman"/>
                <w:b/>
                <w:color w:val="222222"/>
                <w:sz w:val="20"/>
                <w:szCs w:val="20"/>
              </w:rPr>
              <w:t>I Range</w:t>
            </w:r>
          </w:p>
        </w:tc>
        <w:tc>
          <w:tcPr>
            <w:tcW w:w="990" w:type="dxa"/>
            <w:tcBorders>
              <w:top w:val="nil"/>
              <w:left w:val="nil"/>
              <w:bottom w:val="single" w:sz="4" w:space="0" w:color="auto"/>
              <w:right w:val="nil"/>
            </w:tcBorders>
            <w:shd w:val="clear" w:color="auto" w:fill="auto"/>
            <w:vAlign w:val="center"/>
            <w:hideMark/>
          </w:tcPr>
          <w:p w14:paraId="4645AA2C" w14:textId="77777777" w:rsidR="007316B8" w:rsidRPr="007316B8" w:rsidRDefault="007316B8" w:rsidP="007316B8">
            <w:pPr>
              <w:spacing w:after="0" w:line="240" w:lineRule="auto"/>
              <w:rPr>
                <w:rFonts w:ascii="Times New Roman" w:eastAsia="Times New Roman" w:hAnsi="Times New Roman" w:cs="Times New Roman"/>
                <w:b/>
                <w:color w:val="222222"/>
                <w:sz w:val="20"/>
                <w:szCs w:val="20"/>
              </w:rPr>
            </w:pPr>
            <w:r w:rsidRPr="007316B8">
              <w:rPr>
                <w:rFonts w:ascii="Times New Roman" w:eastAsia="Times New Roman" w:hAnsi="Times New Roman" w:cs="Times New Roman"/>
                <w:b/>
                <w:color w:val="222222"/>
                <w:sz w:val="20"/>
                <w:szCs w:val="20"/>
              </w:rPr>
              <w:t>Stations</w:t>
            </w:r>
          </w:p>
        </w:tc>
        <w:tc>
          <w:tcPr>
            <w:tcW w:w="1260" w:type="dxa"/>
            <w:tcBorders>
              <w:top w:val="nil"/>
              <w:left w:val="nil"/>
              <w:bottom w:val="single" w:sz="4" w:space="0" w:color="auto"/>
              <w:right w:val="nil"/>
            </w:tcBorders>
            <w:shd w:val="clear" w:color="auto" w:fill="auto"/>
            <w:vAlign w:val="center"/>
            <w:hideMark/>
          </w:tcPr>
          <w:p w14:paraId="799E26B6" w14:textId="77777777" w:rsidR="007316B8" w:rsidRPr="007316B8" w:rsidRDefault="007316B8" w:rsidP="007316B8">
            <w:pPr>
              <w:spacing w:after="0" w:line="240" w:lineRule="auto"/>
              <w:rPr>
                <w:rFonts w:ascii="Times New Roman" w:eastAsia="Times New Roman" w:hAnsi="Times New Roman" w:cs="Times New Roman"/>
                <w:b/>
                <w:color w:val="222222"/>
                <w:sz w:val="20"/>
                <w:szCs w:val="20"/>
              </w:rPr>
            </w:pPr>
            <w:r w:rsidRPr="007316B8">
              <w:rPr>
                <w:rFonts w:ascii="Times New Roman" w:eastAsia="Times New Roman" w:hAnsi="Times New Roman" w:cs="Times New Roman"/>
                <w:b/>
                <w:color w:val="222222"/>
                <w:sz w:val="20"/>
                <w:szCs w:val="20"/>
              </w:rPr>
              <w:t>Percentage</w:t>
            </w:r>
          </w:p>
        </w:tc>
      </w:tr>
      <w:tr w:rsidR="009B272A" w:rsidRPr="007316B8" w14:paraId="63B517D6" w14:textId="77777777" w:rsidTr="00307B7A">
        <w:trPr>
          <w:trHeight w:val="315"/>
        </w:trPr>
        <w:tc>
          <w:tcPr>
            <w:tcW w:w="1252" w:type="dxa"/>
            <w:tcBorders>
              <w:top w:val="single" w:sz="4" w:space="0" w:color="auto"/>
              <w:left w:val="nil"/>
              <w:bottom w:val="single" w:sz="4" w:space="0" w:color="D9D9D9" w:themeColor="background1" w:themeShade="D9"/>
              <w:right w:val="nil"/>
            </w:tcBorders>
            <w:shd w:val="clear" w:color="auto" w:fill="auto"/>
            <w:vAlign w:val="center"/>
            <w:hideMark/>
          </w:tcPr>
          <w:p w14:paraId="0A0B1A20"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Good</w:t>
            </w:r>
          </w:p>
        </w:tc>
        <w:tc>
          <w:tcPr>
            <w:tcW w:w="3518" w:type="dxa"/>
            <w:tcBorders>
              <w:top w:val="single" w:sz="4" w:space="0" w:color="auto"/>
              <w:left w:val="nil"/>
              <w:bottom w:val="single" w:sz="4" w:space="0" w:color="D9D9D9" w:themeColor="background1" w:themeShade="D9"/>
              <w:right w:val="nil"/>
            </w:tcBorders>
            <w:shd w:val="clear" w:color="auto" w:fill="auto"/>
            <w:vAlign w:val="center"/>
            <w:hideMark/>
          </w:tcPr>
          <w:p w14:paraId="66F5FF69"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All three elements Good</w:t>
            </w:r>
          </w:p>
        </w:tc>
        <w:tc>
          <w:tcPr>
            <w:tcW w:w="990" w:type="dxa"/>
            <w:tcBorders>
              <w:top w:val="single" w:sz="4" w:space="0" w:color="auto"/>
              <w:left w:val="nil"/>
              <w:bottom w:val="single" w:sz="4" w:space="0" w:color="D9D9D9" w:themeColor="background1" w:themeShade="D9"/>
              <w:right w:val="nil"/>
            </w:tcBorders>
            <w:shd w:val="clear" w:color="auto" w:fill="auto"/>
            <w:vAlign w:val="center"/>
            <w:hideMark/>
          </w:tcPr>
          <w:p w14:paraId="06544B6B"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127</w:t>
            </w:r>
          </w:p>
        </w:tc>
        <w:tc>
          <w:tcPr>
            <w:tcW w:w="1260" w:type="dxa"/>
            <w:tcBorders>
              <w:top w:val="single" w:sz="4" w:space="0" w:color="auto"/>
              <w:left w:val="nil"/>
              <w:bottom w:val="single" w:sz="4" w:space="0" w:color="D9D9D9" w:themeColor="background1" w:themeShade="D9"/>
              <w:right w:val="nil"/>
            </w:tcBorders>
            <w:shd w:val="clear" w:color="auto" w:fill="auto"/>
            <w:vAlign w:val="center"/>
            <w:hideMark/>
          </w:tcPr>
          <w:p w14:paraId="6ADE0D67"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42.76 ± 5.65</w:t>
            </w:r>
          </w:p>
        </w:tc>
      </w:tr>
      <w:tr w:rsidR="009B272A" w:rsidRPr="007316B8" w14:paraId="5E1FA087" w14:textId="77777777" w:rsidTr="00307B7A">
        <w:trPr>
          <w:trHeight w:val="315"/>
        </w:trPr>
        <w:tc>
          <w:tcPr>
            <w:tcW w:w="1252"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35604A7A"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Fair</w:t>
            </w:r>
          </w:p>
        </w:tc>
        <w:tc>
          <w:tcPr>
            <w:tcW w:w="3518"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A160D13"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No Poor, and at least one element Fair</w:t>
            </w:r>
          </w:p>
        </w:tc>
        <w:tc>
          <w:tcPr>
            <w:tcW w:w="99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B007B2D"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138</w:t>
            </w:r>
          </w:p>
        </w:tc>
        <w:tc>
          <w:tcPr>
            <w:tcW w:w="126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6C824F0D" w14:textId="77777777" w:rsidR="007316B8" w:rsidRPr="007316B8" w:rsidRDefault="007316B8" w:rsidP="007316B8">
            <w:pPr>
              <w:spacing w:after="0" w:line="240" w:lineRule="auto"/>
              <w:rPr>
                <w:rFonts w:ascii="Times New Roman" w:eastAsia="Times New Roman" w:hAnsi="Times New Roman" w:cs="Times New Roman"/>
                <w:color w:val="222222"/>
                <w:sz w:val="20"/>
                <w:szCs w:val="20"/>
              </w:rPr>
            </w:pPr>
            <w:r w:rsidRPr="007316B8">
              <w:rPr>
                <w:rFonts w:ascii="Times New Roman" w:eastAsia="Times New Roman" w:hAnsi="Times New Roman" w:cs="Times New Roman"/>
                <w:color w:val="222222"/>
                <w:sz w:val="20"/>
                <w:szCs w:val="20"/>
              </w:rPr>
              <w:t>46.46 ± 5.7</w:t>
            </w:r>
          </w:p>
        </w:tc>
      </w:tr>
      <w:tr w:rsidR="007316B8" w:rsidRPr="007316B8" w14:paraId="39038E4E" w14:textId="77777777" w:rsidTr="00307B7A">
        <w:trPr>
          <w:trHeight w:val="315"/>
        </w:trPr>
        <w:tc>
          <w:tcPr>
            <w:tcW w:w="1252" w:type="dxa"/>
            <w:tcBorders>
              <w:top w:val="single" w:sz="4" w:space="0" w:color="D9D9D9" w:themeColor="background1" w:themeShade="D9"/>
              <w:bottom w:val="single" w:sz="4" w:space="0" w:color="D9D9D9" w:themeColor="background1" w:themeShade="D9"/>
              <w:right w:val="nil"/>
            </w:tcBorders>
            <w:shd w:val="clear" w:color="auto" w:fill="auto"/>
            <w:vAlign w:val="center"/>
            <w:hideMark/>
          </w:tcPr>
          <w:p w14:paraId="7E5E5027"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Poor</w:t>
            </w:r>
          </w:p>
        </w:tc>
        <w:tc>
          <w:tcPr>
            <w:tcW w:w="3518"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0335E4B4"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One or two elements Poor or Very Poor</w:t>
            </w:r>
          </w:p>
        </w:tc>
        <w:tc>
          <w:tcPr>
            <w:tcW w:w="99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5937CAC"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32</w:t>
            </w:r>
          </w:p>
        </w:tc>
        <w:tc>
          <w:tcPr>
            <w:tcW w:w="126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6229D91"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10.77 ± 3.54</w:t>
            </w:r>
          </w:p>
        </w:tc>
      </w:tr>
      <w:tr w:rsidR="007316B8" w:rsidRPr="007316B8" w14:paraId="78058A11" w14:textId="77777777" w:rsidTr="00307B7A">
        <w:trPr>
          <w:trHeight w:val="315"/>
        </w:trPr>
        <w:tc>
          <w:tcPr>
            <w:tcW w:w="1252" w:type="dxa"/>
            <w:tcBorders>
              <w:top w:val="single" w:sz="4" w:space="0" w:color="D9D9D9" w:themeColor="background1" w:themeShade="D9"/>
              <w:bottom w:val="single" w:sz="4" w:space="0" w:color="auto"/>
              <w:right w:val="nil"/>
            </w:tcBorders>
            <w:shd w:val="clear" w:color="auto" w:fill="auto"/>
            <w:vAlign w:val="center"/>
            <w:hideMark/>
          </w:tcPr>
          <w:p w14:paraId="58771CE0"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Very Poor</w:t>
            </w:r>
          </w:p>
        </w:tc>
        <w:tc>
          <w:tcPr>
            <w:tcW w:w="3518" w:type="dxa"/>
            <w:tcBorders>
              <w:top w:val="single" w:sz="4" w:space="0" w:color="D9D9D9" w:themeColor="background1" w:themeShade="D9"/>
              <w:left w:val="nil"/>
              <w:bottom w:val="single" w:sz="4" w:space="0" w:color="auto"/>
              <w:right w:val="nil"/>
            </w:tcBorders>
            <w:shd w:val="clear" w:color="auto" w:fill="auto"/>
            <w:vAlign w:val="center"/>
            <w:hideMark/>
          </w:tcPr>
          <w:p w14:paraId="6C9BB5B5"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Two or more elements Very Poor</w:t>
            </w:r>
          </w:p>
        </w:tc>
        <w:tc>
          <w:tcPr>
            <w:tcW w:w="990" w:type="dxa"/>
            <w:tcBorders>
              <w:top w:val="single" w:sz="4" w:space="0" w:color="D9D9D9" w:themeColor="background1" w:themeShade="D9"/>
              <w:left w:val="nil"/>
              <w:bottom w:val="single" w:sz="4" w:space="0" w:color="auto"/>
              <w:right w:val="nil"/>
            </w:tcBorders>
            <w:shd w:val="clear" w:color="auto" w:fill="auto"/>
            <w:vAlign w:val="center"/>
            <w:hideMark/>
          </w:tcPr>
          <w:p w14:paraId="2C96D605"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0</w:t>
            </w:r>
          </w:p>
        </w:tc>
        <w:tc>
          <w:tcPr>
            <w:tcW w:w="1260" w:type="dxa"/>
            <w:tcBorders>
              <w:top w:val="single" w:sz="4" w:space="0" w:color="D9D9D9" w:themeColor="background1" w:themeShade="D9"/>
              <w:left w:val="nil"/>
              <w:bottom w:val="single" w:sz="4" w:space="0" w:color="auto"/>
              <w:right w:val="nil"/>
            </w:tcBorders>
            <w:shd w:val="clear" w:color="auto" w:fill="auto"/>
            <w:vAlign w:val="center"/>
            <w:hideMark/>
          </w:tcPr>
          <w:p w14:paraId="319D3BA2" w14:textId="77777777" w:rsidR="007316B8" w:rsidRPr="007316B8" w:rsidRDefault="007316B8" w:rsidP="007316B8">
            <w:pPr>
              <w:spacing w:after="0" w:line="240" w:lineRule="auto"/>
              <w:rPr>
                <w:rFonts w:ascii="Times New Roman" w:eastAsia="Times New Roman" w:hAnsi="Times New Roman" w:cs="Times New Roman"/>
                <w:sz w:val="20"/>
                <w:szCs w:val="20"/>
              </w:rPr>
            </w:pPr>
            <w:r w:rsidRPr="007316B8">
              <w:rPr>
                <w:rFonts w:ascii="Times New Roman" w:eastAsia="Times New Roman" w:hAnsi="Times New Roman" w:cs="Times New Roman"/>
                <w:sz w:val="20"/>
                <w:szCs w:val="20"/>
              </w:rPr>
              <w:t>0</w:t>
            </w:r>
          </w:p>
        </w:tc>
      </w:tr>
      <w:tr w:rsidR="009B272A" w:rsidRPr="007316B8" w14:paraId="78ACAE16" w14:textId="77777777" w:rsidTr="00307B7A">
        <w:trPr>
          <w:trHeight w:val="315"/>
        </w:trPr>
        <w:tc>
          <w:tcPr>
            <w:tcW w:w="1252" w:type="dxa"/>
            <w:tcBorders>
              <w:top w:val="single" w:sz="4" w:space="0" w:color="auto"/>
              <w:left w:val="nil"/>
              <w:bottom w:val="single" w:sz="12" w:space="0" w:color="111111"/>
              <w:right w:val="nil"/>
            </w:tcBorders>
            <w:shd w:val="clear" w:color="auto" w:fill="auto"/>
            <w:vAlign w:val="center"/>
            <w:hideMark/>
          </w:tcPr>
          <w:p w14:paraId="078EB4AD" w14:textId="77777777" w:rsidR="007316B8" w:rsidRPr="007316B8" w:rsidRDefault="007316B8" w:rsidP="007316B8">
            <w:pPr>
              <w:spacing w:after="0" w:line="240" w:lineRule="auto"/>
              <w:rPr>
                <w:rFonts w:ascii="Times New Roman" w:eastAsia="Times New Roman" w:hAnsi="Times New Roman" w:cs="Times New Roman"/>
                <w:b/>
                <w:bCs/>
                <w:color w:val="222222"/>
                <w:sz w:val="20"/>
                <w:szCs w:val="20"/>
              </w:rPr>
            </w:pPr>
            <w:r w:rsidRPr="007316B8">
              <w:rPr>
                <w:rFonts w:ascii="Times New Roman" w:eastAsia="Times New Roman" w:hAnsi="Times New Roman" w:cs="Times New Roman"/>
                <w:b/>
                <w:bCs/>
                <w:color w:val="222222"/>
                <w:sz w:val="20"/>
                <w:szCs w:val="20"/>
              </w:rPr>
              <w:t>Total</w:t>
            </w:r>
          </w:p>
        </w:tc>
        <w:tc>
          <w:tcPr>
            <w:tcW w:w="3518" w:type="dxa"/>
            <w:tcBorders>
              <w:top w:val="single" w:sz="4" w:space="0" w:color="auto"/>
              <w:left w:val="nil"/>
              <w:bottom w:val="single" w:sz="12" w:space="0" w:color="111111"/>
              <w:right w:val="nil"/>
            </w:tcBorders>
            <w:shd w:val="clear" w:color="auto" w:fill="auto"/>
            <w:vAlign w:val="center"/>
            <w:hideMark/>
          </w:tcPr>
          <w:p w14:paraId="08B60620" w14:textId="77777777" w:rsidR="007316B8" w:rsidRPr="007316B8" w:rsidRDefault="007316B8" w:rsidP="007316B8">
            <w:pPr>
              <w:spacing w:after="0" w:line="240" w:lineRule="auto"/>
              <w:rPr>
                <w:rFonts w:ascii="Times New Roman" w:eastAsia="Times New Roman" w:hAnsi="Times New Roman" w:cs="Times New Roman"/>
                <w:b/>
                <w:bCs/>
                <w:color w:val="222222"/>
                <w:sz w:val="20"/>
                <w:szCs w:val="20"/>
              </w:rPr>
            </w:pPr>
            <w:r w:rsidRPr="007316B8">
              <w:rPr>
                <w:rFonts w:ascii="Times New Roman" w:eastAsia="Times New Roman" w:hAnsi="Times New Roman" w:cs="Times New Roman"/>
                <w:b/>
                <w:bCs/>
                <w:color w:val="222222"/>
                <w:sz w:val="20"/>
                <w:szCs w:val="20"/>
              </w:rPr>
              <w:t> </w:t>
            </w:r>
          </w:p>
        </w:tc>
        <w:tc>
          <w:tcPr>
            <w:tcW w:w="990" w:type="dxa"/>
            <w:tcBorders>
              <w:top w:val="single" w:sz="4" w:space="0" w:color="auto"/>
              <w:left w:val="nil"/>
              <w:bottom w:val="single" w:sz="12" w:space="0" w:color="111111"/>
              <w:right w:val="nil"/>
            </w:tcBorders>
            <w:shd w:val="clear" w:color="auto" w:fill="auto"/>
            <w:vAlign w:val="center"/>
            <w:hideMark/>
          </w:tcPr>
          <w:p w14:paraId="4A15B2B8" w14:textId="77777777" w:rsidR="007316B8" w:rsidRPr="007316B8" w:rsidRDefault="007316B8" w:rsidP="007316B8">
            <w:pPr>
              <w:spacing w:after="0" w:line="240" w:lineRule="auto"/>
              <w:rPr>
                <w:rFonts w:ascii="Times New Roman" w:eastAsia="Times New Roman" w:hAnsi="Times New Roman" w:cs="Times New Roman"/>
                <w:b/>
                <w:bCs/>
                <w:color w:val="222222"/>
                <w:sz w:val="20"/>
                <w:szCs w:val="20"/>
              </w:rPr>
            </w:pPr>
            <w:r w:rsidRPr="007316B8">
              <w:rPr>
                <w:rFonts w:ascii="Times New Roman" w:eastAsia="Times New Roman" w:hAnsi="Times New Roman" w:cs="Times New Roman"/>
                <w:b/>
                <w:bCs/>
                <w:color w:val="222222"/>
                <w:sz w:val="20"/>
                <w:szCs w:val="20"/>
              </w:rPr>
              <w:t>297</w:t>
            </w:r>
          </w:p>
        </w:tc>
        <w:tc>
          <w:tcPr>
            <w:tcW w:w="1260" w:type="dxa"/>
            <w:tcBorders>
              <w:top w:val="single" w:sz="4" w:space="0" w:color="auto"/>
              <w:left w:val="nil"/>
              <w:bottom w:val="single" w:sz="12" w:space="0" w:color="111111"/>
              <w:right w:val="nil"/>
            </w:tcBorders>
            <w:shd w:val="clear" w:color="auto" w:fill="auto"/>
            <w:vAlign w:val="center"/>
            <w:hideMark/>
          </w:tcPr>
          <w:p w14:paraId="3D76266B" w14:textId="77777777" w:rsidR="007316B8" w:rsidRPr="007316B8" w:rsidRDefault="007316B8" w:rsidP="007316B8">
            <w:pPr>
              <w:spacing w:after="0" w:line="240" w:lineRule="auto"/>
              <w:rPr>
                <w:rFonts w:ascii="Times New Roman" w:eastAsia="Times New Roman" w:hAnsi="Times New Roman" w:cs="Times New Roman"/>
                <w:b/>
                <w:bCs/>
                <w:color w:val="222222"/>
                <w:sz w:val="20"/>
                <w:szCs w:val="20"/>
              </w:rPr>
            </w:pPr>
            <w:r w:rsidRPr="007316B8">
              <w:rPr>
                <w:rFonts w:ascii="Times New Roman" w:eastAsia="Times New Roman" w:hAnsi="Times New Roman" w:cs="Times New Roman"/>
                <w:b/>
                <w:bCs/>
                <w:color w:val="222222"/>
                <w:sz w:val="20"/>
                <w:szCs w:val="20"/>
              </w:rPr>
              <w:t> </w:t>
            </w:r>
          </w:p>
        </w:tc>
      </w:tr>
    </w:tbl>
    <w:p w14:paraId="2D5034E1" w14:textId="77777777" w:rsidR="007316B8" w:rsidRPr="00FE1DDB" w:rsidRDefault="007316B8" w:rsidP="00FE1DDB">
      <w:pPr>
        <w:spacing w:after="0" w:line="240" w:lineRule="auto"/>
        <w:rPr>
          <w:rFonts w:ascii="Times New Roman" w:hAnsi="Times New Roman" w:cs="Times New Roman"/>
          <w:sz w:val="24"/>
          <w:szCs w:val="24"/>
        </w:rPr>
      </w:pPr>
    </w:p>
    <w:p w14:paraId="306BB7FD" w14:textId="01DA3BE5" w:rsidR="005C44CC" w:rsidRPr="00FE1DDB" w:rsidRDefault="005C44CC" w:rsidP="00FE1DDB">
      <w:pPr>
        <w:spacing w:after="0" w:line="240" w:lineRule="auto"/>
        <w:rPr>
          <w:rFonts w:ascii="Times New Roman" w:hAnsi="Times New Roman" w:cs="Times New Roman"/>
          <w:sz w:val="24"/>
          <w:szCs w:val="24"/>
        </w:rPr>
      </w:pPr>
    </w:p>
    <w:p w14:paraId="1D08BD97" w14:textId="0196E8FA" w:rsidR="00136A24" w:rsidRPr="00FE1DDB" w:rsidRDefault="00136A24"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Sediment Toxicity (SedTox):</w:t>
      </w:r>
      <w:r w:rsidRPr="00FE1DDB">
        <w:rPr>
          <w:rFonts w:ascii="Times New Roman" w:hAnsi="Times New Roman" w:cs="Times New Roman"/>
          <w:sz w:val="24"/>
          <w:szCs w:val="24"/>
        </w:rPr>
        <w:t xml:space="preserve"> In addition to sediment chemistry, sediment toxicity is considered to be another important attribute of sediment quality. The acute toxicity of sediment was measured by performing 10-day, static acute toxicity tests with two species of amphipod crustaceans: </w:t>
      </w:r>
      <w:r w:rsidRPr="00FE1DDB">
        <w:rPr>
          <w:rFonts w:ascii="Times New Roman" w:hAnsi="Times New Roman" w:cs="Times New Roman"/>
          <w:i/>
          <w:sz w:val="24"/>
          <w:szCs w:val="24"/>
        </w:rPr>
        <w:t>Leptocheirus plumulosus</w:t>
      </w:r>
      <w:r w:rsidRPr="00FE1DDB">
        <w:rPr>
          <w:rFonts w:ascii="Times New Roman" w:hAnsi="Times New Roman" w:cs="Times New Roman"/>
          <w:sz w:val="24"/>
          <w:szCs w:val="24"/>
        </w:rPr>
        <w:t xml:space="preserve"> </w:t>
      </w:r>
      <w:r w:rsidR="00F73B84" w:rsidRPr="00FE1DDB">
        <w:rPr>
          <w:rFonts w:ascii="Times New Roman" w:hAnsi="Times New Roman" w:cs="Times New Roman"/>
          <w:sz w:val="24"/>
          <w:szCs w:val="24"/>
        </w:rPr>
        <w:t xml:space="preserve">tests </w:t>
      </w:r>
      <w:r w:rsidRPr="00FE1DDB">
        <w:rPr>
          <w:rFonts w:ascii="Times New Roman" w:hAnsi="Times New Roman" w:cs="Times New Roman"/>
          <w:sz w:val="24"/>
          <w:szCs w:val="24"/>
        </w:rPr>
        <w:t xml:space="preserve">in tidal </w:t>
      </w:r>
      <w:r w:rsidR="00F5282C" w:rsidRPr="00FE1DDB">
        <w:rPr>
          <w:rFonts w:ascii="Times New Roman" w:hAnsi="Times New Roman" w:cs="Times New Roman"/>
          <w:sz w:val="24"/>
          <w:szCs w:val="24"/>
        </w:rPr>
        <w:t>waters</w:t>
      </w:r>
      <w:r w:rsidRPr="00FE1DDB">
        <w:rPr>
          <w:rFonts w:ascii="Times New Roman" w:hAnsi="Times New Roman" w:cs="Times New Roman"/>
          <w:sz w:val="24"/>
          <w:szCs w:val="24"/>
        </w:rPr>
        <w:t xml:space="preserve"> </w:t>
      </w:r>
      <w:r w:rsidR="00F30795" w:rsidRPr="00FE1DDB">
        <w:rPr>
          <w:rFonts w:ascii="Times New Roman" w:hAnsi="Times New Roman" w:cs="Times New Roman"/>
          <w:sz w:val="24"/>
          <w:szCs w:val="24"/>
        </w:rPr>
        <w:t xml:space="preserve">were </w:t>
      </w:r>
      <w:r w:rsidR="005D12C4">
        <w:rPr>
          <w:rFonts w:ascii="Times New Roman" w:hAnsi="Times New Roman" w:cs="Times New Roman"/>
          <w:sz w:val="24"/>
          <w:szCs w:val="24"/>
        </w:rPr>
        <w:t xml:space="preserve">usually </w:t>
      </w:r>
      <w:r w:rsidR="00F30795" w:rsidRPr="00FE1DDB">
        <w:rPr>
          <w:rFonts w:ascii="Times New Roman" w:hAnsi="Times New Roman" w:cs="Times New Roman"/>
          <w:sz w:val="24"/>
          <w:szCs w:val="24"/>
        </w:rPr>
        <w:t>complemented</w:t>
      </w:r>
      <w:r w:rsidRPr="00FE1DDB">
        <w:rPr>
          <w:rFonts w:ascii="Times New Roman" w:hAnsi="Times New Roman" w:cs="Times New Roman"/>
          <w:sz w:val="24"/>
          <w:szCs w:val="24"/>
        </w:rPr>
        <w:t xml:space="preserve"> with </w:t>
      </w:r>
      <w:r w:rsidRPr="00FE1DDB">
        <w:rPr>
          <w:rFonts w:ascii="Times New Roman" w:hAnsi="Times New Roman" w:cs="Times New Roman"/>
          <w:i/>
          <w:sz w:val="24"/>
          <w:szCs w:val="24"/>
        </w:rPr>
        <w:t>Hyalella azteca</w:t>
      </w:r>
      <w:r w:rsidRPr="00FE1DDB">
        <w:rPr>
          <w:rFonts w:ascii="Times New Roman" w:hAnsi="Times New Roman" w:cs="Times New Roman"/>
          <w:sz w:val="24"/>
          <w:szCs w:val="24"/>
        </w:rPr>
        <w:t xml:space="preserve"> </w:t>
      </w:r>
      <w:r w:rsidR="00F73B84" w:rsidRPr="00FE1DDB">
        <w:rPr>
          <w:rFonts w:ascii="Times New Roman" w:hAnsi="Times New Roman" w:cs="Times New Roman"/>
          <w:sz w:val="24"/>
          <w:szCs w:val="24"/>
        </w:rPr>
        <w:t xml:space="preserve">tests </w:t>
      </w:r>
      <w:r w:rsidRPr="00FE1DDB">
        <w:rPr>
          <w:rFonts w:ascii="Times New Roman" w:hAnsi="Times New Roman" w:cs="Times New Roman"/>
          <w:sz w:val="24"/>
          <w:szCs w:val="24"/>
        </w:rPr>
        <w:t xml:space="preserve">in tidal freshwaters. The utilization of complementary </w:t>
      </w:r>
      <w:r w:rsidRPr="00FE1DDB">
        <w:rPr>
          <w:rFonts w:ascii="Times New Roman" w:hAnsi="Times New Roman" w:cs="Times New Roman"/>
          <w:i/>
          <w:sz w:val="24"/>
          <w:szCs w:val="24"/>
        </w:rPr>
        <w:t>Hyalella</w:t>
      </w:r>
      <w:r w:rsidRPr="00FE1DDB">
        <w:rPr>
          <w:rFonts w:ascii="Times New Roman" w:hAnsi="Times New Roman" w:cs="Times New Roman"/>
          <w:sz w:val="24"/>
          <w:szCs w:val="24"/>
        </w:rPr>
        <w:t xml:space="preserve"> tests was initiated in 2013, after significant blooms of Iron-fixing bacteria were observed on freshwater sediment following normalization of overlying water to 20.0‰ for standardized </w:t>
      </w:r>
      <w:r w:rsidRPr="00FE1DDB">
        <w:rPr>
          <w:rFonts w:ascii="Times New Roman" w:hAnsi="Times New Roman" w:cs="Times New Roman"/>
          <w:i/>
          <w:sz w:val="24"/>
          <w:szCs w:val="24"/>
        </w:rPr>
        <w:t>Leptocheirus</w:t>
      </w:r>
      <w:r w:rsidRPr="00FE1DDB">
        <w:rPr>
          <w:rFonts w:ascii="Times New Roman" w:hAnsi="Times New Roman" w:cs="Times New Roman"/>
          <w:sz w:val="24"/>
          <w:szCs w:val="24"/>
        </w:rPr>
        <w:t xml:space="preserve"> saltwater toxicity tests. The bacterial blooms caused a precipitous drop in pH and elevated ammonia concentrations in the test chambers, and induced a significant mortality of test organisms that was not a direct result of sediment contamination by toxics. The complementary freshwater tests </w:t>
      </w:r>
      <w:r w:rsidR="00F5282C" w:rsidRPr="00FE1DDB">
        <w:rPr>
          <w:rFonts w:ascii="Times New Roman" w:hAnsi="Times New Roman" w:cs="Times New Roman"/>
          <w:sz w:val="24"/>
          <w:szCs w:val="24"/>
        </w:rPr>
        <w:t xml:space="preserve">of sediment from the same site </w:t>
      </w:r>
      <w:r w:rsidRPr="00FE1DDB">
        <w:rPr>
          <w:rFonts w:ascii="Times New Roman" w:hAnsi="Times New Roman" w:cs="Times New Roman"/>
          <w:sz w:val="24"/>
          <w:szCs w:val="24"/>
        </w:rPr>
        <w:t xml:space="preserve">with </w:t>
      </w:r>
      <w:r w:rsidRPr="00FE1DDB">
        <w:rPr>
          <w:rFonts w:ascii="Times New Roman" w:hAnsi="Times New Roman" w:cs="Times New Roman"/>
          <w:i/>
          <w:sz w:val="24"/>
          <w:szCs w:val="24"/>
        </w:rPr>
        <w:t>Hyalella</w:t>
      </w:r>
      <w:r w:rsidRPr="00FE1DDB">
        <w:rPr>
          <w:rFonts w:ascii="Times New Roman" w:hAnsi="Times New Roman" w:cs="Times New Roman"/>
          <w:sz w:val="24"/>
          <w:szCs w:val="24"/>
        </w:rPr>
        <w:t xml:space="preserve"> seldom </w:t>
      </w:r>
      <w:r w:rsidR="00C31ACF" w:rsidRPr="00FE1DDB">
        <w:rPr>
          <w:rFonts w:ascii="Times New Roman" w:hAnsi="Times New Roman" w:cs="Times New Roman"/>
          <w:sz w:val="24"/>
          <w:szCs w:val="24"/>
        </w:rPr>
        <w:t>resulted in such high mortality.</w:t>
      </w:r>
      <w:r w:rsidR="005D12C4" w:rsidRPr="005D12C4">
        <w:rPr>
          <w:rFonts w:ascii="Times New Roman" w:hAnsi="Times New Roman" w:cs="Times New Roman"/>
          <w:sz w:val="24"/>
          <w:szCs w:val="24"/>
        </w:rPr>
        <w:t xml:space="preserve"> </w:t>
      </w:r>
      <w:r w:rsidR="005D12C4">
        <w:rPr>
          <w:rFonts w:ascii="Times New Roman" w:hAnsi="Times New Roman" w:cs="Times New Roman"/>
          <w:sz w:val="24"/>
          <w:szCs w:val="24"/>
        </w:rPr>
        <w:t xml:space="preserve">If multiple tests were conducted, </w:t>
      </w:r>
      <w:r w:rsidR="005D12C4" w:rsidRPr="00FE1DDB">
        <w:rPr>
          <w:rFonts w:ascii="Times New Roman" w:hAnsi="Times New Roman" w:cs="Times New Roman"/>
          <w:sz w:val="24"/>
          <w:szCs w:val="24"/>
        </w:rPr>
        <w:t>results from</w:t>
      </w:r>
      <w:r w:rsidR="005D12C4">
        <w:rPr>
          <w:rFonts w:ascii="Times New Roman" w:hAnsi="Times New Roman" w:cs="Times New Roman"/>
          <w:sz w:val="24"/>
          <w:szCs w:val="24"/>
        </w:rPr>
        <w:t xml:space="preserve"> both</w:t>
      </w:r>
      <w:r w:rsidR="005D12C4" w:rsidRPr="00FE1DDB">
        <w:rPr>
          <w:rFonts w:ascii="Times New Roman" w:hAnsi="Times New Roman" w:cs="Times New Roman"/>
          <w:sz w:val="24"/>
          <w:szCs w:val="24"/>
        </w:rPr>
        <w:t xml:space="preserve"> </w:t>
      </w:r>
      <w:r w:rsidR="005D12C4" w:rsidRPr="00FE1DDB">
        <w:rPr>
          <w:rFonts w:ascii="Times New Roman" w:hAnsi="Times New Roman" w:cs="Times New Roman"/>
          <w:i/>
          <w:sz w:val="24"/>
          <w:szCs w:val="24"/>
        </w:rPr>
        <w:t>Leptocheirus</w:t>
      </w:r>
      <w:r w:rsidR="005D12C4" w:rsidRPr="00FE1DDB">
        <w:rPr>
          <w:rFonts w:ascii="Times New Roman" w:hAnsi="Times New Roman" w:cs="Times New Roman"/>
          <w:sz w:val="24"/>
          <w:szCs w:val="24"/>
        </w:rPr>
        <w:t xml:space="preserve"> and </w:t>
      </w:r>
      <w:r w:rsidR="005D12C4" w:rsidRPr="00FE1DDB">
        <w:rPr>
          <w:rFonts w:ascii="Times New Roman" w:hAnsi="Times New Roman" w:cs="Times New Roman"/>
          <w:i/>
          <w:sz w:val="24"/>
          <w:szCs w:val="24"/>
        </w:rPr>
        <w:t>Hyalella</w:t>
      </w:r>
      <w:r w:rsidR="005D12C4" w:rsidRPr="00FE1DDB">
        <w:rPr>
          <w:rFonts w:ascii="Times New Roman" w:hAnsi="Times New Roman" w:cs="Times New Roman"/>
          <w:sz w:val="24"/>
          <w:szCs w:val="24"/>
        </w:rPr>
        <w:t xml:space="preserve"> tests were integrated into a single classification per site.</w:t>
      </w:r>
    </w:p>
    <w:p w14:paraId="735E13E2" w14:textId="77777777" w:rsidR="00136A24" w:rsidRPr="00FE1DDB" w:rsidRDefault="00136A24" w:rsidP="00FE1DDB">
      <w:pPr>
        <w:spacing w:after="0" w:line="240" w:lineRule="auto"/>
        <w:rPr>
          <w:rFonts w:ascii="Times New Roman" w:hAnsi="Times New Roman" w:cs="Times New Roman"/>
          <w:b/>
          <w:sz w:val="24"/>
          <w:szCs w:val="24"/>
        </w:rPr>
      </w:pPr>
    </w:p>
    <w:p w14:paraId="54E4506F" w14:textId="6C45CF52" w:rsidR="005D12C4" w:rsidRDefault="00C30D32" w:rsidP="005D12C4">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Table </w:t>
      </w:r>
      <w:r w:rsidR="005238B2"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Pr>
          <w:rFonts w:ascii="Times New Roman" w:hAnsi="Times New Roman" w:cs="Times New Roman"/>
          <w:sz w:val="24"/>
          <w:szCs w:val="24"/>
        </w:rPr>
        <w:t>19</w:t>
      </w:r>
      <w:r w:rsidRPr="00FE1DDB">
        <w:rPr>
          <w:rFonts w:ascii="Times New Roman" w:hAnsi="Times New Roman" w:cs="Times New Roman"/>
          <w:sz w:val="24"/>
          <w:szCs w:val="24"/>
        </w:rPr>
        <w:t xml:space="preserve"> summarizes the characterization estuarine sites </w:t>
      </w:r>
      <w:r w:rsidR="005D12C4">
        <w:rPr>
          <w:rFonts w:ascii="Times New Roman" w:hAnsi="Times New Roman" w:cs="Times New Roman"/>
          <w:sz w:val="24"/>
          <w:szCs w:val="24"/>
        </w:rPr>
        <w:t xml:space="preserve">where sediment was collected (N=297) </w:t>
      </w:r>
      <w:r w:rsidRPr="00FE1DDB">
        <w:rPr>
          <w:rFonts w:ascii="Times New Roman" w:hAnsi="Times New Roman" w:cs="Times New Roman"/>
          <w:sz w:val="24"/>
          <w:szCs w:val="24"/>
        </w:rPr>
        <w:t xml:space="preserve">based upon the results of </w:t>
      </w:r>
      <w:r w:rsidR="00C6759B" w:rsidRPr="00FE1DDB">
        <w:rPr>
          <w:rFonts w:ascii="Times New Roman" w:hAnsi="Times New Roman" w:cs="Times New Roman"/>
          <w:sz w:val="24"/>
          <w:szCs w:val="24"/>
        </w:rPr>
        <w:t>ten</w:t>
      </w:r>
      <w:r w:rsidR="00F32E75" w:rsidRPr="00FE1DDB">
        <w:rPr>
          <w:rFonts w:ascii="Times New Roman" w:hAnsi="Times New Roman" w:cs="Times New Roman"/>
          <w:sz w:val="24"/>
          <w:szCs w:val="24"/>
        </w:rPr>
        <w:t>-</w:t>
      </w:r>
      <w:r w:rsidR="00C6759B" w:rsidRPr="00FE1DDB">
        <w:rPr>
          <w:rFonts w:ascii="Times New Roman" w:hAnsi="Times New Roman" w:cs="Times New Roman"/>
          <w:sz w:val="24"/>
          <w:szCs w:val="24"/>
        </w:rPr>
        <w:t xml:space="preserve">day, static acute sediment </w:t>
      </w:r>
      <w:r w:rsidRPr="00FE1DDB">
        <w:rPr>
          <w:rFonts w:ascii="Times New Roman" w:hAnsi="Times New Roman" w:cs="Times New Roman"/>
          <w:sz w:val="24"/>
          <w:szCs w:val="24"/>
        </w:rPr>
        <w:t>toxicity tests</w:t>
      </w:r>
      <w:r w:rsidR="00C6759B" w:rsidRPr="00FE1DDB">
        <w:rPr>
          <w:rFonts w:ascii="Times New Roman" w:hAnsi="Times New Roman" w:cs="Times New Roman"/>
          <w:sz w:val="24"/>
          <w:szCs w:val="24"/>
        </w:rPr>
        <w:t xml:space="preserve">. </w:t>
      </w:r>
      <w:r w:rsidR="007B38E7" w:rsidRPr="00FE1DDB">
        <w:rPr>
          <w:rFonts w:ascii="Times New Roman" w:hAnsi="Times New Roman" w:cs="Times New Roman"/>
          <w:sz w:val="24"/>
          <w:szCs w:val="24"/>
        </w:rPr>
        <w:t>Toxicity test endpoints were mortality of test organisms, expressed as percent control-corrected</w:t>
      </w:r>
      <w:r w:rsidR="005D12C4">
        <w:rPr>
          <w:rFonts w:ascii="Times New Roman" w:hAnsi="Times New Roman" w:cs="Times New Roman"/>
          <w:sz w:val="24"/>
          <w:szCs w:val="24"/>
        </w:rPr>
        <w:t xml:space="preserve"> survival</w:t>
      </w:r>
      <w:r w:rsidR="00A5235E" w:rsidRPr="00FE1DDB">
        <w:rPr>
          <w:rFonts w:ascii="Times New Roman" w:hAnsi="Times New Roman" w:cs="Times New Roman"/>
          <w:sz w:val="24"/>
          <w:szCs w:val="24"/>
        </w:rPr>
        <w:t xml:space="preserve">. Statistically significant difference from controls was tested at α = 0.05 level; ecological effect was considered significant if </w:t>
      </w:r>
      <w:r w:rsidR="005D12C4">
        <w:rPr>
          <w:rFonts w:ascii="Times New Roman" w:hAnsi="Times New Roman" w:cs="Times New Roman"/>
          <w:sz w:val="24"/>
          <w:szCs w:val="24"/>
        </w:rPr>
        <w:t>control-corrected survival</w:t>
      </w:r>
      <w:r w:rsidR="002D26C7" w:rsidRPr="00FE1DDB">
        <w:rPr>
          <w:rFonts w:ascii="Times New Roman" w:hAnsi="Times New Roman" w:cs="Times New Roman"/>
          <w:sz w:val="24"/>
          <w:szCs w:val="24"/>
        </w:rPr>
        <w:t xml:space="preserve"> was less than 80.0 percent</w:t>
      </w:r>
      <w:r w:rsidR="00A5235E" w:rsidRPr="00FE1DDB">
        <w:rPr>
          <w:rFonts w:ascii="Times New Roman" w:hAnsi="Times New Roman" w:cs="Times New Roman"/>
          <w:sz w:val="24"/>
          <w:szCs w:val="24"/>
        </w:rPr>
        <w:t xml:space="preserve">. </w:t>
      </w:r>
      <w:r w:rsidR="005D12C4">
        <w:rPr>
          <w:rFonts w:ascii="Times New Roman" w:hAnsi="Times New Roman" w:cs="Times New Roman"/>
          <w:sz w:val="24"/>
          <w:szCs w:val="24"/>
        </w:rPr>
        <w:t xml:space="preserve">In some </w:t>
      </w:r>
      <w:r w:rsidR="006374B0" w:rsidRPr="00FE1DDB">
        <w:rPr>
          <w:rFonts w:ascii="Times New Roman" w:hAnsi="Times New Roman" w:cs="Times New Roman"/>
          <w:sz w:val="24"/>
          <w:szCs w:val="24"/>
        </w:rPr>
        <w:t xml:space="preserve">cases, significant amphipod mortality </w:t>
      </w:r>
      <w:r w:rsidR="005D12C4">
        <w:rPr>
          <w:rFonts w:ascii="Times New Roman" w:hAnsi="Times New Roman" w:cs="Times New Roman"/>
          <w:sz w:val="24"/>
          <w:szCs w:val="24"/>
        </w:rPr>
        <w:t xml:space="preserve">may </w:t>
      </w:r>
      <w:r w:rsidR="006374B0" w:rsidRPr="00FE1DDB">
        <w:rPr>
          <w:rFonts w:ascii="Times New Roman" w:hAnsi="Times New Roman" w:cs="Times New Roman"/>
          <w:sz w:val="24"/>
          <w:szCs w:val="24"/>
        </w:rPr>
        <w:t xml:space="preserve">not be attributed directly to chemical contamination of the sediment. </w:t>
      </w:r>
      <w:r w:rsidR="005D12C4">
        <w:rPr>
          <w:rFonts w:ascii="Times New Roman" w:hAnsi="Times New Roman" w:cs="Times New Roman"/>
          <w:sz w:val="24"/>
          <w:szCs w:val="24"/>
        </w:rPr>
        <w:t>P</w:t>
      </w:r>
      <w:r w:rsidR="006374B0" w:rsidRPr="00FE1DDB">
        <w:rPr>
          <w:rFonts w:ascii="Times New Roman" w:hAnsi="Times New Roman" w:cs="Times New Roman"/>
          <w:sz w:val="24"/>
          <w:szCs w:val="24"/>
        </w:rPr>
        <w:t>article size distribution</w:t>
      </w:r>
      <w:r w:rsidR="00C821C1" w:rsidRPr="00FE1DDB">
        <w:rPr>
          <w:rFonts w:ascii="Times New Roman" w:hAnsi="Times New Roman" w:cs="Times New Roman"/>
          <w:sz w:val="24"/>
          <w:szCs w:val="24"/>
        </w:rPr>
        <w:t>s</w:t>
      </w:r>
      <w:r w:rsidR="006374B0" w:rsidRPr="00FE1DDB">
        <w:rPr>
          <w:rFonts w:ascii="Times New Roman" w:hAnsi="Times New Roman" w:cs="Times New Roman"/>
          <w:sz w:val="24"/>
          <w:szCs w:val="24"/>
        </w:rPr>
        <w:t xml:space="preserve"> within the sediment (</w:t>
      </w:r>
      <w:r w:rsidR="002D26C7" w:rsidRPr="00FE1DDB">
        <w:rPr>
          <w:rFonts w:ascii="Times New Roman" w:hAnsi="Times New Roman" w:cs="Times New Roman"/>
          <w:sz w:val="24"/>
          <w:szCs w:val="24"/>
        </w:rPr>
        <w:t>&gt; 95.0 percent</w:t>
      </w:r>
      <w:r w:rsidR="00C821C1" w:rsidRPr="00FE1DDB">
        <w:rPr>
          <w:rFonts w:ascii="Times New Roman" w:hAnsi="Times New Roman" w:cs="Times New Roman"/>
          <w:sz w:val="24"/>
          <w:szCs w:val="24"/>
        </w:rPr>
        <w:t xml:space="preserve"> sand) were a probable cause for observed mortality.</w:t>
      </w:r>
      <w:r w:rsidR="00BB39B6" w:rsidRPr="00FE1DDB">
        <w:rPr>
          <w:rFonts w:ascii="Times New Roman" w:hAnsi="Times New Roman" w:cs="Times New Roman"/>
          <w:sz w:val="24"/>
          <w:szCs w:val="24"/>
        </w:rPr>
        <w:t xml:space="preserve"> These circumstances were discussed and evaluated during weight-of-evidence assessments.</w:t>
      </w:r>
      <w:r w:rsidR="005D12C4" w:rsidRPr="005D12C4">
        <w:rPr>
          <w:rFonts w:ascii="Times New Roman" w:hAnsi="Times New Roman" w:cs="Times New Roman"/>
          <w:sz w:val="24"/>
          <w:szCs w:val="24"/>
        </w:rPr>
        <w:t xml:space="preserve"> </w:t>
      </w:r>
      <w:r w:rsidR="005D12C4" w:rsidRPr="00FE1DDB">
        <w:rPr>
          <w:rFonts w:ascii="Times New Roman" w:hAnsi="Times New Roman" w:cs="Times New Roman"/>
          <w:sz w:val="24"/>
          <w:szCs w:val="24"/>
        </w:rPr>
        <w:t>Virginia’s estuarine waters earn an overall characterization of “Good” for sediment toxicity, because fewer than 10 percent of the sites were rates as “Poor” and more than 50 percent of the sites were rated as “Good”</w:t>
      </w:r>
      <w:r w:rsidR="00843AC2">
        <w:rPr>
          <w:rFonts w:ascii="Times New Roman" w:hAnsi="Times New Roman" w:cs="Times New Roman"/>
          <w:sz w:val="24"/>
          <w:szCs w:val="24"/>
        </w:rPr>
        <w:t xml:space="preserve"> Table 4.5-</w:t>
      </w:r>
      <w:r w:rsidR="008B0194">
        <w:rPr>
          <w:rFonts w:ascii="Times New Roman" w:hAnsi="Times New Roman" w:cs="Times New Roman"/>
          <w:sz w:val="24"/>
          <w:szCs w:val="24"/>
        </w:rPr>
        <w:t>19</w:t>
      </w:r>
      <w:r w:rsidR="005D12C4" w:rsidRPr="00FE1DDB">
        <w:rPr>
          <w:rFonts w:ascii="Times New Roman" w:hAnsi="Times New Roman" w:cs="Times New Roman"/>
          <w:sz w:val="24"/>
          <w:szCs w:val="24"/>
        </w:rPr>
        <w:t>.</w:t>
      </w:r>
    </w:p>
    <w:p w14:paraId="2735877A" w14:textId="47ECE4B8" w:rsidR="00843AC2" w:rsidRDefault="00843AC2" w:rsidP="005D12C4">
      <w:pPr>
        <w:spacing w:after="0" w:line="240" w:lineRule="auto"/>
        <w:rPr>
          <w:rFonts w:ascii="Times New Roman" w:hAnsi="Times New Roman" w:cs="Times New Roman"/>
          <w:sz w:val="24"/>
          <w:szCs w:val="24"/>
        </w:rPr>
      </w:pPr>
    </w:p>
    <w:p w14:paraId="08830FDE" w14:textId="58B3A753" w:rsidR="005D12C4" w:rsidRDefault="005D12C4" w:rsidP="005D12C4">
      <w:pPr>
        <w:pStyle w:val="Caption"/>
        <w:keepNext/>
        <w:spacing w:after="0"/>
        <w:rPr>
          <w:rFonts w:ascii="Times New Roman" w:hAnsi="Times New Roman" w:cs="Times New Roman"/>
          <w:i w:val="0"/>
          <w:iCs w:val="0"/>
          <w:color w:val="auto"/>
          <w:sz w:val="24"/>
          <w:szCs w:val="24"/>
        </w:rPr>
      </w:pPr>
    </w:p>
    <w:p w14:paraId="7F26F942" w14:textId="77777777" w:rsidR="00401E63" w:rsidRPr="00401E63" w:rsidRDefault="00401E63" w:rsidP="00401E63"/>
    <w:p w14:paraId="49B015A5" w14:textId="28D34D57" w:rsidR="005D12C4" w:rsidRPr="005D12C4" w:rsidRDefault="005D12C4" w:rsidP="00867F1E">
      <w:pPr>
        <w:pStyle w:val="Caption"/>
        <w:keepNext/>
        <w:spacing w:after="0"/>
        <w:rPr>
          <w:rFonts w:ascii="Times New Roman" w:hAnsi="Times New Roman" w:cs="Times New Roman"/>
          <w:i w:val="0"/>
          <w:color w:val="000000" w:themeColor="text1"/>
          <w:sz w:val="20"/>
        </w:rPr>
      </w:pPr>
      <w:r w:rsidRPr="005D12C4">
        <w:rPr>
          <w:rFonts w:ascii="Times New Roman" w:hAnsi="Times New Roman" w:cs="Times New Roman"/>
          <w:i w:val="0"/>
          <w:color w:val="000000" w:themeColor="text1"/>
          <w:sz w:val="20"/>
        </w:rPr>
        <w:lastRenderedPageBreak/>
        <w:t xml:space="preserve">Table 4.5- </w:t>
      </w:r>
      <w:r w:rsidR="008B0194">
        <w:rPr>
          <w:rFonts w:ascii="Times New Roman" w:hAnsi="Times New Roman" w:cs="Times New Roman"/>
          <w:i w:val="0"/>
          <w:color w:val="000000" w:themeColor="text1"/>
          <w:sz w:val="20"/>
        </w:rPr>
        <w:t>19</w:t>
      </w:r>
      <w:r w:rsidRPr="005D12C4">
        <w:rPr>
          <w:rFonts w:ascii="Times New Roman" w:hAnsi="Times New Roman" w:cs="Times New Roman"/>
          <w:i w:val="0"/>
          <w:color w:val="000000" w:themeColor="text1"/>
          <w:sz w:val="20"/>
        </w:rPr>
        <w:t xml:space="preserve"> Sediment toxicity test</w:t>
      </w:r>
      <w:r>
        <w:rPr>
          <w:rFonts w:ascii="Times New Roman" w:hAnsi="Times New Roman" w:cs="Times New Roman"/>
          <w:i w:val="0"/>
          <w:color w:val="000000" w:themeColor="text1"/>
          <w:sz w:val="20"/>
        </w:rPr>
        <w:t>ing</w:t>
      </w:r>
      <w:r w:rsidRPr="005D12C4">
        <w:rPr>
          <w:rFonts w:ascii="Times New Roman" w:hAnsi="Times New Roman" w:cs="Times New Roman"/>
          <w:i w:val="0"/>
          <w:color w:val="000000" w:themeColor="text1"/>
          <w:sz w:val="20"/>
        </w:rPr>
        <w:t xml:space="preserve"> scores and threshold ranges following NCCA 2015 benchmarks</w:t>
      </w:r>
    </w:p>
    <w:tbl>
      <w:tblPr>
        <w:tblW w:w="8460" w:type="dxa"/>
        <w:tblLook w:val="04A0" w:firstRow="1" w:lastRow="0" w:firstColumn="1" w:lastColumn="0" w:noHBand="0" w:noVBand="1"/>
        <w:tblCaption w:val="Table 4.5- 18 Sediment toxicity testing scores and threshold ranges following NCCA 2015 benchmarks"/>
        <w:tblDescription w:val="Table 4.5- 18 Sediment toxicity testing scores and threshold ranges following NCCA 2015 benchmarks"/>
      </w:tblPr>
      <w:tblGrid>
        <w:gridCol w:w="1530"/>
        <w:gridCol w:w="4590"/>
        <w:gridCol w:w="180"/>
        <w:gridCol w:w="909"/>
        <w:gridCol w:w="1251"/>
      </w:tblGrid>
      <w:tr w:rsidR="005D12C4" w:rsidRPr="005D12C4" w14:paraId="377DBA3F" w14:textId="77777777" w:rsidTr="00867F1E">
        <w:trPr>
          <w:trHeight w:val="420"/>
        </w:trPr>
        <w:tc>
          <w:tcPr>
            <w:tcW w:w="1530" w:type="dxa"/>
            <w:tcBorders>
              <w:top w:val="nil"/>
              <w:left w:val="nil"/>
              <w:bottom w:val="single" w:sz="8" w:space="0" w:color="111111"/>
              <w:right w:val="nil"/>
            </w:tcBorders>
            <w:shd w:val="clear" w:color="auto" w:fill="auto"/>
            <w:vAlign w:val="bottom"/>
            <w:hideMark/>
          </w:tcPr>
          <w:p w14:paraId="62E6BD98" w14:textId="77777777" w:rsidR="005D12C4" w:rsidRPr="005D12C4" w:rsidRDefault="005D12C4" w:rsidP="005D12C4">
            <w:pPr>
              <w:spacing w:after="0" w:line="240" w:lineRule="auto"/>
              <w:rPr>
                <w:rFonts w:ascii="Times New Roman" w:eastAsia="Times New Roman" w:hAnsi="Times New Roman" w:cs="Times New Roman"/>
                <w:b/>
                <w:color w:val="222222"/>
                <w:sz w:val="20"/>
                <w:szCs w:val="18"/>
              </w:rPr>
            </w:pPr>
            <w:r w:rsidRPr="005D12C4">
              <w:rPr>
                <w:rFonts w:ascii="Times New Roman" w:eastAsia="Times New Roman" w:hAnsi="Times New Roman" w:cs="Times New Roman"/>
                <w:b/>
                <w:color w:val="222222"/>
                <w:sz w:val="20"/>
                <w:szCs w:val="18"/>
              </w:rPr>
              <w:t>Toxicity Score</w:t>
            </w:r>
          </w:p>
        </w:tc>
        <w:tc>
          <w:tcPr>
            <w:tcW w:w="4590" w:type="dxa"/>
            <w:tcBorders>
              <w:top w:val="nil"/>
              <w:left w:val="nil"/>
              <w:bottom w:val="single" w:sz="8" w:space="0" w:color="111111"/>
              <w:right w:val="nil"/>
            </w:tcBorders>
            <w:shd w:val="clear" w:color="auto" w:fill="auto"/>
            <w:vAlign w:val="bottom"/>
            <w:hideMark/>
          </w:tcPr>
          <w:p w14:paraId="4904693A" w14:textId="77777777" w:rsidR="005D12C4" w:rsidRPr="005D12C4" w:rsidRDefault="005D12C4" w:rsidP="005D12C4">
            <w:pPr>
              <w:spacing w:after="0" w:line="240" w:lineRule="auto"/>
              <w:rPr>
                <w:rFonts w:ascii="Times New Roman" w:eastAsia="Times New Roman" w:hAnsi="Times New Roman" w:cs="Times New Roman"/>
                <w:b/>
                <w:color w:val="222222"/>
                <w:sz w:val="20"/>
                <w:szCs w:val="18"/>
              </w:rPr>
            </w:pPr>
            <w:r w:rsidRPr="005D12C4">
              <w:rPr>
                <w:rFonts w:ascii="Times New Roman" w:eastAsia="Times New Roman" w:hAnsi="Times New Roman" w:cs="Times New Roman"/>
                <w:b/>
                <w:color w:val="222222"/>
                <w:sz w:val="20"/>
                <w:szCs w:val="18"/>
              </w:rPr>
              <w:t>Toxicity Range</w:t>
            </w:r>
          </w:p>
        </w:tc>
        <w:tc>
          <w:tcPr>
            <w:tcW w:w="1089" w:type="dxa"/>
            <w:gridSpan w:val="2"/>
            <w:tcBorders>
              <w:top w:val="nil"/>
              <w:left w:val="nil"/>
              <w:bottom w:val="single" w:sz="8" w:space="0" w:color="111111"/>
              <w:right w:val="nil"/>
            </w:tcBorders>
            <w:shd w:val="clear" w:color="auto" w:fill="auto"/>
            <w:vAlign w:val="bottom"/>
            <w:hideMark/>
          </w:tcPr>
          <w:p w14:paraId="4945BD52" w14:textId="77777777" w:rsidR="005D12C4" w:rsidRPr="005D12C4" w:rsidRDefault="005D12C4" w:rsidP="005D12C4">
            <w:pPr>
              <w:spacing w:after="0" w:line="240" w:lineRule="auto"/>
              <w:rPr>
                <w:rFonts w:ascii="Times New Roman" w:eastAsia="Times New Roman" w:hAnsi="Times New Roman" w:cs="Times New Roman"/>
                <w:b/>
                <w:color w:val="222222"/>
                <w:sz w:val="20"/>
                <w:szCs w:val="18"/>
              </w:rPr>
            </w:pPr>
            <w:r w:rsidRPr="005D12C4">
              <w:rPr>
                <w:rFonts w:ascii="Times New Roman" w:eastAsia="Times New Roman" w:hAnsi="Times New Roman" w:cs="Times New Roman"/>
                <w:b/>
                <w:color w:val="222222"/>
                <w:sz w:val="20"/>
                <w:szCs w:val="18"/>
              </w:rPr>
              <w:t>Stations</w:t>
            </w:r>
          </w:p>
        </w:tc>
        <w:tc>
          <w:tcPr>
            <w:tcW w:w="1251" w:type="dxa"/>
            <w:tcBorders>
              <w:top w:val="nil"/>
              <w:left w:val="nil"/>
              <w:bottom w:val="single" w:sz="8" w:space="0" w:color="111111"/>
              <w:right w:val="nil"/>
            </w:tcBorders>
            <w:shd w:val="clear" w:color="auto" w:fill="auto"/>
            <w:vAlign w:val="bottom"/>
            <w:hideMark/>
          </w:tcPr>
          <w:p w14:paraId="137CD82C" w14:textId="77777777" w:rsidR="005D12C4" w:rsidRPr="005D12C4" w:rsidRDefault="005D12C4" w:rsidP="005D12C4">
            <w:pPr>
              <w:spacing w:after="0" w:line="240" w:lineRule="auto"/>
              <w:rPr>
                <w:rFonts w:ascii="Times New Roman" w:eastAsia="Times New Roman" w:hAnsi="Times New Roman" w:cs="Times New Roman"/>
                <w:b/>
                <w:color w:val="222222"/>
                <w:sz w:val="20"/>
                <w:szCs w:val="18"/>
              </w:rPr>
            </w:pPr>
            <w:r w:rsidRPr="005D12C4">
              <w:rPr>
                <w:rFonts w:ascii="Times New Roman" w:eastAsia="Times New Roman" w:hAnsi="Times New Roman" w:cs="Times New Roman"/>
                <w:b/>
                <w:color w:val="222222"/>
                <w:sz w:val="20"/>
                <w:szCs w:val="18"/>
              </w:rPr>
              <w:t>Percentage</w:t>
            </w:r>
          </w:p>
        </w:tc>
      </w:tr>
      <w:tr w:rsidR="005D12C4" w:rsidRPr="005D12C4" w14:paraId="7BF33F88" w14:textId="77777777" w:rsidTr="00867F1E">
        <w:trPr>
          <w:trHeight w:val="660"/>
        </w:trPr>
        <w:tc>
          <w:tcPr>
            <w:tcW w:w="1530" w:type="dxa"/>
            <w:tcBorders>
              <w:top w:val="single" w:sz="8" w:space="0" w:color="DDDDDD"/>
              <w:left w:val="nil"/>
              <w:bottom w:val="nil"/>
              <w:right w:val="nil"/>
            </w:tcBorders>
            <w:shd w:val="clear" w:color="auto" w:fill="auto"/>
            <w:vAlign w:val="center"/>
            <w:hideMark/>
          </w:tcPr>
          <w:p w14:paraId="6D5EC772"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Good</w:t>
            </w:r>
          </w:p>
        </w:tc>
        <w:tc>
          <w:tcPr>
            <w:tcW w:w="4770" w:type="dxa"/>
            <w:gridSpan w:val="2"/>
            <w:tcBorders>
              <w:top w:val="single" w:sz="8" w:space="0" w:color="DDDDDD"/>
              <w:left w:val="nil"/>
              <w:bottom w:val="nil"/>
              <w:right w:val="nil"/>
            </w:tcBorders>
            <w:shd w:val="clear" w:color="auto" w:fill="auto"/>
            <w:vAlign w:val="center"/>
            <w:hideMark/>
          </w:tcPr>
          <w:p w14:paraId="59EA1418" w14:textId="77777777" w:rsid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Results not significantly different from controls</w:t>
            </w:r>
          </w:p>
          <w:p w14:paraId="681641F8" w14:textId="5B80091A"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 xml:space="preserve"> (p &gt; 0.05) </w:t>
            </w:r>
            <w:r w:rsidRPr="005D12C4">
              <w:rPr>
                <w:rFonts w:ascii="Times New Roman" w:eastAsia="Times New Roman" w:hAnsi="Times New Roman" w:cs="Times New Roman"/>
                <w:bCs/>
                <w:color w:val="222222"/>
                <w:sz w:val="20"/>
                <w:szCs w:val="18"/>
              </w:rPr>
              <w:t xml:space="preserve">and </w:t>
            </w:r>
            <w:r w:rsidRPr="005D12C4">
              <w:rPr>
                <w:rFonts w:ascii="Times New Roman" w:eastAsia="Times New Roman" w:hAnsi="Times New Roman" w:cs="Times New Roman"/>
                <w:color w:val="222222"/>
                <w:sz w:val="20"/>
                <w:szCs w:val="18"/>
                <w:u w:val="single"/>
              </w:rPr>
              <w:t>&gt;</w:t>
            </w:r>
            <w:r w:rsidRPr="005D12C4">
              <w:rPr>
                <w:rFonts w:ascii="Times New Roman" w:eastAsia="Times New Roman" w:hAnsi="Times New Roman" w:cs="Times New Roman"/>
                <w:color w:val="222222"/>
                <w:sz w:val="20"/>
                <w:szCs w:val="18"/>
              </w:rPr>
              <w:t xml:space="preserve"> 80% control-corrected survival</w:t>
            </w:r>
          </w:p>
        </w:tc>
        <w:tc>
          <w:tcPr>
            <w:tcW w:w="909" w:type="dxa"/>
            <w:tcBorders>
              <w:top w:val="single" w:sz="8" w:space="0" w:color="DDDDDD"/>
              <w:left w:val="nil"/>
              <w:bottom w:val="nil"/>
              <w:right w:val="nil"/>
            </w:tcBorders>
            <w:shd w:val="clear" w:color="auto" w:fill="auto"/>
            <w:vAlign w:val="center"/>
            <w:hideMark/>
          </w:tcPr>
          <w:p w14:paraId="38EDB41D"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244</w:t>
            </w:r>
          </w:p>
        </w:tc>
        <w:tc>
          <w:tcPr>
            <w:tcW w:w="1251" w:type="dxa"/>
            <w:tcBorders>
              <w:top w:val="single" w:sz="8" w:space="0" w:color="DDDDDD"/>
              <w:left w:val="nil"/>
              <w:bottom w:val="nil"/>
              <w:right w:val="nil"/>
            </w:tcBorders>
            <w:shd w:val="clear" w:color="auto" w:fill="auto"/>
            <w:vAlign w:val="center"/>
            <w:hideMark/>
          </w:tcPr>
          <w:p w14:paraId="1223A164"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82.15 ± 4.37</w:t>
            </w:r>
          </w:p>
        </w:tc>
      </w:tr>
      <w:tr w:rsidR="005D12C4" w:rsidRPr="005D12C4" w14:paraId="28450E54" w14:textId="77777777" w:rsidTr="00867F1E">
        <w:trPr>
          <w:trHeight w:val="660"/>
        </w:trPr>
        <w:tc>
          <w:tcPr>
            <w:tcW w:w="1530" w:type="dxa"/>
            <w:tcBorders>
              <w:top w:val="single" w:sz="8" w:space="0" w:color="DDDDDD"/>
              <w:left w:val="nil"/>
              <w:bottom w:val="nil"/>
              <w:right w:val="nil"/>
            </w:tcBorders>
            <w:shd w:val="clear" w:color="auto" w:fill="auto"/>
            <w:vAlign w:val="center"/>
            <w:hideMark/>
          </w:tcPr>
          <w:p w14:paraId="3DD94C2D"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Fair</w:t>
            </w:r>
          </w:p>
        </w:tc>
        <w:tc>
          <w:tcPr>
            <w:tcW w:w="4770" w:type="dxa"/>
            <w:gridSpan w:val="2"/>
            <w:tcBorders>
              <w:top w:val="single" w:sz="8" w:space="0" w:color="DDDDDD"/>
              <w:left w:val="nil"/>
              <w:bottom w:val="nil"/>
              <w:right w:val="nil"/>
            </w:tcBorders>
            <w:shd w:val="clear" w:color="auto" w:fill="auto"/>
            <w:vAlign w:val="center"/>
            <w:hideMark/>
          </w:tcPr>
          <w:p w14:paraId="544C3948" w14:textId="71852A60"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 xml:space="preserve">Results significantly less than controls (p &lt; 0.05) and </w:t>
            </w:r>
            <w:r w:rsidRPr="005D12C4">
              <w:rPr>
                <w:rFonts w:ascii="Times New Roman" w:eastAsia="Times New Roman" w:hAnsi="Times New Roman" w:cs="Times New Roman"/>
                <w:color w:val="222222"/>
                <w:sz w:val="20"/>
                <w:szCs w:val="18"/>
                <w:u w:val="single"/>
              </w:rPr>
              <w:t>&gt;</w:t>
            </w:r>
            <w:r w:rsidRPr="005D12C4">
              <w:rPr>
                <w:rFonts w:ascii="Times New Roman" w:eastAsia="Times New Roman" w:hAnsi="Times New Roman" w:cs="Times New Roman"/>
                <w:color w:val="222222"/>
                <w:sz w:val="20"/>
                <w:szCs w:val="18"/>
              </w:rPr>
              <w:t xml:space="preserve"> 80% control-corrected survival </w:t>
            </w:r>
            <w:r w:rsidRPr="005D12C4">
              <w:rPr>
                <w:rFonts w:ascii="Times New Roman" w:eastAsia="Times New Roman" w:hAnsi="Times New Roman" w:cs="Times New Roman"/>
                <w:bCs/>
                <w:color w:val="222222"/>
                <w:sz w:val="20"/>
                <w:szCs w:val="18"/>
              </w:rPr>
              <w:t>or</w:t>
            </w:r>
            <w:r w:rsidRPr="005D12C4">
              <w:rPr>
                <w:rFonts w:ascii="Times New Roman" w:eastAsia="Times New Roman" w:hAnsi="Times New Roman" w:cs="Times New Roman"/>
                <w:color w:val="222222"/>
                <w:sz w:val="20"/>
                <w:szCs w:val="18"/>
              </w:rPr>
              <w:t xml:space="preserve"> not significantly different from controls (p &gt; 0.05) and &lt; 80% control-corrected survival</w:t>
            </w:r>
          </w:p>
        </w:tc>
        <w:tc>
          <w:tcPr>
            <w:tcW w:w="909" w:type="dxa"/>
            <w:tcBorders>
              <w:top w:val="single" w:sz="8" w:space="0" w:color="DDDDDD"/>
              <w:left w:val="nil"/>
              <w:bottom w:val="nil"/>
              <w:right w:val="nil"/>
            </w:tcBorders>
            <w:shd w:val="clear" w:color="auto" w:fill="auto"/>
            <w:vAlign w:val="center"/>
            <w:hideMark/>
          </w:tcPr>
          <w:p w14:paraId="0B3E5E52"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50</w:t>
            </w:r>
          </w:p>
        </w:tc>
        <w:tc>
          <w:tcPr>
            <w:tcW w:w="1251" w:type="dxa"/>
            <w:tcBorders>
              <w:top w:val="single" w:sz="8" w:space="0" w:color="DDDDDD"/>
              <w:left w:val="nil"/>
              <w:bottom w:val="nil"/>
              <w:right w:val="nil"/>
            </w:tcBorders>
            <w:shd w:val="clear" w:color="auto" w:fill="auto"/>
            <w:vAlign w:val="center"/>
            <w:hideMark/>
          </w:tcPr>
          <w:p w14:paraId="72B51720"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16.84 ± 4.27</w:t>
            </w:r>
          </w:p>
        </w:tc>
      </w:tr>
      <w:tr w:rsidR="005D12C4" w:rsidRPr="005D12C4" w14:paraId="07E9F4A6" w14:textId="77777777" w:rsidTr="00867F1E">
        <w:trPr>
          <w:trHeight w:val="660"/>
        </w:trPr>
        <w:tc>
          <w:tcPr>
            <w:tcW w:w="1530" w:type="dxa"/>
            <w:tcBorders>
              <w:top w:val="single" w:sz="8" w:space="0" w:color="DDDDDD"/>
              <w:left w:val="nil"/>
              <w:bottom w:val="single" w:sz="8" w:space="0" w:color="000000"/>
              <w:right w:val="nil"/>
            </w:tcBorders>
            <w:shd w:val="clear" w:color="auto" w:fill="auto"/>
            <w:vAlign w:val="center"/>
            <w:hideMark/>
          </w:tcPr>
          <w:p w14:paraId="7C436EF9"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Poor</w:t>
            </w:r>
          </w:p>
        </w:tc>
        <w:tc>
          <w:tcPr>
            <w:tcW w:w="4770" w:type="dxa"/>
            <w:gridSpan w:val="2"/>
            <w:tcBorders>
              <w:top w:val="single" w:sz="8" w:space="0" w:color="DDDDDD"/>
              <w:left w:val="nil"/>
              <w:bottom w:val="single" w:sz="8" w:space="0" w:color="000000"/>
              <w:right w:val="nil"/>
            </w:tcBorders>
            <w:shd w:val="clear" w:color="auto" w:fill="auto"/>
            <w:vAlign w:val="center"/>
            <w:hideMark/>
          </w:tcPr>
          <w:p w14:paraId="6FB290A0"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Results significantly less than controls (p &lt; 0.05) and</w:t>
            </w:r>
          </w:p>
          <w:p w14:paraId="42054B15" w14:textId="3B16AB33"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 xml:space="preserve"> &lt; 80% control-corrected survival</w:t>
            </w:r>
          </w:p>
        </w:tc>
        <w:tc>
          <w:tcPr>
            <w:tcW w:w="909" w:type="dxa"/>
            <w:tcBorders>
              <w:top w:val="single" w:sz="8" w:space="0" w:color="DDDDDD"/>
              <w:left w:val="nil"/>
              <w:bottom w:val="single" w:sz="8" w:space="0" w:color="000000"/>
              <w:right w:val="nil"/>
            </w:tcBorders>
            <w:shd w:val="clear" w:color="auto" w:fill="auto"/>
            <w:vAlign w:val="center"/>
            <w:hideMark/>
          </w:tcPr>
          <w:p w14:paraId="601E2B96"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3</w:t>
            </w:r>
          </w:p>
        </w:tc>
        <w:tc>
          <w:tcPr>
            <w:tcW w:w="1251" w:type="dxa"/>
            <w:tcBorders>
              <w:top w:val="single" w:sz="8" w:space="0" w:color="DDDDDD"/>
              <w:left w:val="nil"/>
              <w:bottom w:val="single" w:sz="8" w:space="0" w:color="000000"/>
              <w:right w:val="nil"/>
            </w:tcBorders>
            <w:shd w:val="clear" w:color="auto" w:fill="auto"/>
            <w:vAlign w:val="center"/>
            <w:hideMark/>
          </w:tcPr>
          <w:p w14:paraId="007AF3DC"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1.01 ± 1.14</w:t>
            </w:r>
          </w:p>
        </w:tc>
      </w:tr>
      <w:tr w:rsidR="005D12C4" w:rsidRPr="005D12C4" w14:paraId="5C8633CA" w14:textId="77777777" w:rsidTr="00867F1E">
        <w:trPr>
          <w:trHeight w:val="295"/>
        </w:trPr>
        <w:tc>
          <w:tcPr>
            <w:tcW w:w="1530" w:type="dxa"/>
            <w:tcBorders>
              <w:top w:val="single" w:sz="8" w:space="0" w:color="DDDDDD"/>
              <w:left w:val="nil"/>
              <w:bottom w:val="single" w:sz="12" w:space="0" w:color="111111"/>
              <w:right w:val="nil"/>
            </w:tcBorders>
            <w:shd w:val="clear" w:color="auto" w:fill="auto"/>
            <w:vAlign w:val="center"/>
            <w:hideMark/>
          </w:tcPr>
          <w:p w14:paraId="355B40D9"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Total</w:t>
            </w:r>
          </w:p>
        </w:tc>
        <w:tc>
          <w:tcPr>
            <w:tcW w:w="4770" w:type="dxa"/>
            <w:gridSpan w:val="2"/>
            <w:tcBorders>
              <w:top w:val="single" w:sz="8" w:space="0" w:color="DDDDDD"/>
              <w:left w:val="nil"/>
              <w:bottom w:val="single" w:sz="12" w:space="0" w:color="111111"/>
              <w:right w:val="nil"/>
            </w:tcBorders>
            <w:shd w:val="clear" w:color="auto" w:fill="auto"/>
            <w:vAlign w:val="center"/>
            <w:hideMark/>
          </w:tcPr>
          <w:p w14:paraId="08D3A12F" w14:textId="7A7ED76B" w:rsidR="005D12C4" w:rsidRPr="005D12C4" w:rsidRDefault="005D12C4" w:rsidP="005D12C4">
            <w:pPr>
              <w:spacing w:after="0" w:line="240" w:lineRule="auto"/>
              <w:rPr>
                <w:rFonts w:ascii="Times New Roman" w:eastAsia="Times New Roman" w:hAnsi="Times New Roman" w:cs="Times New Roman"/>
                <w:b/>
                <w:bCs/>
                <w:color w:val="222222"/>
                <w:sz w:val="20"/>
                <w:szCs w:val="18"/>
              </w:rPr>
            </w:pPr>
          </w:p>
        </w:tc>
        <w:tc>
          <w:tcPr>
            <w:tcW w:w="909" w:type="dxa"/>
            <w:tcBorders>
              <w:top w:val="single" w:sz="8" w:space="0" w:color="DDDDDD"/>
              <w:left w:val="nil"/>
              <w:bottom w:val="single" w:sz="12" w:space="0" w:color="111111"/>
              <w:right w:val="nil"/>
            </w:tcBorders>
            <w:shd w:val="clear" w:color="auto" w:fill="auto"/>
            <w:vAlign w:val="center"/>
            <w:hideMark/>
          </w:tcPr>
          <w:p w14:paraId="39DB49D3"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297</w:t>
            </w:r>
          </w:p>
        </w:tc>
        <w:tc>
          <w:tcPr>
            <w:tcW w:w="1251" w:type="dxa"/>
            <w:tcBorders>
              <w:top w:val="single" w:sz="8" w:space="0" w:color="DDDDDD"/>
              <w:left w:val="nil"/>
              <w:bottom w:val="single" w:sz="12" w:space="0" w:color="111111"/>
              <w:right w:val="nil"/>
            </w:tcBorders>
            <w:shd w:val="clear" w:color="auto" w:fill="auto"/>
            <w:vAlign w:val="center"/>
            <w:hideMark/>
          </w:tcPr>
          <w:p w14:paraId="2CABF942"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 </w:t>
            </w:r>
          </w:p>
        </w:tc>
      </w:tr>
    </w:tbl>
    <w:p w14:paraId="2390808B" w14:textId="7A5DA8B6" w:rsidR="005D12C4" w:rsidRDefault="005D12C4" w:rsidP="00FE1DDB">
      <w:pPr>
        <w:spacing w:after="0" w:line="240" w:lineRule="auto"/>
        <w:jc w:val="both"/>
        <w:rPr>
          <w:rFonts w:ascii="Times New Roman" w:hAnsi="Times New Roman" w:cs="Times New Roman"/>
          <w:sz w:val="24"/>
          <w:szCs w:val="24"/>
        </w:rPr>
      </w:pPr>
    </w:p>
    <w:p w14:paraId="6C8FB867" w14:textId="486ACB54" w:rsidR="007B38E7" w:rsidRPr="00FE1DDB" w:rsidRDefault="007B38E7" w:rsidP="00FE1DDB">
      <w:pPr>
        <w:spacing w:after="0" w:line="240" w:lineRule="auto"/>
        <w:jc w:val="both"/>
        <w:rPr>
          <w:rFonts w:ascii="Times New Roman" w:hAnsi="Times New Roman" w:cs="Times New Roman"/>
          <w:sz w:val="24"/>
          <w:szCs w:val="24"/>
        </w:rPr>
      </w:pPr>
    </w:p>
    <w:p w14:paraId="23E8E260" w14:textId="5EE43379" w:rsidR="000F5CE3" w:rsidRDefault="00BB39B6"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Sediment Quality Index (SQI):</w:t>
      </w:r>
      <w:r w:rsidRPr="00FE1DDB">
        <w:rPr>
          <w:rFonts w:ascii="Times New Roman" w:hAnsi="Times New Roman" w:cs="Times New Roman"/>
          <w:sz w:val="24"/>
          <w:szCs w:val="24"/>
        </w:rPr>
        <w:t xml:space="preserve"> The NCCA has traditionally integrated the sediment chemical contamination index </w:t>
      </w:r>
      <w:r w:rsidR="00987753" w:rsidRPr="00FE1DDB">
        <w:rPr>
          <w:rFonts w:ascii="Times New Roman" w:hAnsi="Times New Roman" w:cs="Times New Roman"/>
          <w:sz w:val="24"/>
          <w:szCs w:val="24"/>
        </w:rPr>
        <w:t xml:space="preserve">(SCI) </w:t>
      </w:r>
      <w:r w:rsidRPr="00FE1DDB">
        <w:rPr>
          <w:rFonts w:ascii="Times New Roman" w:hAnsi="Times New Roman" w:cs="Times New Roman"/>
          <w:sz w:val="24"/>
          <w:szCs w:val="24"/>
        </w:rPr>
        <w:t>and the sediment toxicity results into a single index of sediment quality, to evaluate whether the sediment at a site is “highly likely or not likely to cause adverse effects to bent</w:t>
      </w:r>
      <w:r w:rsidR="005D12C4">
        <w:rPr>
          <w:rFonts w:ascii="Times New Roman" w:hAnsi="Times New Roman" w:cs="Times New Roman"/>
          <w:sz w:val="24"/>
          <w:szCs w:val="24"/>
        </w:rPr>
        <w:t xml:space="preserve">hic organisms” (US EPA, 2016). </w:t>
      </w:r>
      <w:r w:rsidR="00E23C0F" w:rsidRPr="00FE1DDB">
        <w:rPr>
          <w:rFonts w:ascii="Times New Roman" w:hAnsi="Times New Roman" w:cs="Times New Roman"/>
          <w:sz w:val="24"/>
          <w:szCs w:val="24"/>
        </w:rPr>
        <w:t xml:space="preserve">The classes of the SQI, the attributes of each class, and the sediment quality characterizations of </w:t>
      </w:r>
      <w:r w:rsidR="00380D2F" w:rsidRPr="00FE1DDB">
        <w:rPr>
          <w:rFonts w:ascii="Times New Roman" w:hAnsi="Times New Roman" w:cs="Times New Roman"/>
          <w:sz w:val="24"/>
          <w:szCs w:val="24"/>
        </w:rPr>
        <w:t>Virginia probabilistic estuarine sites sampled between 201</w:t>
      </w:r>
      <w:r w:rsidR="005D12C4">
        <w:rPr>
          <w:rFonts w:ascii="Times New Roman" w:hAnsi="Times New Roman" w:cs="Times New Roman"/>
          <w:sz w:val="24"/>
          <w:szCs w:val="24"/>
        </w:rPr>
        <w:t>5</w:t>
      </w:r>
      <w:r w:rsidR="00380D2F" w:rsidRPr="00FE1DDB">
        <w:rPr>
          <w:rFonts w:ascii="Times New Roman" w:hAnsi="Times New Roman" w:cs="Times New Roman"/>
          <w:sz w:val="24"/>
          <w:szCs w:val="24"/>
        </w:rPr>
        <w:t xml:space="preserve"> and 20</w:t>
      </w:r>
      <w:r w:rsidR="005D12C4">
        <w:rPr>
          <w:rFonts w:ascii="Times New Roman" w:hAnsi="Times New Roman" w:cs="Times New Roman"/>
          <w:sz w:val="24"/>
          <w:szCs w:val="24"/>
        </w:rPr>
        <w:t>20</w:t>
      </w:r>
      <w:r w:rsidR="00380D2F" w:rsidRPr="00FE1DDB">
        <w:rPr>
          <w:rFonts w:ascii="Times New Roman" w:hAnsi="Times New Roman" w:cs="Times New Roman"/>
          <w:sz w:val="24"/>
          <w:szCs w:val="24"/>
        </w:rPr>
        <w:t xml:space="preserve"> are summarized in Table </w:t>
      </w:r>
      <w:r w:rsidR="00913DCE" w:rsidRPr="00FE1DDB">
        <w:rPr>
          <w:rFonts w:ascii="Times New Roman" w:hAnsi="Times New Roman" w:cs="Times New Roman"/>
          <w:sz w:val="24"/>
          <w:szCs w:val="24"/>
        </w:rPr>
        <w:t>4</w:t>
      </w:r>
      <w:r w:rsidR="00DF51A5" w:rsidRPr="00FE1DDB">
        <w:rPr>
          <w:rFonts w:ascii="Times New Roman" w:hAnsi="Times New Roman" w:cs="Times New Roman"/>
          <w:sz w:val="24"/>
          <w:szCs w:val="24"/>
        </w:rPr>
        <w:t>.</w:t>
      </w:r>
      <w:r w:rsidR="00BA2B36" w:rsidRPr="00FE1DDB">
        <w:rPr>
          <w:rFonts w:ascii="Times New Roman" w:hAnsi="Times New Roman" w:cs="Times New Roman"/>
          <w:sz w:val="24"/>
          <w:szCs w:val="24"/>
        </w:rPr>
        <w:t>5</w:t>
      </w:r>
      <w:r w:rsidR="00380D2F" w:rsidRPr="00FE1DDB">
        <w:rPr>
          <w:rFonts w:ascii="Times New Roman" w:hAnsi="Times New Roman" w:cs="Times New Roman"/>
          <w:sz w:val="24"/>
          <w:szCs w:val="24"/>
        </w:rPr>
        <w:t>-</w:t>
      </w:r>
      <w:r w:rsidR="00401E63">
        <w:rPr>
          <w:rFonts w:ascii="Times New Roman" w:hAnsi="Times New Roman" w:cs="Times New Roman"/>
          <w:sz w:val="24"/>
          <w:szCs w:val="24"/>
        </w:rPr>
        <w:t>19</w:t>
      </w:r>
      <w:r w:rsidR="00380D2F" w:rsidRPr="00FE1DDB">
        <w:rPr>
          <w:rFonts w:ascii="Times New Roman" w:hAnsi="Times New Roman" w:cs="Times New Roman"/>
          <w:sz w:val="24"/>
          <w:szCs w:val="24"/>
        </w:rPr>
        <w:t xml:space="preserve">. </w:t>
      </w:r>
      <w:r w:rsidR="000F5CE3" w:rsidRPr="00FE1DDB">
        <w:rPr>
          <w:rFonts w:ascii="Times New Roman" w:hAnsi="Times New Roman" w:cs="Times New Roman"/>
          <w:sz w:val="24"/>
          <w:szCs w:val="24"/>
        </w:rPr>
        <w:t xml:space="preserve">Virginia’s statewide estuarine waters earn a score of </w:t>
      </w:r>
      <w:r w:rsidR="004401F8" w:rsidRPr="00FE1DDB">
        <w:rPr>
          <w:rFonts w:ascii="Times New Roman" w:hAnsi="Times New Roman" w:cs="Times New Roman"/>
          <w:sz w:val="24"/>
          <w:szCs w:val="24"/>
        </w:rPr>
        <w:t>“</w:t>
      </w:r>
      <w:r w:rsidR="000F5CE3" w:rsidRPr="00FE1DDB">
        <w:rPr>
          <w:rFonts w:ascii="Times New Roman" w:hAnsi="Times New Roman" w:cs="Times New Roman"/>
          <w:sz w:val="24"/>
          <w:szCs w:val="24"/>
        </w:rPr>
        <w:t>Fair</w:t>
      </w:r>
      <w:r w:rsidR="004401F8" w:rsidRPr="00FE1DDB">
        <w:rPr>
          <w:rFonts w:ascii="Times New Roman" w:hAnsi="Times New Roman" w:cs="Times New Roman"/>
          <w:sz w:val="24"/>
          <w:szCs w:val="24"/>
        </w:rPr>
        <w:t>”</w:t>
      </w:r>
      <w:r w:rsidR="002D26C7" w:rsidRPr="00FE1DDB">
        <w:rPr>
          <w:rFonts w:ascii="Times New Roman" w:hAnsi="Times New Roman" w:cs="Times New Roman"/>
          <w:sz w:val="24"/>
          <w:szCs w:val="24"/>
        </w:rPr>
        <w:t xml:space="preserve"> because fewer than 50 percent</w:t>
      </w:r>
      <w:r w:rsidR="000F5CE3" w:rsidRPr="00FE1DDB">
        <w:rPr>
          <w:rFonts w:ascii="Times New Roman" w:hAnsi="Times New Roman" w:cs="Times New Roman"/>
          <w:sz w:val="24"/>
          <w:szCs w:val="24"/>
        </w:rPr>
        <w:t xml:space="preserve"> of the sites are rated </w:t>
      </w:r>
      <w:r w:rsidR="004401F8" w:rsidRPr="00FE1DDB">
        <w:rPr>
          <w:rFonts w:ascii="Times New Roman" w:hAnsi="Times New Roman" w:cs="Times New Roman"/>
          <w:sz w:val="24"/>
          <w:szCs w:val="24"/>
        </w:rPr>
        <w:t>“</w:t>
      </w:r>
      <w:r w:rsidR="000F5CE3" w:rsidRPr="00FE1DDB">
        <w:rPr>
          <w:rFonts w:ascii="Times New Roman" w:hAnsi="Times New Roman" w:cs="Times New Roman"/>
          <w:sz w:val="24"/>
          <w:szCs w:val="24"/>
        </w:rPr>
        <w:t>Good</w:t>
      </w:r>
      <w:r w:rsidR="004401F8" w:rsidRPr="005D12C4">
        <w:rPr>
          <w:rFonts w:ascii="Times New Roman" w:hAnsi="Times New Roman" w:cs="Times New Roman"/>
          <w:sz w:val="24"/>
          <w:szCs w:val="24"/>
        </w:rPr>
        <w:t>”</w:t>
      </w:r>
      <w:r w:rsidR="005D12C4" w:rsidRPr="005D12C4">
        <w:rPr>
          <w:rFonts w:ascii="Times New Roman" w:hAnsi="Times New Roman" w:cs="Times New Roman"/>
          <w:sz w:val="24"/>
          <w:szCs w:val="24"/>
        </w:rPr>
        <w:t xml:space="preserve"> </w:t>
      </w:r>
      <w:r w:rsidR="00DE3A64">
        <w:rPr>
          <w:rFonts w:ascii="Times New Roman" w:hAnsi="Times New Roman" w:cs="Times New Roman"/>
          <w:sz w:val="24"/>
          <w:szCs w:val="24"/>
        </w:rPr>
        <w:t xml:space="preserve">as presented in </w:t>
      </w:r>
      <w:r w:rsidR="005D12C4" w:rsidRPr="00FE1DDB">
        <w:rPr>
          <w:rFonts w:ascii="Times New Roman" w:hAnsi="Times New Roman" w:cs="Times New Roman"/>
          <w:sz w:val="24"/>
          <w:szCs w:val="24"/>
        </w:rPr>
        <w:t>Table 4.5-</w:t>
      </w:r>
      <w:r w:rsidR="008B0194">
        <w:rPr>
          <w:rFonts w:ascii="Times New Roman" w:hAnsi="Times New Roman" w:cs="Times New Roman"/>
          <w:sz w:val="24"/>
          <w:szCs w:val="24"/>
        </w:rPr>
        <w:t>20</w:t>
      </w:r>
      <w:r w:rsidR="000F5CE3" w:rsidRPr="005D12C4">
        <w:rPr>
          <w:rFonts w:ascii="Times New Roman" w:hAnsi="Times New Roman" w:cs="Times New Roman"/>
          <w:sz w:val="24"/>
          <w:szCs w:val="24"/>
        </w:rPr>
        <w:t>.</w:t>
      </w:r>
    </w:p>
    <w:p w14:paraId="56B891C8" w14:textId="46F1077D" w:rsidR="005D12C4" w:rsidRDefault="005D12C4" w:rsidP="00FE1DDB">
      <w:pPr>
        <w:spacing w:after="0" w:line="240" w:lineRule="auto"/>
        <w:rPr>
          <w:rFonts w:ascii="Times New Roman" w:hAnsi="Times New Roman" w:cs="Times New Roman"/>
          <w:sz w:val="24"/>
          <w:szCs w:val="24"/>
        </w:rPr>
      </w:pPr>
    </w:p>
    <w:p w14:paraId="7D78F1D0" w14:textId="47A353DA" w:rsidR="005D12C4" w:rsidRPr="005D12C4" w:rsidRDefault="005D12C4" w:rsidP="005D12C4">
      <w:pPr>
        <w:pStyle w:val="Caption"/>
        <w:keepNext/>
        <w:rPr>
          <w:rFonts w:ascii="Times New Roman" w:hAnsi="Times New Roman" w:cs="Times New Roman"/>
          <w:i w:val="0"/>
          <w:color w:val="000000" w:themeColor="text1"/>
          <w:sz w:val="20"/>
        </w:rPr>
      </w:pPr>
      <w:r w:rsidRPr="005D12C4">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20</w:t>
      </w:r>
      <w:r w:rsidRPr="005D12C4">
        <w:rPr>
          <w:rFonts w:ascii="Times New Roman" w:hAnsi="Times New Roman" w:cs="Times New Roman"/>
          <w:i w:val="0"/>
          <w:color w:val="000000" w:themeColor="text1"/>
          <w:sz w:val="20"/>
        </w:rPr>
        <w:t xml:space="preserve"> Sediment Quality Index (SQI) scores based on sediment chemical contamination index (SCI) and the sediment toxicity results. Thresholds follow NCCA 2015 benchmarks</w:t>
      </w:r>
    </w:p>
    <w:tbl>
      <w:tblPr>
        <w:tblW w:w="6790" w:type="dxa"/>
        <w:tblLook w:val="04A0" w:firstRow="1" w:lastRow="0" w:firstColumn="1" w:lastColumn="0" w:noHBand="0" w:noVBand="1"/>
        <w:tblCaption w:val="Table 4.5- 19 Sediment Quality Index (SQI) scores based on sediment chemical contamination index (SCI) and the sediment toxicity results. Thresholds follow NCCA 2015 benchmarks"/>
        <w:tblDescription w:val="Table 4.5- 19 Sediment Quality Index (SQI) scores based on sediment chemical contamination index (SCI) and the sediment toxicity results. Thresholds follow NCCA 2015 benchmarks"/>
      </w:tblPr>
      <w:tblGrid>
        <w:gridCol w:w="1170"/>
        <w:gridCol w:w="3200"/>
        <w:gridCol w:w="960"/>
        <w:gridCol w:w="1460"/>
      </w:tblGrid>
      <w:tr w:rsidR="005D12C4" w:rsidRPr="005D12C4" w14:paraId="11C9BF6F" w14:textId="77777777" w:rsidTr="00867F1E">
        <w:trPr>
          <w:trHeight w:val="300"/>
        </w:trPr>
        <w:tc>
          <w:tcPr>
            <w:tcW w:w="1170" w:type="dxa"/>
            <w:tcBorders>
              <w:top w:val="nil"/>
              <w:left w:val="nil"/>
              <w:bottom w:val="single" w:sz="4" w:space="0" w:color="auto"/>
              <w:right w:val="nil"/>
            </w:tcBorders>
            <w:shd w:val="clear" w:color="auto" w:fill="auto"/>
            <w:vAlign w:val="center"/>
            <w:hideMark/>
          </w:tcPr>
          <w:p w14:paraId="4E39A5D6"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20"/>
              </w:rPr>
            </w:pPr>
            <w:r w:rsidRPr="005D12C4">
              <w:rPr>
                <w:rFonts w:ascii="Times New Roman" w:eastAsia="Times New Roman" w:hAnsi="Times New Roman" w:cs="Times New Roman"/>
                <w:b/>
                <w:bCs/>
                <w:color w:val="222222"/>
                <w:sz w:val="20"/>
                <w:szCs w:val="20"/>
              </w:rPr>
              <w:t>SQI Score</w:t>
            </w:r>
          </w:p>
        </w:tc>
        <w:tc>
          <w:tcPr>
            <w:tcW w:w="3200" w:type="dxa"/>
            <w:tcBorders>
              <w:top w:val="nil"/>
              <w:left w:val="nil"/>
              <w:bottom w:val="single" w:sz="4" w:space="0" w:color="auto"/>
              <w:right w:val="nil"/>
            </w:tcBorders>
            <w:shd w:val="clear" w:color="auto" w:fill="auto"/>
            <w:vAlign w:val="center"/>
            <w:hideMark/>
          </w:tcPr>
          <w:p w14:paraId="149BCF9F"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20"/>
              </w:rPr>
            </w:pPr>
            <w:r w:rsidRPr="005D12C4">
              <w:rPr>
                <w:rFonts w:ascii="Times New Roman" w:eastAsia="Times New Roman" w:hAnsi="Times New Roman" w:cs="Times New Roman"/>
                <w:b/>
                <w:bCs/>
                <w:color w:val="222222"/>
                <w:sz w:val="20"/>
                <w:szCs w:val="20"/>
              </w:rPr>
              <w:t>SQI Range</w:t>
            </w:r>
          </w:p>
        </w:tc>
        <w:tc>
          <w:tcPr>
            <w:tcW w:w="960" w:type="dxa"/>
            <w:tcBorders>
              <w:top w:val="nil"/>
              <w:left w:val="nil"/>
              <w:bottom w:val="single" w:sz="4" w:space="0" w:color="auto"/>
              <w:right w:val="nil"/>
            </w:tcBorders>
            <w:shd w:val="clear" w:color="auto" w:fill="auto"/>
            <w:vAlign w:val="center"/>
            <w:hideMark/>
          </w:tcPr>
          <w:p w14:paraId="3878C82D"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20"/>
              </w:rPr>
            </w:pPr>
            <w:r w:rsidRPr="005D12C4">
              <w:rPr>
                <w:rFonts w:ascii="Times New Roman" w:eastAsia="Times New Roman" w:hAnsi="Times New Roman" w:cs="Times New Roman"/>
                <w:b/>
                <w:bCs/>
                <w:color w:val="222222"/>
                <w:sz w:val="20"/>
                <w:szCs w:val="20"/>
              </w:rPr>
              <w:t>Stations</w:t>
            </w:r>
          </w:p>
        </w:tc>
        <w:tc>
          <w:tcPr>
            <w:tcW w:w="1460" w:type="dxa"/>
            <w:tcBorders>
              <w:top w:val="nil"/>
              <w:left w:val="nil"/>
              <w:bottom w:val="single" w:sz="4" w:space="0" w:color="auto"/>
              <w:right w:val="nil"/>
            </w:tcBorders>
            <w:shd w:val="clear" w:color="auto" w:fill="auto"/>
            <w:vAlign w:val="center"/>
            <w:hideMark/>
          </w:tcPr>
          <w:p w14:paraId="0CA42FC8"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20"/>
              </w:rPr>
            </w:pPr>
            <w:r w:rsidRPr="005D12C4">
              <w:rPr>
                <w:rFonts w:ascii="Times New Roman" w:eastAsia="Times New Roman" w:hAnsi="Times New Roman" w:cs="Times New Roman"/>
                <w:b/>
                <w:bCs/>
                <w:color w:val="222222"/>
                <w:sz w:val="20"/>
                <w:szCs w:val="20"/>
              </w:rPr>
              <w:t>Percentage</w:t>
            </w:r>
          </w:p>
        </w:tc>
      </w:tr>
      <w:tr w:rsidR="005D12C4" w:rsidRPr="005D12C4" w14:paraId="2A33EB2F" w14:textId="77777777" w:rsidTr="00867F1E">
        <w:trPr>
          <w:trHeight w:val="317"/>
        </w:trPr>
        <w:tc>
          <w:tcPr>
            <w:tcW w:w="1170" w:type="dxa"/>
            <w:tcBorders>
              <w:top w:val="nil"/>
              <w:left w:val="nil"/>
              <w:bottom w:val="nil"/>
              <w:right w:val="nil"/>
            </w:tcBorders>
            <w:shd w:val="clear" w:color="auto" w:fill="auto"/>
            <w:vAlign w:val="center"/>
            <w:hideMark/>
          </w:tcPr>
          <w:p w14:paraId="03C1CC83"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Good</w:t>
            </w:r>
          </w:p>
        </w:tc>
        <w:tc>
          <w:tcPr>
            <w:tcW w:w="3200" w:type="dxa"/>
            <w:tcBorders>
              <w:top w:val="nil"/>
              <w:left w:val="nil"/>
              <w:bottom w:val="nil"/>
              <w:right w:val="nil"/>
            </w:tcBorders>
            <w:shd w:val="clear" w:color="auto" w:fill="auto"/>
            <w:vAlign w:val="center"/>
            <w:hideMark/>
          </w:tcPr>
          <w:p w14:paraId="3CCF6022"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Toxicity and Chemistry = Good</w:t>
            </w:r>
          </w:p>
        </w:tc>
        <w:tc>
          <w:tcPr>
            <w:tcW w:w="960" w:type="dxa"/>
            <w:tcBorders>
              <w:top w:val="nil"/>
              <w:left w:val="nil"/>
              <w:bottom w:val="nil"/>
              <w:right w:val="nil"/>
            </w:tcBorders>
            <w:shd w:val="clear" w:color="auto" w:fill="auto"/>
            <w:vAlign w:val="center"/>
            <w:hideMark/>
          </w:tcPr>
          <w:p w14:paraId="7AA7C812"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111</w:t>
            </w:r>
          </w:p>
        </w:tc>
        <w:tc>
          <w:tcPr>
            <w:tcW w:w="1460" w:type="dxa"/>
            <w:tcBorders>
              <w:top w:val="nil"/>
              <w:left w:val="nil"/>
              <w:bottom w:val="nil"/>
              <w:right w:val="nil"/>
            </w:tcBorders>
            <w:shd w:val="clear" w:color="auto" w:fill="auto"/>
            <w:vAlign w:val="center"/>
            <w:hideMark/>
          </w:tcPr>
          <w:p w14:paraId="11B364EF"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37.37 ± 5.52</w:t>
            </w:r>
          </w:p>
        </w:tc>
      </w:tr>
      <w:tr w:rsidR="005D12C4" w:rsidRPr="005D12C4" w14:paraId="58339CB6" w14:textId="77777777" w:rsidTr="00867F1E">
        <w:trPr>
          <w:trHeight w:val="317"/>
        </w:trPr>
        <w:tc>
          <w:tcPr>
            <w:tcW w:w="1170" w:type="dxa"/>
            <w:tcBorders>
              <w:top w:val="single" w:sz="8" w:space="0" w:color="DDDDDD"/>
              <w:left w:val="nil"/>
              <w:bottom w:val="nil"/>
              <w:right w:val="nil"/>
            </w:tcBorders>
            <w:shd w:val="clear" w:color="auto" w:fill="auto"/>
            <w:vAlign w:val="center"/>
            <w:hideMark/>
          </w:tcPr>
          <w:p w14:paraId="24D2330E"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Fair</w:t>
            </w:r>
          </w:p>
        </w:tc>
        <w:tc>
          <w:tcPr>
            <w:tcW w:w="3200" w:type="dxa"/>
            <w:tcBorders>
              <w:top w:val="single" w:sz="8" w:space="0" w:color="DDDDDD"/>
              <w:left w:val="nil"/>
              <w:bottom w:val="nil"/>
              <w:right w:val="nil"/>
            </w:tcBorders>
            <w:shd w:val="clear" w:color="auto" w:fill="auto"/>
            <w:vAlign w:val="center"/>
            <w:hideMark/>
          </w:tcPr>
          <w:p w14:paraId="2EFD76C8"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Toxicity and/or Chemistry = Fair</w:t>
            </w:r>
          </w:p>
        </w:tc>
        <w:tc>
          <w:tcPr>
            <w:tcW w:w="960" w:type="dxa"/>
            <w:tcBorders>
              <w:top w:val="single" w:sz="8" w:space="0" w:color="DDDDDD"/>
              <w:left w:val="nil"/>
              <w:bottom w:val="nil"/>
              <w:right w:val="nil"/>
            </w:tcBorders>
            <w:shd w:val="clear" w:color="auto" w:fill="auto"/>
            <w:vAlign w:val="center"/>
            <w:hideMark/>
          </w:tcPr>
          <w:p w14:paraId="4CC29033"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152</w:t>
            </w:r>
          </w:p>
        </w:tc>
        <w:tc>
          <w:tcPr>
            <w:tcW w:w="1460" w:type="dxa"/>
            <w:tcBorders>
              <w:top w:val="single" w:sz="8" w:space="0" w:color="DDDDDD"/>
              <w:left w:val="nil"/>
              <w:bottom w:val="nil"/>
              <w:right w:val="nil"/>
            </w:tcBorders>
            <w:shd w:val="clear" w:color="auto" w:fill="auto"/>
            <w:vAlign w:val="center"/>
            <w:hideMark/>
          </w:tcPr>
          <w:p w14:paraId="5F22E18C"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51.18 ± 5.71</w:t>
            </w:r>
          </w:p>
        </w:tc>
      </w:tr>
      <w:tr w:rsidR="005D12C4" w:rsidRPr="005D12C4" w14:paraId="717BB6F7" w14:textId="77777777" w:rsidTr="00867F1E">
        <w:trPr>
          <w:trHeight w:val="317"/>
        </w:trPr>
        <w:tc>
          <w:tcPr>
            <w:tcW w:w="1170" w:type="dxa"/>
            <w:tcBorders>
              <w:top w:val="single" w:sz="8" w:space="0" w:color="DDDDDD"/>
              <w:left w:val="nil"/>
              <w:bottom w:val="nil"/>
              <w:right w:val="nil"/>
            </w:tcBorders>
            <w:shd w:val="clear" w:color="auto" w:fill="auto"/>
            <w:vAlign w:val="center"/>
            <w:hideMark/>
          </w:tcPr>
          <w:p w14:paraId="4F0FDEB0"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Poor</w:t>
            </w:r>
          </w:p>
        </w:tc>
        <w:tc>
          <w:tcPr>
            <w:tcW w:w="3200" w:type="dxa"/>
            <w:tcBorders>
              <w:top w:val="single" w:sz="8" w:space="0" w:color="DDDDDD"/>
              <w:left w:val="nil"/>
              <w:bottom w:val="nil"/>
              <w:right w:val="nil"/>
            </w:tcBorders>
            <w:shd w:val="clear" w:color="auto" w:fill="auto"/>
            <w:vAlign w:val="center"/>
            <w:hideMark/>
          </w:tcPr>
          <w:p w14:paraId="2EDEE758" w14:textId="6C8E184E"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Toxicity and/or Chemistry</w:t>
            </w:r>
            <w:r w:rsidRPr="0017576D">
              <w:rPr>
                <w:rFonts w:ascii="Times New Roman" w:eastAsia="Times New Roman" w:hAnsi="Times New Roman" w:cs="Times New Roman"/>
                <w:color w:val="222222"/>
                <w:sz w:val="20"/>
                <w:szCs w:val="18"/>
              </w:rPr>
              <w:t xml:space="preserve"> </w:t>
            </w:r>
            <w:r w:rsidRPr="005D12C4">
              <w:rPr>
                <w:rFonts w:ascii="Times New Roman" w:eastAsia="Times New Roman" w:hAnsi="Times New Roman" w:cs="Times New Roman"/>
                <w:color w:val="222222"/>
                <w:sz w:val="20"/>
                <w:szCs w:val="18"/>
              </w:rPr>
              <w:t>=</w:t>
            </w:r>
            <w:r w:rsidRPr="0017576D">
              <w:rPr>
                <w:rFonts w:ascii="Times New Roman" w:eastAsia="Times New Roman" w:hAnsi="Times New Roman" w:cs="Times New Roman"/>
                <w:color w:val="222222"/>
                <w:sz w:val="20"/>
                <w:szCs w:val="18"/>
              </w:rPr>
              <w:t xml:space="preserve"> </w:t>
            </w:r>
            <w:r w:rsidRPr="005D12C4">
              <w:rPr>
                <w:rFonts w:ascii="Times New Roman" w:eastAsia="Times New Roman" w:hAnsi="Times New Roman" w:cs="Times New Roman"/>
                <w:color w:val="222222"/>
                <w:sz w:val="20"/>
                <w:szCs w:val="18"/>
              </w:rPr>
              <w:t>Poor</w:t>
            </w:r>
          </w:p>
        </w:tc>
        <w:tc>
          <w:tcPr>
            <w:tcW w:w="960" w:type="dxa"/>
            <w:tcBorders>
              <w:top w:val="single" w:sz="8" w:space="0" w:color="DDDDDD"/>
              <w:left w:val="nil"/>
              <w:bottom w:val="nil"/>
              <w:right w:val="nil"/>
            </w:tcBorders>
            <w:shd w:val="clear" w:color="auto" w:fill="auto"/>
            <w:vAlign w:val="center"/>
            <w:hideMark/>
          </w:tcPr>
          <w:p w14:paraId="385DF9E7"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34</w:t>
            </w:r>
          </w:p>
        </w:tc>
        <w:tc>
          <w:tcPr>
            <w:tcW w:w="1460" w:type="dxa"/>
            <w:tcBorders>
              <w:top w:val="single" w:sz="8" w:space="0" w:color="DDDDDD"/>
              <w:left w:val="nil"/>
              <w:bottom w:val="nil"/>
              <w:right w:val="nil"/>
            </w:tcBorders>
            <w:shd w:val="clear" w:color="auto" w:fill="auto"/>
            <w:vAlign w:val="center"/>
            <w:hideMark/>
          </w:tcPr>
          <w:p w14:paraId="0848F215" w14:textId="77777777" w:rsidR="005D12C4" w:rsidRPr="005D12C4" w:rsidRDefault="005D12C4" w:rsidP="005D12C4">
            <w:pPr>
              <w:spacing w:after="0" w:line="240" w:lineRule="auto"/>
              <w:rPr>
                <w:rFonts w:ascii="Times New Roman" w:eastAsia="Times New Roman" w:hAnsi="Times New Roman" w:cs="Times New Roman"/>
                <w:color w:val="222222"/>
                <w:sz w:val="20"/>
                <w:szCs w:val="18"/>
              </w:rPr>
            </w:pPr>
            <w:r w:rsidRPr="005D12C4">
              <w:rPr>
                <w:rFonts w:ascii="Times New Roman" w:eastAsia="Times New Roman" w:hAnsi="Times New Roman" w:cs="Times New Roman"/>
                <w:color w:val="222222"/>
                <w:sz w:val="20"/>
                <w:szCs w:val="18"/>
              </w:rPr>
              <w:t>11.45 ± 3.64</w:t>
            </w:r>
          </w:p>
        </w:tc>
      </w:tr>
      <w:tr w:rsidR="005D12C4" w:rsidRPr="005D12C4" w14:paraId="76DB1228" w14:textId="77777777" w:rsidTr="00867F1E">
        <w:trPr>
          <w:trHeight w:val="317"/>
        </w:trPr>
        <w:tc>
          <w:tcPr>
            <w:tcW w:w="1170" w:type="dxa"/>
            <w:tcBorders>
              <w:top w:val="single" w:sz="4" w:space="0" w:color="auto"/>
              <w:left w:val="nil"/>
              <w:bottom w:val="single" w:sz="4" w:space="0" w:color="auto"/>
              <w:right w:val="nil"/>
            </w:tcBorders>
            <w:shd w:val="clear" w:color="auto" w:fill="auto"/>
            <w:vAlign w:val="center"/>
            <w:hideMark/>
          </w:tcPr>
          <w:p w14:paraId="3227096F"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Total</w:t>
            </w:r>
          </w:p>
        </w:tc>
        <w:tc>
          <w:tcPr>
            <w:tcW w:w="3200" w:type="dxa"/>
            <w:tcBorders>
              <w:top w:val="single" w:sz="4" w:space="0" w:color="auto"/>
              <w:left w:val="nil"/>
              <w:bottom w:val="single" w:sz="4" w:space="0" w:color="auto"/>
              <w:right w:val="nil"/>
            </w:tcBorders>
            <w:shd w:val="clear" w:color="auto" w:fill="auto"/>
            <w:vAlign w:val="center"/>
            <w:hideMark/>
          </w:tcPr>
          <w:p w14:paraId="1EA1A9CA"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 </w:t>
            </w:r>
          </w:p>
        </w:tc>
        <w:tc>
          <w:tcPr>
            <w:tcW w:w="960" w:type="dxa"/>
            <w:tcBorders>
              <w:top w:val="single" w:sz="4" w:space="0" w:color="auto"/>
              <w:left w:val="nil"/>
              <w:bottom w:val="single" w:sz="4" w:space="0" w:color="auto"/>
              <w:right w:val="nil"/>
            </w:tcBorders>
            <w:shd w:val="clear" w:color="auto" w:fill="auto"/>
            <w:vAlign w:val="center"/>
            <w:hideMark/>
          </w:tcPr>
          <w:p w14:paraId="3AFB6248"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297</w:t>
            </w:r>
          </w:p>
        </w:tc>
        <w:tc>
          <w:tcPr>
            <w:tcW w:w="1460" w:type="dxa"/>
            <w:tcBorders>
              <w:top w:val="single" w:sz="4" w:space="0" w:color="auto"/>
              <w:left w:val="nil"/>
              <w:bottom w:val="single" w:sz="4" w:space="0" w:color="auto"/>
              <w:right w:val="nil"/>
            </w:tcBorders>
            <w:shd w:val="clear" w:color="auto" w:fill="auto"/>
            <w:vAlign w:val="center"/>
            <w:hideMark/>
          </w:tcPr>
          <w:p w14:paraId="58F62AF6" w14:textId="77777777" w:rsidR="005D12C4" w:rsidRPr="005D12C4" w:rsidRDefault="005D12C4" w:rsidP="005D12C4">
            <w:pPr>
              <w:spacing w:after="0" w:line="240" w:lineRule="auto"/>
              <w:rPr>
                <w:rFonts w:ascii="Times New Roman" w:eastAsia="Times New Roman" w:hAnsi="Times New Roman" w:cs="Times New Roman"/>
                <w:b/>
                <w:bCs/>
                <w:color w:val="222222"/>
                <w:sz w:val="20"/>
                <w:szCs w:val="18"/>
              </w:rPr>
            </w:pPr>
            <w:r w:rsidRPr="005D12C4">
              <w:rPr>
                <w:rFonts w:ascii="Times New Roman" w:eastAsia="Times New Roman" w:hAnsi="Times New Roman" w:cs="Times New Roman"/>
                <w:b/>
                <w:bCs/>
                <w:color w:val="222222"/>
                <w:sz w:val="20"/>
                <w:szCs w:val="18"/>
              </w:rPr>
              <w:t> </w:t>
            </w:r>
          </w:p>
        </w:tc>
      </w:tr>
    </w:tbl>
    <w:p w14:paraId="7A217094" w14:textId="77777777" w:rsidR="005D12C4" w:rsidRPr="005D12C4" w:rsidRDefault="005D12C4" w:rsidP="00FE1DDB">
      <w:pPr>
        <w:spacing w:after="0" w:line="240" w:lineRule="auto"/>
        <w:rPr>
          <w:rFonts w:ascii="Times New Roman" w:hAnsi="Times New Roman" w:cs="Times New Roman"/>
          <w:sz w:val="24"/>
          <w:szCs w:val="24"/>
        </w:rPr>
      </w:pPr>
    </w:p>
    <w:p w14:paraId="75AA5289" w14:textId="77777777" w:rsidR="004C78BE" w:rsidRPr="00FE1DDB" w:rsidRDefault="004C78BE" w:rsidP="00FE1DDB">
      <w:pPr>
        <w:spacing w:after="0" w:line="240" w:lineRule="auto"/>
        <w:jc w:val="both"/>
        <w:rPr>
          <w:rFonts w:ascii="Times New Roman" w:hAnsi="Times New Roman" w:cs="Times New Roman"/>
          <w:b/>
          <w:sz w:val="24"/>
          <w:szCs w:val="24"/>
        </w:rPr>
      </w:pPr>
    </w:p>
    <w:p w14:paraId="61D9AF94" w14:textId="6171E213" w:rsidR="00452ED9" w:rsidRPr="00FE1DDB" w:rsidRDefault="007A7FED" w:rsidP="00FE1DDB">
      <w:pPr>
        <w:pStyle w:val="Heading1"/>
        <w:rPr>
          <w:rFonts w:ascii="Times New Roman" w:hAnsi="Times New Roman" w:cs="Times New Roman"/>
          <w:b/>
          <w:sz w:val="24"/>
          <w:szCs w:val="24"/>
        </w:rPr>
      </w:pPr>
      <w:r w:rsidRPr="00FE1DDB">
        <w:rPr>
          <w:rFonts w:ascii="Times New Roman" w:hAnsi="Times New Roman" w:cs="Times New Roman"/>
          <w:b/>
          <w:sz w:val="24"/>
          <w:szCs w:val="24"/>
        </w:rPr>
        <w:t>Benthic Community</w:t>
      </w:r>
    </w:p>
    <w:p w14:paraId="68FAEBD6" w14:textId="77777777" w:rsidR="00452ED9" w:rsidRPr="00FE1DDB" w:rsidRDefault="00452ED9" w:rsidP="00FE1DDB">
      <w:pPr>
        <w:spacing w:after="0"/>
        <w:rPr>
          <w:rFonts w:ascii="Times New Roman" w:hAnsi="Times New Roman" w:cs="Times New Roman"/>
          <w:sz w:val="24"/>
          <w:szCs w:val="24"/>
        </w:rPr>
      </w:pPr>
    </w:p>
    <w:p w14:paraId="04D52B44" w14:textId="3838450E" w:rsidR="00B11D18" w:rsidRDefault="006C2E2C" w:rsidP="00FE1DDB">
      <w:pPr>
        <w:spacing w:after="0" w:line="240" w:lineRule="auto"/>
        <w:rPr>
          <w:rFonts w:ascii="Times New Roman" w:hAnsi="Times New Roman" w:cs="Times New Roman"/>
          <w:sz w:val="24"/>
          <w:szCs w:val="24"/>
        </w:rPr>
      </w:pPr>
      <w:r w:rsidRPr="00FE1DDB">
        <w:rPr>
          <w:rFonts w:ascii="Times New Roman" w:hAnsi="Times New Roman" w:cs="Times New Roman"/>
          <w:b/>
          <w:sz w:val="24"/>
          <w:szCs w:val="24"/>
        </w:rPr>
        <w:t>Benthic Community Characterizations:</w:t>
      </w:r>
      <w:r w:rsidRPr="00FE1DDB">
        <w:rPr>
          <w:rFonts w:ascii="Times New Roman" w:hAnsi="Times New Roman" w:cs="Times New Roman"/>
          <w:sz w:val="24"/>
          <w:szCs w:val="24"/>
        </w:rPr>
        <w:t xml:space="preserve"> </w:t>
      </w:r>
      <w:r w:rsidR="007A7FED" w:rsidRPr="00333DB5">
        <w:rPr>
          <w:rFonts w:ascii="Times New Roman" w:hAnsi="Times New Roman" w:cs="Times New Roman"/>
        </w:rPr>
        <w:t xml:space="preserve">A benthic index, </w:t>
      </w:r>
      <w:r w:rsidR="000E3D70" w:rsidRPr="00333DB5">
        <w:rPr>
          <w:rFonts w:ascii="Times New Roman" w:hAnsi="Times New Roman" w:cs="Times New Roman"/>
        </w:rPr>
        <w:t>certain types of which are</w:t>
      </w:r>
      <w:r w:rsidR="007A7FED" w:rsidRPr="00333DB5">
        <w:rPr>
          <w:rFonts w:ascii="Times New Roman" w:hAnsi="Times New Roman" w:cs="Times New Roman"/>
        </w:rPr>
        <w:t xml:space="preserve"> commonly referred to as a Benthic Index of Biological Integrity or B-IBI, is a scientific tool used to identify, classify, and interpret the structure and function of benthic communities, often in relation to environmental stressors such as water pollution. Such indices are generally derived from the results of local or regional benthic surveys, and are consequently geographically restricted in their application. There are </w:t>
      </w:r>
      <w:r w:rsidR="00A26E04">
        <w:rPr>
          <w:rFonts w:ascii="Times New Roman" w:hAnsi="Times New Roman" w:cs="Times New Roman"/>
        </w:rPr>
        <w:t>several</w:t>
      </w:r>
      <w:r w:rsidR="007A7FED" w:rsidRPr="00333DB5">
        <w:rPr>
          <w:rFonts w:ascii="Times New Roman" w:hAnsi="Times New Roman" w:cs="Times New Roman"/>
        </w:rPr>
        <w:t xml:space="preserve"> commonly applied regional benthic indices that are appropriate for use in Virginia’s estuarine waters, the Chesapeake Bay Program B-IBI (CBP B-IBI - Weisberg et al., 1997), the Mid-Atlantic B-IBI (MAIA B-IBI - Llansó et al., 2002a, 2002b) and the  EMAP Index of Estuarine Condition for the Virginian Biogeographic Province (EMAP VP-IEC – Paul et al., 2001).</w:t>
      </w:r>
      <w:r w:rsidR="00333DB5" w:rsidRPr="00333DB5">
        <w:rPr>
          <w:rFonts w:ascii="Times New Roman" w:hAnsi="Times New Roman" w:cs="Times New Roman"/>
        </w:rPr>
        <w:t xml:space="preserve"> A fourth benthic index, the US M-AMBI, has recently been adapted by EPA from a well-established European benthic i</w:t>
      </w:r>
      <w:r w:rsidR="00971F3D">
        <w:rPr>
          <w:rFonts w:ascii="Times New Roman" w:hAnsi="Times New Roman" w:cs="Times New Roman"/>
        </w:rPr>
        <w:t xml:space="preserve">ndex (Pelletier et al., 2018). </w:t>
      </w:r>
      <w:r w:rsidR="00333DB5" w:rsidRPr="00333DB5">
        <w:rPr>
          <w:rFonts w:ascii="Times New Roman" w:hAnsi="Times New Roman" w:cs="Times New Roman"/>
        </w:rPr>
        <w:t xml:space="preserve">It was first evaluated by DEQ for potential inclusion in future weight-of-evidence assessments in 2018. The US M-AMBI was eventually included as a fourth benthic index </w:t>
      </w:r>
      <w:r w:rsidR="00333DB5">
        <w:rPr>
          <w:rFonts w:ascii="Times New Roman" w:hAnsi="Times New Roman" w:cs="Times New Roman"/>
        </w:rPr>
        <w:t xml:space="preserve">assimilated into </w:t>
      </w:r>
      <w:r w:rsidR="00333DB5" w:rsidRPr="00333DB5">
        <w:rPr>
          <w:rFonts w:ascii="Times New Roman" w:hAnsi="Times New Roman" w:cs="Times New Roman"/>
        </w:rPr>
        <w:lastRenderedPageBreak/>
        <w:t>the 2019 and 2020 weight-of-evidence assessments</w:t>
      </w:r>
      <w:r w:rsidR="00333DB5" w:rsidRPr="00333DB5">
        <w:rPr>
          <w:rFonts w:ascii="Times New Roman" w:hAnsi="Times New Roman" w:cs="Times New Roman"/>
          <w:b/>
        </w:rPr>
        <w:t>.</w:t>
      </w:r>
      <w:r w:rsidR="00750A88">
        <w:rPr>
          <w:rFonts w:ascii="Times New Roman" w:hAnsi="Times New Roman" w:cs="Times New Roman"/>
          <w:sz w:val="24"/>
          <w:szCs w:val="24"/>
        </w:rPr>
        <w:t xml:space="preserve"> </w:t>
      </w:r>
      <w:r w:rsidR="00B11D18" w:rsidRPr="00FE1DDB">
        <w:rPr>
          <w:rFonts w:ascii="Times New Roman" w:hAnsi="Times New Roman" w:cs="Times New Roman"/>
          <w:sz w:val="24"/>
          <w:szCs w:val="24"/>
        </w:rPr>
        <w:t xml:space="preserve">Each of the benthic indices currently employed has its own published scale of values and thresholds for benthic characterizations. </w:t>
      </w:r>
      <w:r w:rsidR="00750A88">
        <w:rPr>
          <w:rFonts w:ascii="Times New Roman" w:hAnsi="Times New Roman" w:cs="Times New Roman"/>
          <w:sz w:val="24"/>
          <w:szCs w:val="24"/>
        </w:rPr>
        <w:t xml:space="preserve">DEQ uses slightly modified scales of threshold values </w:t>
      </w:r>
      <w:r w:rsidR="00837A14">
        <w:rPr>
          <w:rFonts w:ascii="Times New Roman" w:hAnsi="Times New Roman" w:cs="Times New Roman"/>
          <w:sz w:val="24"/>
          <w:szCs w:val="24"/>
        </w:rPr>
        <w:t>for</w:t>
      </w:r>
      <w:r w:rsidR="00750A88">
        <w:rPr>
          <w:rFonts w:ascii="Times New Roman" w:hAnsi="Times New Roman" w:cs="Times New Roman"/>
          <w:sz w:val="24"/>
          <w:szCs w:val="24"/>
        </w:rPr>
        <w:t xml:space="preserve"> MAIA, EMAP and M-AMBI indices in order to better delineate between “Poor” and “Very Poor”, and to make comparisons between all indices more uniform. Modified threshold values were guided by summary statistics (e.g. percentiles, minimums, and maximums) using a decade of historic data at over 600 sites. The threshold values and scores for each benthic index applied during this </w:t>
      </w:r>
      <w:r w:rsidR="00696754">
        <w:rPr>
          <w:rFonts w:ascii="Times New Roman" w:hAnsi="Times New Roman" w:cs="Times New Roman"/>
          <w:sz w:val="24"/>
          <w:szCs w:val="24"/>
        </w:rPr>
        <w:t>assessment is below Table 4.5-</w:t>
      </w:r>
      <w:r w:rsidR="008B0194">
        <w:rPr>
          <w:rFonts w:ascii="Times New Roman" w:hAnsi="Times New Roman" w:cs="Times New Roman"/>
          <w:sz w:val="24"/>
          <w:szCs w:val="24"/>
        </w:rPr>
        <w:t>21</w:t>
      </w:r>
      <w:r w:rsidR="00750A88">
        <w:rPr>
          <w:rFonts w:ascii="Times New Roman" w:hAnsi="Times New Roman" w:cs="Times New Roman"/>
          <w:sz w:val="24"/>
          <w:szCs w:val="24"/>
        </w:rPr>
        <w:t xml:space="preserve">. </w:t>
      </w:r>
    </w:p>
    <w:p w14:paraId="374CA12B" w14:textId="67C83399" w:rsidR="00333DB5" w:rsidRDefault="00333DB5" w:rsidP="00FE1DDB">
      <w:pPr>
        <w:spacing w:after="0" w:line="240" w:lineRule="auto"/>
        <w:rPr>
          <w:rFonts w:ascii="Times New Roman" w:hAnsi="Times New Roman" w:cs="Times New Roman"/>
          <w:sz w:val="24"/>
          <w:szCs w:val="24"/>
        </w:rPr>
      </w:pPr>
    </w:p>
    <w:p w14:paraId="2737EDC9" w14:textId="1F2A6F3E" w:rsidR="00750A88" w:rsidRDefault="00750A88" w:rsidP="00750A88">
      <w:pPr>
        <w:pStyle w:val="Caption"/>
        <w:keepNext/>
      </w:pPr>
      <w:r w:rsidRPr="00750A88">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21</w:t>
      </w:r>
      <w:r w:rsidRPr="00750A88">
        <w:rPr>
          <w:rFonts w:ascii="Times New Roman" w:hAnsi="Times New Roman" w:cs="Times New Roman"/>
          <w:i w:val="0"/>
          <w:color w:val="000000" w:themeColor="text1"/>
          <w:sz w:val="20"/>
        </w:rPr>
        <w:t xml:space="preserve"> Modified values of each benthic index compared to the original</w:t>
      </w:r>
      <w:r>
        <w:rPr>
          <w:rFonts w:ascii="Times New Roman" w:hAnsi="Times New Roman" w:cs="Times New Roman"/>
          <w:i w:val="0"/>
          <w:color w:val="000000" w:themeColor="text1"/>
          <w:sz w:val="20"/>
        </w:rPr>
        <w:t>ly published scale</w:t>
      </w:r>
      <w:r w:rsidRPr="00750A88">
        <w:rPr>
          <w:rFonts w:ascii="Times New Roman" w:hAnsi="Times New Roman" w:cs="Times New Roman"/>
          <w:i w:val="0"/>
          <w:color w:val="000000" w:themeColor="text1"/>
          <w:sz w:val="20"/>
        </w:rPr>
        <w:t xml:space="preserve"> values</w:t>
      </w:r>
      <w:r>
        <w:t>.</w:t>
      </w:r>
    </w:p>
    <w:tbl>
      <w:tblPr>
        <w:tblW w:w="8910" w:type="dxa"/>
        <w:tblLook w:val="04A0" w:firstRow="1" w:lastRow="0" w:firstColumn="1" w:lastColumn="0" w:noHBand="0" w:noVBand="1"/>
        <w:tblCaption w:val="Table 4.5- 20 Modified values of each benthic index compared to the originally published scale values."/>
        <w:tblDescription w:val="Table 4.5- 20 Modified values of each benthic index compared to the originally published scale values."/>
      </w:tblPr>
      <w:tblGrid>
        <w:gridCol w:w="1140"/>
        <w:gridCol w:w="1680"/>
        <w:gridCol w:w="1400"/>
        <w:gridCol w:w="1400"/>
        <w:gridCol w:w="1580"/>
        <w:gridCol w:w="1710"/>
      </w:tblGrid>
      <w:tr w:rsidR="00333DB5" w:rsidRPr="00333DB5" w14:paraId="1BB12A3C" w14:textId="77777777" w:rsidTr="00867F1E">
        <w:trPr>
          <w:trHeight w:val="300"/>
        </w:trPr>
        <w:tc>
          <w:tcPr>
            <w:tcW w:w="1140" w:type="dxa"/>
            <w:tcBorders>
              <w:top w:val="nil"/>
              <w:left w:val="nil"/>
              <w:bottom w:val="single" w:sz="4" w:space="0" w:color="auto"/>
              <w:right w:val="nil"/>
            </w:tcBorders>
            <w:shd w:val="clear" w:color="auto" w:fill="auto"/>
            <w:vAlign w:val="center"/>
            <w:hideMark/>
          </w:tcPr>
          <w:p w14:paraId="0226A3D3" w14:textId="77777777" w:rsidR="00333DB5" w:rsidRPr="00333DB5" w:rsidRDefault="00333DB5" w:rsidP="00333DB5">
            <w:pPr>
              <w:spacing w:after="0" w:line="240" w:lineRule="auto"/>
              <w:jc w:val="center"/>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Index Values</w:t>
            </w:r>
          </w:p>
        </w:tc>
        <w:tc>
          <w:tcPr>
            <w:tcW w:w="1680" w:type="dxa"/>
            <w:tcBorders>
              <w:top w:val="nil"/>
              <w:left w:val="nil"/>
              <w:bottom w:val="single" w:sz="4" w:space="0" w:color="auto"/>
              <w:right w:val="nil"/>
            </w:tcBorders>
            <w:shd w:val="clear" w:color="auto" w:fill="auto"/>
            <w:vAlign w:val="center"/>
            <w:hideMark/>
          </w:tcPr>
          <w:p w14:paraId="1F6784C9" w14:textId="77777777" w:rsidR="00333DB5" w:rsidRPr="00333DB5" w:rsidRDefault="00333DB5" w:rsidP="00333DB5">
            <w:pPr>
              <w:spacing w:after="0" w:line="240" w:lineRule="auto"/>
              <w:jc w:val="center"/>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Benthic Index Score</w:t>
            </w:r>
          </w:p>
        </w:tc>
        <w:tc>
          <w:tcPr>
            <w:tcW w:w="1400" w:type="dxa"/>
            <w:tcBorders>
              <w:top w:val="nil"/>
              <w:left w:val="nil"/>
              <w:bottom w:val="single" w:sz="4" w:space="0" w:color="auto"/>
              <w:right w:val="nil"/>
            </w:tcBorders>
            <w:shd w:val="clear" w:color="auto" w:fill="auto"/>
            <w:vAlign w:val="center"/>
            <w:hideMark/>
          </w:tcPr>
          <w:p w14:paraId="615DD029" w14:textId="77777777" w:rsidR="00333DB5" w:rsidRPr="00333DB5" w:rsidRDefault="00333DB5" w:rsidP="00333DB5">
            <w:pPr>
              <w:spacing w:after="0" w:line="240" w:lineRule="auto"/>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CBP B-IBI</w:t>
            </w:r>
          </w:p>
        </w:tc>
        <w:tc>
          <w:tcPr>
            <w:tcW w:w="1400" w:type="dxa"/>
            <w:tcBorders>
              <w:top w:val="nil"/>
              <w:left w:val="nil"/>
              <w:bottom w:val="single" w:sz="4" w:space="0" w:color="auto"/>
              <w:right w:val="nil"/>
            </w:tcBorders>
            <w:shd w:val="clear" w:color="auto" w:fill="auto"/>
            <w:vAlign w:val="center"/>
            <w:hideMark/>
          </w:tcPr>
          <w:p w14:paraId="6707AE20" w14:textId="77777777" w:rsidR="00333DB5" w:rsidRPr="00333DB5" w:rsidRDefault="00333DB5" w:rsidP="00333DB5">
            <w:pPr>
              <w:spacing w:after="0" w:line="240" w:lineRule="auto"/>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MAIA B-IBI</w:t>
            </w:r>
          </w:p>
        </w:tc>
        <w:tc>
          <w:tcPr>
            <w:tcW w:w="1580" w:type="dxa"/>
            <w:tcBorders>
              <w:top w:val="nil"/>
              <w:left w:val="nil"/>
              <w:bottom w:val="single" w:sz="4" w:space="0" w:color="auto"/>
              <w:right w:val="nil"/>
            </w:tcBorders>
            <w:shd w:val="clear" w:color="auto" w:fill="auto"/>
            <w:vAlign w:val="center"/>
            <w:hideMark/>
          </w:tcPr>
          <w:p w14:paraId="2CAFFDC8" w14:textId="77777777" w:rsidR="00333DB5" w:rsidRPr="00333DB5" w:rsidRDefault="00333DB5" w:rsidP="00333DB5">
            <w:pPr>
              <w:spacing w:after="0" w:line="240" w:lineRule="auto"/>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EMAP VP-IEC</w:t>
            </w:r>
          </w:p>
        </w:tc>
        <w:tc>
          <w:tcPr>
            <w:tcW w:w="1710" w:type="dxa"/>
            <w:tcBorders>
              <w:top w:val="nil"/>
              <w:left w:val="nil"/>
              <w:bottom w:val="single" w:sz="4" w:space="0" w:color="auto"/>
              <w:right w:val="nil"/>
            </w:tcBorders>
            <w:shd w:val="clear" w:color="auto" w:fill="auto"/>
            <w:noWrap/>
            <w:vAlign w:val="center"/>
            <w:hideMark/>
          </w:tcPr>
          <w:p w14:paraId="76A7BAAB" w14:textId="77777777" w:rsidR="00333DB5" w:rsidRPr="00333DB5" w:rsidRDefault="00333DB5" w:rsidP="00333DB5">
            <w:pPr>
              <w:spacing w:after="0" w:line="240" w:lineRule="auto"/>
              <w:rPr>
                <w:rFonts w:ascii="Times New Roman" w:eastAsia="Times New Roman" w:hAnsi="Times New Roman" w:cs="Times New Roman"/>
                <w:b/>
                <w:bCs/>
                <w:color w:val="000000"/>
                <w:sz w:val="18"/>
                <w:szCs w:val="18"/>
              </w:rPr>
            </w:pPr>
            <w:r w:rsidRPr="00333DB5">
              <w:rPr>
                <w:rFonts w:ascii="Times New Roman" w:eastAsia="Times New Roman" w:hAnsi="Times New Roman" w:cs="Times New Roman"/>
                <w:b/>
                <w:bCs/>
                <w:color w:val="000000"/>
                <w:sz w:val="18"/>
                <w:szCs w:val="18"/>
              </w:rPr>
              <w:t>M-AMBI</w:t>
            </w:r>
          </w:p>
        </w:tc>
      </w:tr>
      <w:tr w:rsidR="00333DB5" w:rsidRPr="00333DB5" w14:paraId="203D4649" w14:textId="77777777" w:rsidTr="00867F1E">
        <w:trPr>
          <w:trHeight w:val="300"/>
        </w:trPr>
        <w:tc>
          <w:tcPr>
            <w:tcW w:w="1140" w:type="dxa"/>
            <w:vMerge w:val="restart"/>
            <w:tcBorders>
              <w:top w:val="nil"/>
              <w:left w:val="nil"/>
              <w:bottom w:val="double" w:sz="6" w:space="0" w:color="000000"/>
              <w:right w:val="nil"/>
            </w:tcBorders>
            <w:shd w:val="clear" w:color="auto" w:fill="auto"/>
            <w:noWrap/>
            <w:vAlign w:val="center"/>
            <w:hideMark/>
          </w:tcPr>
          <w:p w14:paraId="76ADF9DD" w14:textId="77777777" w:rsidR="00333DB5" w:rsidRPr="00333DB5" w:rsidRDefault="00333DB5" w:rsidP="00333DB5">
            <w:pPr>
              <w:spacing w:after="0" w:line="240" w:lineRule="auto"/>
              <w:jc w:val="center"/>
              <w:rPr>
                <w:rFonts w:ascii="Times New Roman" w:eastAsia="Times New Roman" w:hAnsi="Times New Roman" w:cs="Times New Roman"/>
                <w:color w:val="000000"/>
                <w:sz w:val="20"/>
                <w:szCs w:val="20"/>
              </w:rPr>
            </w:pPr>
            <w:r w:rsidRPr="00333DB5">
              <w:rPr>
                <w:rFonts w:ascii="Times New Roman" w:eastAsia="Times New Roman" w:hAnsi="Times New Roman" w:cs="Times New Roman"/>
                <w:color w:val="000000"/>
                <w:sz w:val="20"/>
                <w:szCs w:val="20"/>
              </w:rPr>
              <w:t>Modified</w:t>
            </w:r>
          </w:p>
        </w:tc>
        <w:tc>
          <w:tcPr>
            <w:tcW w:w="1680" w:type="dxa"/>
            <w:tcBorders>
              <w:top w:val="nil"/>
              <w:left w:val="nil"/>
              <w:bottom w:val="nil"/>
              <w:right w:val="nil"/>
            </w:tcBorders>
            <w:shd w:val="clear" w:color="auto" w:fill="auto"/>
            <w:noWrap/>
            <w:vAlign w:val="center"/>
            <w:hideMark/>
          </w:tcPr>
          <w:p w14:paraId="0B578AB9" w14:textId="77777777"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Good</w:t>
            </w:r>
          </w:p>
        </w:tc>
        <w:tc>
          <w:tcPr>
            <w:tcW w:w="1400" w:type="dxa"/>
            <w:tcBorders>
              <w:top w:val="nil"/>
              <w:left w:val="nil"/>
              <w:bottom w:val="nil"/>
              <w:right w:val="nil"/>
            </w:tcBorders>
            <w:shd w:val="clear" w:color="auto" w:fill="auto"/>
            <w:vAlign w:val="bottom"/>
            <w:hideMark/>
          </w:tcPr>
          <w:p w14:paraId="3871A35D"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3.0</w:t>
            </w:r>
          </w:p>
        </w:tc>
        <w:tc>
          <w:tcPr>
            <w:tcW w:w="1400" w:type="dxa"/>
            <w:tcBorders>
              <w:top w:val="nil"/>
              <w:left w:val="nil"/>
              <w:bottom w:val="nil"/>
              <w:right w:val="nil"/>
            </w:tcBorders>
            <w:shd w:val="clear" w:color="auto" w:fill="auto"/>
            <w:vAlign w:val="bottom"/>
            <w:hideMark/>
          </w:tcPr>
          <w:p w14:paraId="7A94FD8D"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3.0</w:t>
            </w:r>
          </w:p>
        </w:tc>
        <w:tc>
          <w:tcPr>
            <w:tcW w:w="1580" w:type="dxa"/>
            <w:tcBorders>
              <w:top w:val="nil"/>
              <w:left w:val="nil"/>
              <w:bottom w:val="nil"/>
              <w:right w:val="nil"/>
            </w:tcBorders>
            <w:shd w:val="clear" w:color="auto" w:fill="auto"/>
            <w:vAlign w:val="bottom"/>
            <w:hideMark/>
          </w:tcPr>
          <w:p w14:paraId="40CFF119"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&gt; 0.1</w:t>
            </w:r>
          </w:p>
        </w:tc>
        <w:tc>
          <w:tcPr>
            <w:tcW w:w="1710" w:type="dxa"/>
            <w:tcBorders>
              <w:top w:val="nil"/>
              <w:left w:val="nil"/>
              <w:bottom w:val="nil"/>
              <w:right w:val="nil"/>
            </w:tcBorders>
            <w:shd w:val="clear" w:color="auto" w:fill="auto"/>
            <w:noWrap/>
            <w:vAlign w:val="bottom"/>
            <w:hideMark/>
          </w:tcPr>
          <w:p w14:paraId="0461350F" w14:textId="77777777" w:rsidR="00333DB5" w:rsidRPr="00333DB5" w:rsidRDefault="00333DB5" w:rsidP="00333DB5">
            <w:pPr>
              <w:spacing w:after="0" w:line="240" w:lineRule="auto"/>
              <w:rPr>
                <w:rFonts w:ascii="Times New Roman" w:eastAsia="Times New Roman" w:hAnsi="Times New Roman" w:cs="Times New Roman"/>
                <w:sz w:val="18"/>
                <w:szCs w:val="18"/>
              </w:rPr>
            </w:pPr>
            <w:r w:rsidRPr="00333DB5">
              <w:rPr>
                <w:rFonts w:ascii="Times New Roman" w:eastAsia="Times New Roman" w:hAnsi="Times New Roman" w:cs="Times New Roman"/>
                <w:sz w:val="18"/>
                <w:szCs w:val="18"/>
              </w:rPr>
              <w:t>≥ 0.53</w:t>
            </w:r>
          </w:p>
        </w:tc>
      </w:tr>
      <w:tr w:rsidR="00333DB5" w:rsidRPr="00333DB5" w14:paraId="237C1102" w14:textId="77777777" w:rsidTr="00867F1E">
        <w:trPr>
          <w:trHeight w:val="300"/>
        </w:trPr>
        <w:tc>
          <w:tcPr>
            <w:tcW w:w="1140" w:type="dxa"/>
            <w:vMerge/>
            <w:tcBorders>
              <w:top w:val="nil"/>
              <w:left w:val="nil"/>
              <w:bottom w:val="double" w:sz="6" w:space="0" w:color="000000"/>
              <w:right w:val="nil"/>
            </w:tcBorders>
            <w:vAlign w:val="center"/>
            <w:hideMark/>
          </w:tcPr>
          <w:p w14:paraId="69BE1D15" w14:textId="77777777" w:rsidR="00333DB5" w:rsidRPr="00333DB5" w:rsidRDefault="00333DB5" w:rsidP="00333DB5">
            <w:pPr>
              <w:spacing w:after="0" w:line="240" w:lineRule="auto"/>
              <w:jc w:val="center"/>
              <w:rPr>
                <w:rFonts w:ascii="Times New Roman" w:eastAsia="Times New Roman" w:hAnsi="Times New Roman" w:cs="Times New Roman"/>
                <w:color w:val="000000"/>
                <w:sz w:val="20"/>
                <w:szCs w:val="20"/>
              </w:rPr>
            </w:pPr>
          </w:p>
        </w:tc>
        <w:tc>
          <w:tcPr>
            <w:tcW w:w="1680" w:type="dxa"/>
            <w:tcBorders>
              <w:top w:val="nil"/>
              <w:left w:val="nil"/>
              <w:bottom w:val="nil"/>
              <w:right w:val="nil"/>
            </w:tcBorders>
            <w:shd w:val="clear" w:color="auto" w:fill="auto"/>
            <w:noWrap/>
            <w:vAlign w:val="center"/>
            <w:hideMark/>
          </w:tcPr>
          <w:p w14:paraId="3D6EA22B" w14:textId="4BE61A94"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Fair</w:t>
            </w:r>
          </w:p>
        </w:tc>
        <w:tc>
          <w:tcPr>
            <w:tcW w:w="1400" w:type="dxa"/>
            <w:tcBorders>
              <w:top w:val="nil"/>
              <w:left w:val="nil"/>
              <w:bottom w:val="nil"/>
              <w:right w:val="nil"/>
            </w:tcBorders>
            <w:shd w:val="clear" w:color="auto" w:fill="auto"/>
            <w:vAlign w:val="bottom"/>
            <w:hideMark/>
          </w:tcPr>
          <w:p w14:paraId="585028E8"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2.7 to 2.9</w:t>
            </w:r>
          </w:p>
        </w:tc>
        <w:tc>
          <w:tcPr>
            <w:tcW w:w="1400" w:type="dxa"/>
            <w:tcBorders>
              <w:top w:val="nil"/>
              <w:left w:val="nil"/>
              <w:bottom w:val="nil"/>
              <w:right w:val="nil"/>
            </w:tcBorders>
            <w:shd w:val="clear" w:color="auto" w:fill="auto"/>
            <w:vAlign w:val="bottom"/>
            <w:hideMark/>
          </w:tcPr>
          <w:p w14:paraId="163E2B98"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2.7 to 2.9</w:t>
            </w:r>
          </w:p>
        </w:tc>
        <w:tc>
          <w:tcPr>
            <w:tcW w:w="1580" w:type="dxa"/>
            <w:tcBorders>
              <w:top w:val="nil"/>
              <w:left w:val="nil"/>
              <w:bottom w:val="nil"/>
              <w:right w:val="nil"/>
            </w:tcBorders>
            <w:shd w:val="clear" w:color="auto" w:fill="auto"/>
            <w:vAlign w:val="bottom"/>
            <w:hideMark/>
          </w:tcPr>
          <w:p w14:paraId="6A1B1B7E"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0.1 to -0.1</w:t>
            </w:r>
          </w:p>
        </w:tc>
        <w:tc>
          <w:tcPr>
            <w:tcW w:w="1710" w:type="dxa"/>
            <w:tcBorders>
              <w:top w:val="nil"/>
              <w:left w:val="nil"/>
              <w:bottom w:val="nil"/>
              <w:right w:val="nil"/>
            </w:tcBorders>
            <w:shd w:val="clear" w:color="auto" w:fill="auto"/>
            <w:noWrap/>
            <w:vAlign w:val="bottom"/>
            <w:hideMark/>
          </w:tcPr>
          <w:p w14:paraId="2CFA903C" w14:textId="77777777" w:rsidR="00333DB5" w:rsidRPr="00333DB5" w:rsidRDefault="00333DB5" w:rsidP="00333DB5">
            <w:pPr>
              <w:spacing w:after="0" w:line="240" w:lineRule="auto"/>
              <w:rPr>
                <w:rFonts w:ascii="Times New Roman" w:eastAsia="Times New Roman" w:hAnsi="Times New Roman" w:cs="Times New Roman"/>
                <w:sz w:val="18"/>
                <w:szCs w:val="18"/>
              </w:rPr>
            </w:pPr>
            <w:r w:rsidRPr="00333DB5">
              <w:rPr>
                <w:rFonts w:ascii="Times New Roman" w:eastAsia="Times New Roman" w:hAnsi="Times New Roman" w:cs="Times New Roman"/>
                <w:sz w:val="18"/>
                <w:szCs w:val="18"/>
              </w:rPr>
              <w:t>&gt; 0.39 and &lt; 0.53</w:t>
            </w:r>
          </w:p>
        </w:tc>
      </w:tr>
      <w:tr w:rsidR="00333DB5" w:rsidRPr="00333DB5" w14:paraId="61A325E3" w14:textId="77777777" w:rsidTr="00867F1E">
        <w:trPr>
          <w:trHeight w:val="300"/>
        </w:trPr>
        <w:tc>
          <w:tcPr>
            <w:tcW w:w="1140" w:type="dxa"/>
            <w:vMerge/>
            <w:tcBorders>
              <w:top w:val="nil"/>
              <w:left w:val="nil"/>
              <w:bottom w:val="double" w:sz="6" w:space="0" w:color="000000"/>
              <w:right w:val="nil"/>
            </w:tcBorders>
            <w:vAlign w:val="center"/>
            <w:hideMark/>
          </w:tcPr>
          <w:p w14:paraId="69A550F1" w14:textId="77777777" w:rsidR="00333DB5" w:rsidRPr="00333DB5" w:rsidRDefault="00333DB5" w:rsidP="00333DB5">
            <w:pPr>
              <w:spacing w:after="0" w:line="240" w:lineRule="auto"/>
              <w:jc w:val="center"/>
              <w:rPr>
                <w:rFonts w:ascii="Times New Roman" w:eastAsia="Times New Roman" w:hAnsi="Times New Roman" w:cs="Times New Roman"/>
                <w:color w:val="000000"/>
                <w:sz w:val="20"/>
                <w:szCs w:val="20"/>
              </w:rPr>
            </w:pPr>
          </w:p>
        </w:tc>
        <w:tc>
          <w:tcPr>
            <w:tcW w:w="1680" w:type="dxa"/>
            <w:tcBorders>
              <w:top w:val="nil"/>
              <w:left w:val="nil"/>
              <w:bottom w:val="nil"/>
              <w:right w:val="nil"/>
            </w:tcBorders>
            <w:shd w:val="clear" w:color="auto" w:fill="auto"/>
            <w:noWrap/>
            <w:vAlign w:val="center"/>
            <w:hideMark/>
          </w:tcPr>
          <w:p w14:paraId="061F17E1" w14:textId="55968418"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Poor</w:t>
            </w:r>
          </w:p>
        </w:tc>
        <w:tc>
          <w:tcPr>
            <w:tcW w:w="1400" w:type="dxa"/>
            <w:tcBorders>
              <w:top w:val="nil"/>
              <w:left w:val="nil"/>
              <w:bottom w:val="nil"/>
              <w:right w:val="nil"/>
            </w:tcBorders>
            <w:shd w:val="clear" w:color="auto" w:fill="auto"/>
            <w:vAlign w:val="bottom"/>
            <w:hideMark/>
          </w:tcPr>
          <w:p w14:paraId="71E3BC8C"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2.1 to 2.6</w:t>
            </w:r>
          </w:p>
        </w:tc>
        <w:tc>
          <w:tcPr>
            <w:tcW w:w="1400" w:type="dxa"/>
            <w:tcBorders>
              <w:top w:val="nil"/>
              <w:left w:val="nil"/>
              <w:bottom w:val="nil"/>
              <w:right w:val="nil"/>
            </w:tcBorders>
            <w:shd w:val="clear" w:color="auto" w:fill="auto"/>
            <w:vAlign w:val="bottom"/>
            <w:hideMark/>
          </w:tcPr>
          <w:p w14:paraId="48C52E56"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2.1 to 2.6</w:t>
            </w:r>
          </w:p>
        </w:tc>
        <w:tc>
          <w:tcPr>
            <w:tcW w:w="1580" w:type="dxa"/>
            <w:tcBorders>
              <w:top w:val="nil"/>
              <w:left w:val="nil"/>
              <w:bottom w:val="nil"/>
              <w:right w:val="nil"/>
            </w:tcBorders>
            <w:shd w:val="clear" w:color="auto" w:fill="auto"/>
            <w:vAlign w:val="bottom"/>
            <w:hideMark/>
          </w:tcPr>
          <w:p w14:paraId="4F8F6D3C"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xml:space="preserve">&lt; -0.1 to -1.0 </w:t>
            </w:r>
          </w:p>
        </w:tc>
        <w:tc>
          <w:tcPr>
            <w:tcW w:w="1710" w:type="dxa"/>
            <w:tcBorders>
              <w:top w:val="nil"/>
              <w:left w:val="nil"/>
              <w:bottom w:val="nil"/>
              <w:right w:val="nil"/>
            </w:tcBorders>
            <w:shd w:val="clear" w:color="auto" w:fill="auto"/>
            <w:noWrap/>
            <w:vAlign w:val="bottom"/>
            <w:hideMark/>
          </w:tcPr>
          <w:p w14:paraId="4C5E8863" w14:textId="77777777" w:rsidR="00333DB5" w:rsidRPr="00333DB5" w:rsidRDefault="00333DB5" w:rsidP="00333DB5">
            <w:pPr>
              <w:spacing w:after="0" w:line="240" w:lineRule="auto"/>
              <w:rPr>
                <w:rFonts w:ascii="Times New Roman" w:eastAsia="Times New Roman" w:hAnsi="Times New Roman" w:cs="Times New Roman"/>
                <w:sz w:val="18"/>
                <w:szCs w:val="18"/>
              </w:rPr>
            </w:pPr>
            <w:r w:rsidRPr="00333DB5">
              <w:rPr>
                <w:rFonts w:ascii="Times New Roman" w:eastAsia="Times New Roman" w:hAnsi="Times New Roman" w:cs="Times New Roman"/>
                <w:sz w:val="18"/>
                <w:szCs w:val="18"/>
              </w:rPr>
              <w:t>0.20 to 0.39</w:t>
            </w:r>
          </w:p>
        </w:tc>
      </w:tr>
      <w:tr w:rsidR="00333DB5" w:rsidRPr="00333DB5" w14:paraId="352CB0D9" w14:textId="77777777" w:rsidTr="00867F1E">
        <w:trPr>
          <w:trHeight w:val="315"/>
        </w:trPr>
        <w:tc>
          <w:tcPr>
            <w:tcW w:w="1140" w:type="dxa"/>
            <w:vMerge/>
            <w:tcBorders>
              <w:top w:val="nil"/>
              <w:left w:val="nil"/>
              <w:bottom w:val="double" w:sz="6" w:space="0" w:color="000000"/>
              <w:right w:val="nil"/>
            </w:tcBorders>
            <w:vAlign w:val="center"/>
            <w:hideMark/>
          </w:tcPr>
          <w:p w14:paraId="4AF17332" w14:textId="77777777" w:rsidR="00333DB5" w:rsidRPr="00333DB5" w:rsidRDefault="00333DB5" w:rsidP="00333DB5">
            <w:pPr>
              <w:spacing w:after="0" w:line="240" w:lineRule="auto"/>
              <w:jc w:val="center"/>
              <w:rPr>
                <w:rFonts w:ascii="Times New Roman" w:eastAsia="Times New Roman" w:hAnsi="Times New Roman" w:cs="Times New Roman"/>
                <w:color w:val="000000"/>
                <w:sz w:val="20"/>
                <w:szCs w:val="20"/>
              </w:rPr>
            </w:pPr>
          </w:p>
        </w:tc>
        <w:tc>
          <w:tcPr>
            <w:tcW w:w="1680" w:type="dxa"/>
            <w:tcBorders>
              <w:top w:val="nil"/>
              <w:left w:val="nil"/>
              <w:bottom w:val="double" w:sz="6" w:space="0" w:color="auto"/>
              <w:right w:val="nil"/>
            </w:tcBorders>
            <w:shd w:val="clear" w:color="auto" w:fill="auto"/>
            <w:noWrap/>
            <w:vAlign w:val="center"/>
            <w:hideMark/>
          </w:tcPr>
          <w:p w14:paraId="2BDD1710" w14:textId="0A566EE1"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Very Poor</w:t>
            </w:r>
          </w:p>
        </w:tc>
        <w:tc>
          <w:tcPr>
            <w:tcW w:w="1400" w:type="dxa"/>
            <w:tcBorders>
              <w:top w:val="nil"/>
              <w:left w:val="nil"/>
              <w:bottom w:val="double" w:sz="6" w:space="0" w:color="auto"/>
              <w:right w:val="nil"/>
            </w:tcBorders>
            <w:shd w:val="clear" w:color="auto" w:fill="auto"/>
            <w:vAlign w:val="bottom"/>
            <w:hideMark/>
          </w:tcPr>
          <w:p w14:paraId="5BCA88BE"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2.0</w:t>
            </w:r>
          </w:p>
        </w:tc>
        <w:tc>
          <w:tcPr>
            <w:tcW w:w="1400" w:type="dxa"/>
            <w:tcBorders>
              <w:top w:val="nil"/>
              <w:left w:val="nil"/>
              <w:bottom w:val="double" w:sz="6" w:space="0" w:color="auto"/>
              <w:right w:val="nil"/>
            </w:tcBorders>
            <w:shd w:val="clear" w:color="auto" w:fill="auto"/>
            <w:vAlign w:val="bottom"/>
            <w:hideMark/>
          </w:tcPr>
          <w:p w14:paraId="03ECC941"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2.0</w:t>
            </w:r>
          </w:p>
        </w:tc>
        <w:tc>
          <w:tcPr>
            <w:tcW w:w="1580" w:type="dxa"/>
            <w:tcBorders>
              <w:top w:val="nil"/>
              <w:left w:val="nil"/>
              <w:bottom w:val="double" w:sz="6" w:space="0" w:color="auto"/>
              <w:right w:val="nil"/>
            </w:tcBorders>
            <w:shd w:val="clear" w:color="auto" w:fill="auto"/>
            <w:vAlign w:val="bottom"/>
            <w:hideMark/>
          </w:tcPr>
          <w:p w14:paraId="2DF16921"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&lt; -1.0</w:t>
            </w:r>
          </w:p>
        </w:tc>
        <w:tc>
          <w:tcPr>
            <w:tcW w:w="1710" w:type="dxa"/>
            <w:tcBorders>
              <w:top w:val="nil"/>
              <w:left w:val="nil"/>
              <w:bottom w:val="double" w:sz="6" w:space="0" w:color="auto"/>
              <w:right w:val="nil"/>
            </w:tcBorders>
            <w:shd w:val="clear" w:color="auto" w:fill="auto"/>
            <w:noWrap/>
            <w:vAlign w:val="bottom"/>
            <w:hideMark/>
          </w:tcPr>
          <w:p w14:paraId="215AD867" w14:textId="77777777" w:rsidR="00333DB5" w:rsidRPr="00333DB5" w:rsidRDefault="00333DB5" w:rsidP="00333DB5">
            <w:pPr>
              <w:spacing w:after="0" w:line="240" w:lineRule="auto"/>
              <w:rPr>
                <w:rFonts w:ascii="Times New Roman" w:eastAsia="Times New Roman" w:hAnsi="Times New Roman" w:cs="Times New Roman"/>
                <w:sz w:val="18"/>
                <w:szCs w:val="18"/>
              </w:rPr>
            </w:pPr>
            <w:r w:rsidRPr="00333DB5">
              <w:rPr>
                <w:rFonts w:ascii="Times New Roman" w:eastAsia="Times New Roman" w:hAnsi="Times New Roman" w:cs="Times New Roman"/>
                <w:sz w:val="18"/>
                <w:szCs w:val="18"/>
              </w:rPr>
              <w:t>&lt; 0.20</w:t>
            </w:r>
          </w:p>
        </w:tc>
      </w:tr>
      <w:tr w:rsidR="00333DB5" w:rsidRPr="00333DB5" w14:paraId="02D677AA" w14:textId="77777777" w:rsidTr="00867F1E">
        <w:trPr>
          <w:trHeight w:val="315"/>
        </w:trPr>
        <w:tc>
          <w:tcPr>
            <w:tcW w:w="1140" w:type="dxa"/>
            <w:vMerge w:val="restart"/>
            <w:tcBorders>
              <w:top w:val="nil"/>
              <w:left w:val="nil"/>
              <w:bottom w:val="single" w:sz="4" w:space="0" w:color="000000"/>
              <w:right w:val="nil"/>
            </w:tcBorders>
            <w:shd w:val="clear" w:color="auto" w:fill="auto"/>
            <w:noWrap/>
            <w:vAlign w:val="center"/>
            <w:hideMark/>
          </w:tcPr>
          <w:p w14:paraId="0E894EF9" w14:textId="77777777" w:rsidR="00333DB5" w:rsidRPr="00333DB5" w:rsidRDefault="00333DB5" w:rsidP="00333DB5">
            <w:pPr>
              <w:spacing w:after="0" w:line="240" w:lineRule="auto"/>
              <w:jc w:val="center"/>
              <w:rPr>
                <w:rFonts w:ascii="Times New Roman" w:eastAsia="Times New Roman" w:hAnsi="Times New Roman" w:cs="Times New Roman"/>
                <w:color w:val="000000"/>
                <w:sz w:val="20"/>
                <w:szCs w:val="20"/>
              </w:rPr>
            </w:pPr>
            <w:r w:rsidRPr="00333DB5">
              <w:rPr>
                <w:rFonts w:ascii="Times New Roman" w:eastAsia="Times New Roman" w:hAnsi="Times New Roman" w:cs="Times New Roman"/>
                <w:color w:val="000000"/>
                <w:sz w:val="20"/>
                <w:szCs w:val="20"/>
              </w:rPr>
              <w:t>Original</w:t>
            </w:r>
          </w:p>
        </w:tc>
        <w:tc>
          <w:tcPr>
            <w:tcW w:w="1680" w:type="dxa"/>
            <w:tcBorders>
              <w:top w:val="nil"/>
              <w:left w:val="nil"/>
              <w:bottom w:val="nil"/>
              <w:right w:val="nil"/>
            </w:tcBorders>
            <w:shd w:val="clear" w:color="auto" w:fill="auto"/>
            <w:noWrap/>
            <w:vAlign w:val="center"/>
            <w:hideMark/>
          </w:tcPr>
          <w:p w14:paraId="44A76DA4" w14:textId="77777777"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Good</w:t>
            </w:r>
          </w:p>
        </w:tc>
        <w:tc>
          <w:tcPr>
            <w:tcW w:w="1400" w:type="dxa"/>
            <w:tcBorders>
              <w:top w:val="nil"/>
              <w:left w:val="nil"/>
              <w:bottom w:val="nil"/>
              <w:right w:val="nil"/>
            </w:tcBorders>
            <w:shd w:val="clear" w:color="auto" w:fill="auto"/>
            <w:vAlign w:val="bottom"/>
            <w:hideMark/>
          </w:tcPr>
          <w:p w14:paraId="6625F57B"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3.0</w:t>
            </w:r>
          </w:p>
        </w:tc>
        <w:tc>
          <w:tcPr>
            <w:tcW w:w="1400" w:type="dxa"/>
            <w:tcBorders>
              <w:top w:val="nil"/>
              <w:left w:val="nil"/>
              <w:bottom w:val="nil"/>
              <w:right w:val="nil"/>
            </w:tcBorders>
            <w:shd w:val="clear" w:color="auto" w:fill="auto"/>
            <w:vAlign w:val="bottom"/>
            <w:hideMark/>
          </w:tcPr>
          <w:p w14:paraId="594765C5"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3.0</w:t>
            </w:r>
          </w:p>
        </w:tc>
        <w:tc>
          <w:tcPr>
            <w:tcW w:w="1580" w:type="dxa"/>
            <w:tcBorders>
              <w:top w:val="nil"/>
              <w:left w:val="nil"/>
              <w:bottom w:val="nil"/>
              <w:right w:val="nil"/>
            </w:tcBorders>
            <w:shd w:val="clear" w:color="auto" w:fill="auto"/>
            <w:vAlign w:val="bottom"/>
            <w:hideMark/>
          </w:tcPr>
          <w:p w14:paraId="23181A99"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&gt; 0.0</w:t>
            </w:r>
          </w:p>
        </w:tc>
        <w:tc>
          <w:tcPr>
            <w:tcW w:w="1710" w:type="dxa"/>
            <w:tcBorders>
              <w:top w:val="nil"/>
              <w:left w:val="nil"/>
              <w:bottom w:val="nil"/>
              <w:right w:val="nil"/>
            </w:tcBorders>
            <w:shd w:val="clear" w:color="auto" w:fill="auto"/>
            <w:noWrap/>
            <w:vAlign w:val="bottom"/>
            <w:hideMark/>
          </w:tcPr>
          <w:p w14:paraId="6EC125DD"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xml:space="preserve">≥ 0.53 </w:t>
            </w:r>
          </w:p>
        </w:tc>
      </w:tr>
      <w:tr w:rsidR="00333DB5" w:rsidRPr="00333DB5" w14:paraId="38062FE2" w14:textId="77777777" w:rsidTr="00867F1E">
        <w:trPr>
          <w:trHeight w:val="300"/>
        </w:trPr>
        <w:tc>
          <w:tcPr>
            <w:tcW w:w="1140" w:type="dxa"/>
            <w:vMerge/>
            <w:tcBorders>
              <w:top w:val="nil"/>
              <w:left w:val="nil"/>
              <w:bottom w:val="single" w:sz="4" w:space="0" w:color="000000"/>
              <w:right w:val="nil"/>
            </w:tcBorders>
            <w:vAlign w:val="center"/>
            <w:hideMark/>
          </w:tcPr>
          <w:p w14:paraId="78B96948" w14:textId="77777777" w:rsidR="00333DB5" w:rsidRPr="00333DB5" w:rsidRDefault="00333DB5" w:rsidP="00333DB5">
            <w:pPr>
              <w:spacing w:after="0" w:line="240" w:lineRule="auto"/>
              <w:rPr>
                <w:rFonts w:ascii="Times New Roman" w:eastAsia="Times New Roman" w:hAnsi="Times New Roman" w:cs="Times New Roman"/>
                <w:color w:val="000000"/>
                <w:sz w:val="20"/>
                <w:szCs w:val="20"/>
              </w:rPr>
            </w:pPr>
          </w:p>
        </w:tc>
        <w:tc>
          <w:tcPr>
            <w:tcW w:w="1680" w:type="dxa"/>
            <w:tcBorders>
              <w:top w:val="nil"/>
              <w:left w:val="nil"/>
              <w:bottom w:val="nil"/>
              <w:right w:val="nil"/>
            </w:tcBorders>
            <w:shd w:val="clear" w:color="auto" w:fill="auto"/>
            <w:noWrap/>
            <w:vAlign w:val="center"/>
            <w:hideMark/>
          </w:tcPr>
          <w:p w14:paraId="7C08D5A8" w14:textId="30E85F44"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Fair</w:t>
            </w:r>
          </w:p>
        </w:tc>
        <w:tc>
          <w:tcPr>
            <w:tcW w:w="1400" w:type="dxa"/>
            <w:tcBorders>
              <w:top w:val="nil"/>
              <w:left w:val="nil"/>
              <w:bottom w:val="nil"/>
              <w:right w:val="nil"/>
            </w:tcBorders>
            <w:shd w:val="clear" w:color="auto" w:fill="auto"/>
            <w:vAlign w:val="bottom"/>
            <w:hideMark/>
          </w:tcPr>
          <w:p w14:paraId="79F99187"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2.7 to 2.9</w:t>
            </w:r>
          </w:p>
        </w:tc>
        <w:tc>
          <w:tcPr>
            <w:tcW w:w="1400" w:type="dxa"/>
            <w:tcBorders>
              <w:top w:val="nil"/>
              <w:left w:val="nil"/>
              <w:bottom w:val="nil"/>
              <w:right w:val="nil"/>
            </w:tcBorders>
            <w:shd w:val="clear" w:color="auto" w:fill="auto"/>
            <w:vAlign w:val="bottom"/>
            <w:hideMark/>
          </w:tcPr>
          <w:p w14:paraId="7650DFDA"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w:t>
            </w:r>
          </w:p>
        </w:tc>
        <w:tc>
          <w:tcPr>
            <w:tcW w:w="1580" w:type="dxa"/>
            <w:tcBorders>
              <w:top w:val="nil"/>
              <w:left w:val="nil"/>
              <w:bottom w:val="nil"/>
              <w:right w:val="nil"/>
            </w:tcBorders>
            <w:shd w:val="clear" w:color="auto" w:fill="auto"/>
            <w:vAlign w:val="bottom"/>
            <w:hideMark/>
          </w:tcPr>
          <w:p w14:paraId="17A8991F"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w:t>
            </w:r>
          </w:p>
        </w:tc>
        <w:tc>
          <w:tcPr>
            <w:tcW w:w="1710" w:type="dxa"/>
            <w:tcBorders>
              <w:top w:val="nil"/>
              <w:left w:val="nil"/>
              <w:bottom w:val="nil"/>
              <w:right w:val="nil"/>
            </w:tcBorders>
            <w:shd w:val="clear" w:color="auto" w:fill="auto"/>
            <w:noWrap/>
            <w:vAlign w:val="bottom"/>
            <w:hideMark/>
          </w:tcPr>
          <w:p w14:paraId="3A06F588"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xml:space="preserve"> ≥ 0.39 and &lt; 0.53</w:t>
            </w:r>
          </w:p>
        </w:tc>
      </w:tr>
      <w:tr w:rsidR="00333DB5" w:rsidRPr="00333DB5" w14:paraId="34701B43" w14:textId="77777777" w:rsidTr="00867F1E">
        <w:trPr>
          <w:trHeight w:val="300"/>
        </w:trPr>
        <w:tc>
          <w:tcPr>
            <w:tcW w:w="1140" w:type="dxa"/>
            <w:vMerge/>
            <w:tcBorders>
              <w:top w:val="nil"/>
              <w:left w:val="nil"/>
              <w:bottom w:val="single" w:sz="4" w:space="0" w:color="000000"/>
              <w:right w:val="nil"/>
            </w:tcBorders>
            <w:vAlign w:val="center"/>
            <w:hideMark/>
          </w:tcPr>
          <w:p w14:paraId="6067C3E5" w14:textId="77777777" w:rsidR="00333DB5" w:rsidRPr="00333DB5" w:rsidRDefault="00333DB5" w:rsidP="00333DB5">
            <w:pPr>
              <w:spacing w:after="0" w:line="240" w:lineRule="auto"/>
              <w:rPr>
                <w:rFonts w:ascii="Times New Roman" w:eastAsia="Times New Roman" w:hAnsi="Times New Roman" w:cs="Times New Roman"/>
                <w:color w:val="000000"/>
                <w:sz w:val="20"/>
                <w:szCs w:val="20"/>
              </w:rPr>
            </w:pPr>
          </w:p>
        </w:tc>
        <w:tc>
          <w:tcPr>
            <w:tcW w:w="1680" w:type="dxa"/>
            <w:tcBorders>
              <w:top w:val="nil"/>
              <w:left w:val="nil"/>
              <w:bottom w:val="nil"/>
              <w:right w:val="nil"/>
            </w:tcBorders>
            <w:shd w:val="clear" w:color="auto" w:fill="auto"/>
            <w:noWrap/>
            <w:vAlign w:val="center"/>
            <w:hideMark/>
          </w:tcPr>
          <w:p w14:paraId="07D31D62" w14:textId="5D9B9003"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Poor</w:t>
            </w:r>
          </w:p>
        </w:tc>
        <w:tc>
          <w:tcPr>
            <w:tcW w:w="1400" w:type="dxa"/>
            <w:tcBorders>
              <w:top w:val="nil"/>
              <w:left w:val="nil"/>
              <w:bottom w:val="nil"/>
              <w:right w:val="nil"/>
            </w:tcBorders>
            <w:shd w:val="clear" w:color="auto" w:fill="auto"/>
            <w:vAlign w:val="bottom"/>
            <w:hideMark/>
          </w:tcPr>
          <w:p w14:paraId="491AEF60"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2.1 to 2.6</w:t>
            </w:r>
          </w:p>
        </w:tc>
        <w:tc>
          <w:tcPr>
            <w:tcW w:w="1400" w:type="dxa"/>
            <w:tcBorders>
              <w:top w:val="nil"/>
              <w:left w:val="nil"/>
              <w:bottom w:val="nil"/>
              <w:right w:val="nil"/>
            </w:tcBorders>
            <w:shd w:val="clear" w:color="auto" w:fill="auto"/>
            <w:vAlign w:val="bottom"/>
            <w:hideMark/>
          </w:tcPr>
          <w:p w14:paraId="295E0740"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&lt; 3.0</w:t>
            </w:r>
          </w:p>
        </w:tc>
        <w:tc>
          <w:tcPr>
            <w:tcW w:w="1580" w:type="dxa"/>
            <w:tcBorders>
              <w:top w:val="nil"/>
              <w:left w:val="nil"/>
              <w:bottom w:val="nil"/>
              <w:right w:val="nil"/>
            </w:tcBorders>
            <w:shd w:val="clear" w:color="auto" w:fill="auto"/>
            <w:vAlign w:val="bottom"/>
            <w:hideMark/>
          </w:tcPr>
          <w:p w14:paraId="1748DFC5"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0.0</w:t>
            </w:r>
          </w:p>
        </w:tc>
        <w:tc>
          <w:tcPr>
            <w:tcW w:w="1710" w:type="dxa"/>
            <w:tcBorders>
              <w:top w:val="nil"/>
              <w:left w:val="nil"/>
              <w:bottom w:val="nil"/>
              <w:right w:val="nil"/>
            </w:tcBorders>
            <w:shd w:val="clear" w:color="auto" w:fill="auto"/>
            <w:noWrap/>
            <w:vAlign w:val="bottom"/>
            <w:hideMark/>
          </w:tcPr>
          <w:p w14:paraId="61BD40E9"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xml:space="preserve"> &lt; 0.39</w:t>
            </w:r>
          </w:p>
        </w:tc>
      </w:tr>
      <w:tr w:rsidR="00333DB5" w:rsidRPr="00333DB5" w14:paraId="75202833" w14:textId="77777777" w:rsidTr="00867F1E">
        <w:trPr>
          <w:trHeight w:val="300"/>
        </w:trPr>
        <w:tc>
          <w:tcPr>
            <w:tcW w:w="1140" w:type="dxa"/>
            <w:vMerge/>
            <w:tcBorders>
              <w:top w:val="nil"/>
              <w:left w:val="nil"/>
              <w:bottom w:val="single" w:sz="4" w:space="0" w:color="000000"/>
              <w:right w:val="nil"/>
            </w:tcBorders>
            <w:vAlign w:val="center"/>
            <w:hideMark/>
          </w:tcPr>
          <w:p w14:paraId="4BD2B367" w14:textId="77777777" w:rsidR="00333DB5" w:rsidRPr="00333DB5" w:rsidRDefault="00333DB5" w:rsidP="00333DB5">
            <w:pPr>
              <w:spacing w:after="0" w:line="240" w:lineRule="auto"/>
              <w:rPr>
                <w:rFonts w:ascii="Times New Roman" w:eastAsia="Times New Roman" w:hAnsi="Times New Roman" w:cs="Times New Roman"/>
                <w:color w:val="000000"/>
                <w:sz w:val="20"/>
                <w:szCs w:val="20"/>
              </w:rPr>
            </w:pPr>
          </w:p>
        </w:tc>
        <w:tc>
          <w:tcPr>
            <w:tcW w:w="1680" w:type="dxa"/>
            <w:tcBorders>
              <w:top w:val="nil"/>
              <w:left w:val="nil"/>
              <w:bottom w:val="single" w:sz="4" w:space="0" w:color="auto"/>
              <w:right w:val="nil"/>
            </w:tcBorders>
            <w:shd w:val="clear" w:color="auto" w:fill="auto"/>
            <w:noWrap/>
            <w:vAlign w:val="center"/>
            <w:hideMark/>
          </w:tcPr>
          <w:p w14:paraId="6D395CFE" w14:textId="33F0BAE7" w:rsidR="00333DB5" w:rsidRPr="00333DB5" w:rsidRDefault="00333DB5" w:rsidP="00333DB5">
            <w:pPr>
              <w:spacing w:after="0" w:line="240" w:lineRule="auto"/>
              <w:jc w:val="center"/>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Very Poor</w:t>
            </w:r>
          </w:p>
        </w:tc>
        <w:tc>
          <w:tcPr>
            <w:tcW w:w="1400" w:type="dxa"/>
            <w:tcBorders>
              <w:top w:val="nil"/>
              <w:left w:val="nil"/>
              <w:bottom w:val="single" w:sz="4" w:space="0" w:color="auto"/>
              <w:right w:val="nil"/>
            </w:tcBorders>
            <w:shd w:val="clear" w:color="auto" w:fill="auto"/>
            <w:vAlign w:val="bottom"/>
            <w:hideMark/>
          </w:tcPr>
          <w:p w14:paraId="4CB16FAA"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 2.0</w:t>
            </w:r>
          </w:p>
        </w:tc>
        <w:tc>
          <w:tcPr>
            <w:tcW w:w="1400" w:type="dxa"/>
            <w:tcBorders>
              <w:top w:val="nil"/>
              <w:left w:val="nil"/>
              <w:bottom w:val="single" w:sz="4" w:space="0" w:color="auto"/>
              <w:right w:val="nil"/>
            </w:tcBorders>
            <w:shd w:val="clear" w:color="auto" w:fill="auto"/>
            <w:vAlign w:val="bottom"/>
            <w:hideMark/>
          </w:tcPr>
          <w:p w14:paraId="4E159C1B"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w:t>
            </w:r>
          </w:p>
        </w:tc>
        <w:tc>
          <w:tcPr>
            <w:tcW w:w="1580" w:type="dxa"/>
            <w:tcBorders>
              <w:top w:val="nil"/>
              <w:left w:val="nil"/>
              <w:bottom w:val="single" w:sz="4" w:space="0" w:color="auto"/>
              <w:right w:val="nil"/>
            </w:tcBorders>
            <w:shd w:val="clear" w:color="auto" w:fill="auto"/>
            <w:vAlign w:val="bottom"/>
            <w:hideMark/>
          </w:tcPr>
          <w:p w14:paraId="2E129F5C"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w:t>
            </w:r>
          </w:p>
        </w:tc>
        <w:tc>
          <w:tcPr>
            <w:tcW w:w="1710" w:type="dxa"/>
            <w:tcBorders>
              <w:top w:val="nil"/>
              <w:left w:val="nil"/>
              <w:bottom w:val="single" w:sz="4" w:space="0" w:color="auto"/>
              <w:right w:val="nil"/>
            </w:tcBorders>
            <w:shd w:val="clear" w:color="auto" w:fill="auto"/>
            <w:vAlign w:val="bottom"/>
            <w:hideMark/>
          </w:tcPr>
          <w:p w14:paraId="1B786750" w14:textId="77777777" w:rsidR="00333DB5" w:rsidRPr="00333DB5" w:rsidRDefault="00333DB5" w:rsidP="00333DB5">
            <w:pPr>
              <w:spacing w:after="0" w:line="240" w:lineRule="auto"/>
              <w:rPr>
                <w:rFonts w:ascii="Times New Roman" w:eastAsia="Times New Roman" w:hAnsi="Times New Roman" w:cs="Times New Roman"/>
                <w:color w:val="000000"/>
                <w:sz w:val="18"/>
                <w:szCs w:val="18"/>
              </w:rPr>
            </w:pPr>
            <w:r w:rsidRPr="00333DB5">
              <w:rPr>
                <w:rFonts w:ascii="Times New Roman" w:eastAsia="Times New Roman" w:hAnsi="Times New Roman" w:cs="Times New Roman"/>
                <w:color w:val="000000"/>
                <w:sz w:val="18"/>
                <w:szCs w:val="18"/>
              </w:rPr>
              <w:t>-</w:t>
            </w:r>
          </w:p>
        </w:tc>
      </w:tr>
    </w:tbl>
    <w:p w14:paraId="06706235" w14:textId="77777777" w:rsidR="00333DB5" w:rsidRDefault="00333DB5" w:rsidP="00FE1DDB">
      <w:pPr>
        <w:spacing w:after="0" w:line="240" w:lineRule="auto"/>
        <w:rPr>
          <w:rFonts w:ascii="Times New Roman" w:hAnsi="Times New Roman" w:cs="Times New Roman"/>
          <w:sz w:val="24"/>
          <w:szCs w:val="24"/>
        </w:rPr>
      </w:pPr>
    </w:p>
    <w:p w14:paraId="04A8F25E" w14:textId="44C7787F" w:rsidR="001F2695" w:rsidRDefault="00552B62" w:rsidP="001F2695">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The CBP B-IBI was the most conservative of the indices, resulting in fewer</w:t>
      </w:r>
      <w:r w:rsidR="00387A5C" w:rsidRPr="00FE1DDB">
        <w:rPr>
          <w:rFonts w:ascii="Times New Roman" w:hAnsi="Times New Roman" w:cs="Times New Roman"/>
          <w:sz w:val="24"/>
          <w:szCs w:val="24"/>
        </w:rPr>
        <w:t xml:space="preserve"> </w:t>
      </w:r>
      <w:r w:rsidR="00DE5170" w:rsidRPr="00FE1DDB">
        <w:rPr>
          <w:rFonts w:ascii="Times New Roman" w:hAnsi="Times New Roman" w:cs="Times New Roman"/>
          <w:sz w:val="24"/>
          <w:szCs w:val="24"/>
        </w:rPr>
        <w:t>“</w:t>
      </w:r>
      <w:r w:rsidR="00387A5C" w:rsidRPr="00FE1DDB">
        <w:rPr>
          <w:rFonts w:ascii="Times New Roman" w:hAnsi="Times New Roman" w:cs="Times New Roman"/>
          <w:sz w:val="24"/>
          <w:szCs w:val="24"/>
        </w:rPr>
        <w:t>Good”</w:t>
      </w:r>
      <w:r w:rsidR="00DE5170" w:rsidRPr="00FE1DDB">
        <w:rPr>
          <w:rFonts w:ascii="Times New Roman" w:hAnsi="Times New Roman" w:cs="Times New Roman"/>
          <w:sz w:val="24"/>
          <w:szCs w:val="24"/>
        </w:rPr>
        <w:t xml:space="preserve"> </w:t>
      </w:r>
      <w:r w:rsidR="002D26C7" w:rsidRPr="00FE1DDB">
        <w:rPr>
          <w:rFonts w:ascii="Times New Roman" w:hAnsi="Times New Roman" w:cs="Times New Roman"/>
          <w:sz w:val="24"/>
          <w:szCs w:val="24"/>
        </w:rPr>
        <w:t>(</w:t>
      </w:r>
      <w:r w:rsidR="001F2695">
        <w:rPr>
          <w:rFonts w:ascii="Times New Roman" w:hAnsi="Times New Roman" w:cs="Times New Roman"/>
          <w:sz w:val="24"/>
          <w:szCs w:val="24"/>
        </w:rPr>
        <w:t>35.3</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and more</w:t>
      </w:r>
      <w:r w:rsidR="00387A5C" w:rsidRPr="00FE1DDB">
        <w:rPr>
          <w:rFonts w:ascii="Times New Roman" w:hAnsi="Times New Roman" w:cs="Times New Roman"/>
          <w:sz w:val="24"/>
          <w:szCs w:val="24"/>
        </w:rPr>
        <w:t xml:space="preserve"> “Poor” </w:t>
      </w:r>
      <w:r w:rsidR="002D26C7" w:rsidRPr="00FE1DDB">
        <w:rPr>
          <w:rFonts w:ascii="Times New Roman" w:hAnsi="Times New Roman" w:cs="Times New Roman"/>
          <w:sz w:val="24"/>
          <w:szCs w:val="24"/>
        </w:rPr>
        <w:t>(</w:t>
      </w:r>
      <w:r w:rsidR="001F2695">
        <w:rPr>
          <w:rFonts w:ascii="Times New Roman" w:hAnsi="Times New Roman" w:cs="Times New Roman"/>
          <w:sz w:val="24"/>
          <w:szCs w:val="24"/>
        </w:rPr>
        <w:t>18.5</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characterizations</w:t>
      </w:r>
      <w:r w:rsidR="00A26E04">
        <w:rPr>
          <w:rFonts w:ascii="Times New Roman" w:hAnsi="Times New Roman" w:cs="Times New Roman"/>
          <w:sz w:val="24"/>
          <w:szCs w:val="24"/>
        </w:rPr>
        <w:t xml:space="preserve"> among all estuarine sites.</w:t>
      </w:r>
      <w:r w:rsidR="00A81965">
        <w:rPr>
          <w:rFonts w:ascii="Times New Roman" w:hAnsi="Times New Roman" w:cs="Times New Roman"/>
          <w:sz w:val="24"/>
          <w:szCs w:val="24"/>
        </w:rPr>
        <w:t xml:space="preserve"> </w:t>
      </w:r>
      <w:r w:rsidRPr="00FE1DDB">
        <w:rPr>
          <w:rFonts w:ascii="Times New Roman" w:hAnsi="Times New Roman" w:cs="Times New Roman"/>
          <w:sz w:val="24"/>
          <w:szCs w:val="24"/>
        </w:rPr>
        <w:t>The MAIA B-IBI was the least conservative of the indices, resulting in more</w:t>
      </w:r>
      <w:r w:rsidR="00387A5C" w:rsidRPr="00FE1DDB">
        <w:rPr>
          <w:rFonts w:ascii="Times New Roman" w:hAnsi="Times New Roman" w:cs="Times New Roman"/>
          <w:sz w:val="24"/>
          <w:szCs w:val="24"/>
        </w:rPr>
        <w:t xml:space="preserve"> “Good”</w:t>
      </w:r>
      <w:r w:rsidR="00CD22F2" w:rsidRPr="00FE1DDB">
        <w:rPr>
          <w:rFonts w:ascii="Times New Roman" w:hAnsi="Times New Roman" w:cs="Times New Roman"/>
          <w:sz w:val="24"/>
          <w:szCs w:val="24"/>
        </w:rPr>
        <w:t xml:space="preserve"> </w:t>
      </w:r>
      <w:r w:rsidR="002D26C7" w:rsidRPr="00FE1DDB">
        <w:rPr>
          <w:rFonts w:ascii="Times New Roman" w:hAnsi="Times New Roman" w:cs="Times New Roman"/>
          <w:sz w:val="24"/>
          <w:szCs w:val="24"/>
        </w:rPr>
        <w:t>(</w:t>
      </w:r>
      <w:r w:rsidR="0065457A" w:rsidRPr="00FE1DDB">
        <w:rPr>
          <w:rFonts w:ascii="Times New Roman" w:hAnsi="Times New Roman" w:cs="Times New Roman"/>
          <w:sz w:val="24"/>
          <w:szCs w:val="24"/>
        </w:rPr>
        <w:t>7</w:t>
      </w:r>
      <w:r w:rsidR="001F2695">
        <w:rPr>
          <w:rFonts w:ascii="Times New Roman" w:hAnsi="Times New Roman" w:cs="Times New Roman"/>
          <w:sz w:val="24"/>
          <w:szCs w:val="24"/>
        </w:rPr>
        <w:t>5.1</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and fewer</w:t>
      </w:r>
      <w:r w:rsidR="00387A5C" w:rsidRPr="00FE1DDB">
        <w:rPr>
          <w:rFonts w:ascii="Times New Roman" w:hAnsi="Times New Roman" w:cs="Times New Roman"/>
          <w:sz w:val="24"/>
          <w:szCs w:val="24"/>
        </w:rPr>
        <w:t xml:space="preserve"> “Poor” </w:t>
      </w:r>
      <w:r w:rsidR="002D26C7" w:rsidRPr="00FE1DDB">
        <w:rPr>
          <w:rFonts w:ascii="Times New Roman" w:hAnsi="Times New Roman" w:cs="Times New Roman"/>
          <w:sz w:val="24"/>
          <w:szCs w:val="24"/>
        </w:rPr>
        <w:t>(</w:t>
      </w:r>
      <w:r w:rsidR="001F2695">
        <w:rPr>
          <w:rFonts w:ascii="Times New Roman" w:hAnsi="Times New Roman" w:cs="Times New Roman"/>
          <w:sz w:val="24"/>
          <w:szCs w:val="24"/>
        </w:rPr>
        <w:t>12.1</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characterizations than any other index, across all estuarine waters.</w:t>
      </w:r>
      <w:r w:rsidR="00762E1A" w:rsidRPr="00FE1DDB">
        <w:rPr>
          <w:rFonts w:ascii="Times New Roman" w:hAnsi="Times New Roman" w:cs="Times New Roman"/>
          <w:sz w:val="24"/>
          <w:szCs w:val="24"/>
        </w:rPr>
        <w:t xml:space="preserve"> </w:t>
      </w:r>
      <w:r w:rsidR="00A26E04">
        <w:rPr>
          <w:rFonts w:ascii="Times New Roman" w:hAnsi="Times New Roman" w:cs="Times New Roman"/>
          <w:sz w:val="24"/>
          <w:szCs w:val="24"/>
        </w:rPr>
        <w:t xml:space="preserve">The </w:t>
      </w:r>
      <w:r w:rsidR="00A26E04" w:rsidRPr="00FE1DDB">
        <w:rPr>
          <w:rFonts w:ascii="Times New Roman" w:hAnsi="Times New Roman" w:cs="Times New Roman"/>
          <w:sz w:val="24"/>
          <w:szCs w:val="24"/>
        </w:rPr>
        <w:t xml:space="preserve">benthic indices may not all characterize the same site in the same class, but they tend to agree more often at the extremities of the scale (Good or </w:t>
      </w:r>
      <w:r w:rsidR="00A81965">
        <w:rPr>
          <w:rFonts w:ascii="Times New Roman" w:hAnsi="Times New Roman" w:cs="Times New Roman"/>
          <w:sz w:val="24"/>
          <w:szCs w:val="24"/>
        </w:rPr>
        <w:t xml:space="preserve">Very </w:t>
      </w:r>
      <w:r w:rsidR="00A26E04" w:rsidRPr="00FE1DDB">
        <w:rPr>
          <w:rFonts w:ascii="Times New Roman" w:hAnsi="Times New Roman" w:cs="Times New Roman"/>
          <w:sz w:val="24"/>
          <w:szCs w:val="24"/>
        </w:rPr>
        <w:t>Poor) than near the center</w:t>
      </w:r>
      <w:r w:rsidR="00A26E04">
        <w:rPr>
          <w:rFonts w:ascii="Times New Roman" w:hAnsi="Times New Roman" w:cs="Times New Roman"/>
          <w:sz w:val="24"/>
          <w:szCs w:val="24"/>
        </w:rPr>
        <w:t xml:space="preserve"> (“Fair”)</w:t>
      </w:r>
      <w:r w:rsidR="00A26E04" w:rsidRPr="00FE1DDB">
        <w:rPr>
          <w:rFonts w:ascii="Times New Roman" w:hAnsi="Times New Roman" w:cs="Times New Roman"/>
          <w:sz w:val="24"/>
          <w:szCs w:val="24"/>
        </w:rPr>
        <w:t xml:space="preserve">. </w:t>
      </w:r>
      <w:r w:rsidR="001F2695" w:rsidRPr="00FE1DDB">
        <w:rPr>
          <w:rFonts w:ascii="Times New Roman" w:hAnsi="Times New Roman" w:cs="Times New Roman"/>
          <w:sz w:val="24"/>
          <w:szCs w:val="24"/>
        </w:rPr>
        <w:t xml:space="preserve">The site distributions among the </w:t>
      </w:r>
      <w:r w:rsidR="00A81965">
        <w:rPr>
          <w:rFonts w:ascii="Times New Roman" w:hAnsi="Times New Roman" w:cs="Times New Roman"/>
          <w:sz w:val="24"/>
          <w:szCs w:val="24"/>
        </w:rPr>
        <w:t>classifications</w:t>
      </w:r>
      <w:r w:rsidR="001F2695" w:rsidRPr="00FE1DDB">
        <w:rPr>
          <w:rFonts w:ascii="Times New Roman" w:hAnsi="Times New Roman" w:cs="Times New Roman"/>
          <w:sz w:val="24"/>
          <w:szCs w:val="24"/>
        </w:rPr>
        <w:t xml:space="preserve"> (“Good”, “Fair”, “Poor”</w:t>
      </w:r>
      <w:r w:rsidR="001F2695">
        <w:rPr>
          <w:rFonts w:ascii="Times New Roman" w:hAnsi="Times New Roman" w:cs="Times New Roman"/>
          <w:sz w:val="24"/>
          <w:szCs w:val="24"/>
        </w:rPr>
        <w:t>, “Very Poor”</w:t>
      </w:r>
      <w:r w:rsidR="00A81965">
        <w:rPr>
          <w:rFonts w:ascii="Times New Roman" w:hAnsi="Times New Roman" w:cs="Times New Roman"/>
          <w:sz w:val="24"/>
          <w:szCs w:val="24"/>
        </w:rPr>
        <w:t>), for each of the indices</w:t>
      </w:r>
      <w:r w:rsidR="001F2695" w:rsidRPr="00FE1DDB">
        <w:rPr>
          <w:rFonts w:ascii="Times New Roman" w:hAnsi="Times New Roman" w:cs="Times New Roman"/>
          <w:sz w:val="24"/>
          <w:szCs w:val="24"/>
        </w:rPr>
        <w:t xml:space="preserve"> is summarized in Table 4.5-</w:t>
      </w:r>
      <w:r w:rsidR="008B0194">
        <w:rPr>
          <w:rFonts w:ascii="Times New Roman" w:hAnsi="Times New Roman" w:cs="Times New Roman"/>
          <w:sz w:val="24"/>
          <w:szCs w:val="24"/>
        </w:rPr>
        <w:t>22</w:t>
      </w:r>
      <w:r w:rsidR="001F2695" w:rsidRPr="00FE1DDB">
        <w:rPr>
          <w:rFonts w:ascii="Times New Roman" w:hAnsi="Times New Roman" w:cs="Times New Roman"/>
          <w:sz w:val="24"/>
          <w:szCs w:val="24"/>
        </w:rPr>
        <w:t>.</w:t>
      </w:r>
    </w:p>
    <w:p w14:paraId="6BADB0ED" w14:textId="7EE45DB4" w:rsidR="006E2A7F" w:rsidRDefault="006E2A7F" w:rsidP="00FE1DDB">
      <w:pPr>
        <w:spacing w:after="0" w:line="240" w:lineRule="auto"/>
        <w:rPr>
          <w:rFonts w:ascii="Times New Roman" w:hAnsi="Times New Roman" w:cs="Times New Roman"/>
          <w:sz w:val="24"/>
          <w:szCs w:val="24"/>
        </w:rPr>
      </w:pPr>
    </w:p>
    <w:p w14:paraId="70FF69C0" w14:textId="64CE3135" w:rsidR="00A26E04" w:rsidRPr="00A26E04" w:rsidRDefault="00A26E04" w:rsidP="00A26E04">
      <w:pPr>
        <w:pStyle w:val="Caption"/>
        <w:keepNext/>
        <w:rPr>
          <w:rFonts w:ascii="Times New Roman" w:hAnsi="Times New Roman" w:cs="Times New Roman"/>
          <w:i w:val="0"/>
          <w:color w:val="000000" w:themeColor="text1"/>
          <w:sz w:val="20"/>
        </w:rPr>
      </w:pPr>
      <w:r w:rsidRPr="00A26E04">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22</w:t>
      </w:r>
      <w:r w:rsidRPr="00A26E04">
        <w:rPr>
          <w:rFonts w:ascii="Times New Roman" w:hAnsi="Times New Roman" w:cs="Times New Roman"/>
          <w:i w:val="0"/>
          <w:color w:val="000000" w:themeColor="text1"/>
          <w:sz w:val="20"/>
        </w:rPr>
        <w:t xml:space="preserve"> Scores of benthic condition </w:t>
      </w:r>
      <w:r>
        <w:rPr>
          <w:rFonts w:ascii="Times New Roman" w:hAnsi="Times New Roman" w:cs="Times New Roman"/>
          <w:i w:val="0"/>
          <w:color w:val="000000" w:themeColor="text1"/>
          <w:sz w:val="20"/>
        </w:rPr>
        <w:t xml:space="preserve">using </w:t>
      </w:r>
      <w:r w:rsidRPr="00A26E04">
        <w:rPr>
          <w:rFonts w:ascii="Times New Roman" w:hAnsi="Times New Roman" w:cs="Times New Roman"/>
          <w:i w:val="0"/>
          <w:color w:val="000000" w:themeColor="text1"/>
          <w:sz w:val="20"/>
        </w:rPr>
        <w:t>Chesapeake Bay</w:t>
      </w:r>
      <w:r>
        <w:rPr>
          <w:rFonts w:ascii="Times New Roman" w:hAnsi="Times New Roman" w:cs="Times New Roman"/>
          <w:i w:val="0"/>
          <w:color w:val="000000" w:themeColor="text1"/>
          <w:sz w:val="20"/>
        </w:rPr>
        <w:t xml:space="preserve"> Program</w:t>
      </w:r>
      <w:r w:rsidRPr="00A26E04">
        <w:rPr>
          <w:rFonts w:ascii="Times New Roman" w:hAnsi="Times New Roman" w:cs="Times New Roman"/>
          <w:i w:val="0"/>
          <w:color w:val="000000" w:themeColor="text1"/>
          <w:sz w:val="20"/>
        </w:rPr>
        <w:t xml:space="preserve"> B-IBI, MAIA</w:t>
      </w:r>
      <w:r>
        <w:rPr>
          <w:rFonts w:ascii="Times New Roman" w:hAnsi="Times New Roman" w:cs="Times New Roman"/>
          <w:i w:val="0"/>
          <w:color w:val="000000" w:themeColor="text1"/>
          <w:sz w:val="20"/>
        </w:rPr>
        <w:t>,</w:t>
      </w:r>
      <w:r w:rsidRPr="00A26E04">
        <w:rPr>
          <w:rFonts w:ascii="Times New Roman" w:hAnsi="Times New Roman" w:cs="Times New Roman"/>
          <w:i w:val="0"/>
          <w:color w:val="000000" w:themeColor="text1"/>
          <w:sz w:val="20"/>
        </w:rPr>
        <w:t xml:space="preserve"> EMAP</w:t>
      </w:r>
      <w:r>
        <w:rPr>
          <w:rFonts w:ascii="Times New Roman" w:hAnsi="Times New Roman" w:cs="Times New Roman"/>
          <w:i w:val="0"/>
          <w:color w:val="000000" w:themeColor="text1"/>
          <w:sz w:val="20"/>
        </w:rPr>
        <w:t xml:space="preserve">, and M-AMBI </w:t>
      </w:r>
      <w:r w:rsidRPr="00A26E04">
        <w:rPr>
          <w:rFonts w:ascii="Times New Roman" w:hAnsi="Times New Roman" w:cs="Times New Roman"/>
          <w:i w:val="0"/>
          <w:color w:val="000000" w:themeColor="text1"/>
          <w:sz w:val="20"/>
        </w:rPr>
        <w:t xml:space="preserve">indices. Total stations for M-AMBI (N=100) are lower because it was only integrated in 2019 and 2020 assessments. </w:t>
      </w:r>
      <w:r>
        <w:rPr>
          <w:rFonts w:ascii="Times New Roman" w:hAnsi="Times New Roman" w:cs="Times New Roman"/>
          <w:i w:val="0"/>
          <w:color w:val="000000" w:themeColor="text1"/>
          <w:sz w:val="20"/>
        </w:rPr>
        <w:t xml:space="preserve">All other </w:t>
      </w:r>
      <w:r w:rsidRPr="00A26E04">
        <w:rPr>
          <w:rFonts w:ascii="Times New Roman" w:hAnsi="Times New Roman" w:cs="Times New Roman"/>
          <w:i w:val="0"/>
          <w:color w:val="000000" w:themeColor="text1"/>
          <w:sz w:val="20"/>
        </w:rPr>
        <w:t xml:space="preserve">indices include stations from 2015-2020 (N=297) </w:t>
      </w:r>
    </w:p>
    <w:tbl>
      <w:tblPr>
        <w:tblW w:w="9335" w:type="dxa"/>
        <w:tblInd w:w="-90" w:type="dxa"/>
        <w:tblLook w:val="04A0" w:firstRow="1" w:lastRow="0" w:firstColumn="1" w:lastColumn="0" w:noHBand="0" w:noVBand="1"/>
        <w:tblCaption w:val="Table 4.5- 21 Scores of benthic condition using Chesapeake Bay Program B-IBI, MAIA, EMAP, and M-AMBI indices. Total stations for M-AMBI (N=100) are lower because it was only integrated in 2019 and 2020 assessments. All other indices include stations from 2015-2020 (N=297) "/>
        <w:tblDescription w:val="Table 4.5- 21 Scores of benthic condition using Chesapeake Bay Program B-IBI, MAIA, EMAP, and M-AMBI indices. Total stations for M-AMBI (N=100) are lower because it was only integrated in 2019 and 2020 assessments. All other indices include stations from 2015-2020 (N=297) "/>
      </w:tblPr>
      <w:tblGrid>
        <w:gridCol w:w="784"/>
        <w:gridCol w:w="861"/>
        <w:gridCol w:w="1325"/>
        <w:gridCol w:w="861"/>
        <w:gridCol w:w="1389"/>
        <w:gridCol w:w="861"/>
        <w:gridCol w:w="1299"/>
        <w:gridCol w:w="861"/>
        <w:gridCol w:w="1094"/>
      </w:tblGrid>
      <w:tr w:rsidR="006E2A7F" w:rsidRPr="006E2A7F" w14:paraId="1828F5FD" w14:textId="77777777" w:rsidTr="00A26E04">
        <w:trPr>
          <w:trHeight w:val="300"/>
        </w:trPr>
        <w:tc>
          <w:tcPr>
            <w:tcW w:w="784" w:type="dxa"/>
            <w:vMerge w:val="restart"/>
            <w:tcBorders>
              <w:top w:val="nil"/>
              <w:left w:val="nil"/>
              <w:bottom w:val="single" w:sz="4" w:space="0" w:color="000000"/>
              <w:right w:val="nil"/>
            </w:tcBorders>
            <w:shd w:val="clear" w:color="auto" w:fill="auto"/>
            <w:vAlign w:val="center"/>
            <w:hideMark/>
          </w:tcPr>
          <w:p w14:paraId="16F95BED" w14:textId="77777777" w:rsidR="006E2A7F" w:rsidRPr="006E2A7F" w:rsidRDefault="006E2A7F" w:rsidP="006E2A7F">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Score</w:t>
            </w:r>
          </w:p>
        </w:tc>
        <w:tc>
          <w:tcPr>
            <w:tcW w:w="2186" w:type="dxa"/>
            <w:gridSpan w:val="2"/>
            <w:tcBorders>
              <w:top w:val="nil"/>
              <w:left w:val="nil"/>
              <w:bottom w:val="single" w:sz="4" w:space="0" w:color="auto"/>
              <w:right w:val="nil"/>
            </w:tcBorders>
            <w:shd w:val="clear" w:color="auto" w:fill="auto"/>
            <w:noWrap/>
            <w:vAlign w:val="center"/>
            <w:hideMark/>
          </w:tcPr>
          <w:p w14:paraId="77484FC9" w14:textId="0ACB73DC" w:rsidR="006E2A7F" w:rsidRPr="006E2A7F" w:rsidRDefault="006E2A7F" w:rsidP="00A26E04">
            <w:pPr>
              <w:spacing w:after="0" w:line="240" w:lineRule="auto"/>
              <w:jc w:val="center"/>
              <w:rPr>
                <w:rFonts w:ascii="Times New Roman" w:eastAsia="Times New Roman" w:hAnsi="Times New Roman" w:cs="Times New Roman"/>
                <w:b/>
                <w:bCs/>
                <w:color w:val="000000"/>
                <w:sz w:val="20"/>
                <w:szCs w:val="20"/>
              </w:rPr>
            </w:pPr>
            <w:r w:rsidRPr="006E2A7F">
              <w:rPr>
                <w:rFonts w:ascii="Times New Roman" w:eastAsia="Times New Roman" w:hAnsi="Times New Roman" w:cs="Times New Roman"/>
                <w:b/>
                <w:bCs/>
                <w:color w:val="000000"/>
                <w:sz w:val="20"/>
                <w:szCs w:val="20"/>
              </w:rPr>
              <w:t>C</w:t>
            </w:r>
            <w:r w:rsidR="00A26E04">
              <w:rPr>
                <w:rFonts w:ascii="Times New Roman" w:eastAsia="Times New Roman" w:hAnsi="Times New Roman" w:cs="Times New Roman"/>
                <w:b/>
                <w:bCs/>
                <w:color w:val="000000"/>
                <w:sz w:val="20"/>
                <w:szCs w:val="20"/>
              </w:rPr>
              <w:t xml:space="preserve">BP </w:t>
            </w:r>
            <w:r>
              <w:rPr>
                <w:rFonts w:ascii="Times New Roman" w:eastAsia="Times New Roman" w:hAnsi="Times New Roman" w:cs="Times New Roman"/>
                <w:b/>
                <w:bCs/>
                <w:color w:val="000000"/>
                <w:sz w:val="20"/>
                <w:szCs w:val="20"/>
              </w:rPr>
              <w:t>B</w:t>
            </w:r>
            <w:r w:rsidRPr="006E2A7F">
              <w:rPr>
                <w:rFonts w:ascii="Times New Roman" w:eastAsia="Times New Roman" w:hAnsi="Times New Roman" w:cs="Times New Roman"/>
                <w:b/>
                <w:bCs/>
                <w:color w:val="000000"/>
                <w:sz w:val="20"/>
                <w:szCs w:val="20"/>
              </w:rPr>
              <w:t>-IBI</w:t>
            </w:r>
          </w:p>
        </w:tc>
        <w:tc>
          <w:tcPr>
            <w:tcW w:w="2250" w:type="dxa"/>
            <w:gridSpan w:val="2"/>
            <w:tcBorders>
              <w:top w:val="nil"/>
              <w:left w:val="nil"/>
              <w:bottom w:val="single" w:sz="4" w:space="0" w:color="auto"/>
              <w:right w:val="nil"/>
            </w:tcBorders>
            <w:shd w:val="clear" w:color="auto" w:fill="auto"/>
            <w:noWrap/>
            <w:vAlign w:val="bottom"/>
            <w:hideMark/>
          </w:tcPr>
          <w:p w14:paraId="2C29D72B" w14:textId="77777777" w:rsidR="006E2A7F" w:rsidRPr="006E2A7F" w:rsidRDefault="006E2A7F" w:rsidP="006E2A7F">
            <w:pPr>
              <w:spacing w:after="0" w:line="240" w:lineRule="auto"/>
              <w:jc w:val="center"/>
              <w:rPr>
                <w:rFonts w:ascii="Times New Roman" w:eastAsia="Times New Roman" w:hAnsi="Times New Roman" w:cs="Times New Roman"/>
                <w:b/>
                <w:bCs/>
                <w:color w:val="000000"/>
                <w:sz w:val="20"/>
                <w:szCs w:val="20"/>
              </w:rPr>
            </w:pPr>
            <w:r w:rsidRPr="006E2A7F">
              <w:rPr>
                <w:rFonts w:ascii="Times New Roman" w:eastAsia="Times New Roman" w:hAnsi="Times New Roman" w:cs="Times New Roman"/>
                <w:b/>
                <w:bCs/>
                <w:color w:val="000000"/>
                <w:sz w:val="20"/>
                <w:szCs w:val="20"/>
              </w:rPr>
              <w:t>MAIA</w:t>
            </w:r>
          </w:p>
        </w:tc>
        <w:tc>
          <w:tcPr>
            <w:tcW w:w="2160" w:type="dxa"/>
            <w:gridSpan w:val="2"/>
            <w:tcBorders>
              <w:top w:val="nil"/>
              <w:left w:val="nil"/>
              <w:bottom w:val="single" w:sz="4" w:space="0" w:color="auto"/>
              <w:right w:val="nil"/>
            </w:tcBorders>
            <w:shd w:val="clear" w:color="auto" w:fill="auto"/>
            <w:noWrap/>
            <w:vAlign w:val="center"/>
            <w:hideMark/>
          </w:tcPr>
          <w:p w14:paraId="5C305DEB" w14:textId="77777777" w:rsidR="006E2A7F" w:rsidRPr="006E2A7F" w:rsidRDefault="006E2A7F" w:rsidP="006E2A7F">
            <w:pPr>
              <w:spacing w:after="0" w:line="240" w:lineRule="auto"/>
              <w:jc w:val="center"/>
              <w:rPr>
                <w:rFonts w:ascii="Times New Roman" w:eastAsia="Times New Roman" w:hAnsi="Times New Roman" w:cs="Times New Roman"/>
                <w:b/>
                <w:bCs/>
                <w:color w:val="000000"/>
                <w:sz w:val="20"/>
                <w:szCs w:val="20"/>
              </w:rPr>
            </w:pPr>
            <w:r w:rsidRPr="006E2A7F">
              <w:rPr>
                <w:rFonts w:ascii="Times New Roman" w:eastAsia="Times New Roman" w:hAnsi="Times New Roman" w:cs="Times New Roman"/>
                <w:b/>
                <w:bCs/>
                <w:color w:val="000000"/>
                <w:sz w:val="20"/>
                <w:szCs w:val="20"/>
              </w:rPr>
              <w:t>EMAP</w:t>
            </w:r>
          </w:p>
        </w:tc>
        <w:tc>
          <w:tcPr>
            <w:tcW w:w="1955" w:type="dxa"/>
            <w:gridSpan w:val="2"/>
            <w:tcBorders>
              <w:top w:val="nil"/>
              <w:left w:val="nil"/>
              <w:bottom w:val="single" w:sz="4" w:space="0" w:color="auto"/>
              <w:right w:val="nil"/>
            </w:tcBorders>
            <w:shd w:val="clear" w:color="auto" w:fill="auto"/>
            <w:noWrap/>
            <w:vAlign w:val="bottom"/>
            <w:hideMark/>
          </w:tcPr>
          <w:p w14:paraId="468FDD48" w14:textId="77777777" w:rsidR="006E2A7F" w:rsidRPr="006E2A7F" w:rsidRDefault="006E2A7F" w:rsidP="006E2A7F">
            <w:pPr>
              <w:spacing w:after="0" w:line="240" w:lineRule="auto"/>
              <w:jc w:val="center"/>
              <w:rPr>
                <w:rFonts w:ascii="Times New Roman" w:eastAsia="Times New Roman" w:hAnsi="Times New Roman" w:cs="Times New Roman"/>
                <w:b/>
                <w:bCs/>
                <w:color w:val="000000"/>
                <w:sz w:val="20"/>
                <w:szCs w:val="20"/>
              </w:rPr>
            </w:pPr>
            <w:r w:rsidRPr="006E2A7F">
              <w:rPr>
                <w:rFonts w:ascii="Times New Roman" w:eastAsia="Times New Roman" w:hAnsi="Times New Roman" w:cs="Times New Roman"/>
                <w:b/>
                <w:bCs/>
                <w:color w:val="000000"/>
                <w:sz w:val="20"/>
                <w:szCs w:val="20"/>
              </w:rPr>
              <w:t>M-AMBI</w:t>
            </w:r>
          </w:p>
        </w:tc>
      </w:tr>
      <w:tr w:rsidR="006E2A7F" w:rsidRPr="006E2A7F" w14:paraId="2D1C2D62" w14:textId="77777777" w:rsidTr="00A26E04">
        <w:trPr>
          <w:trHeight w:val="375"/>
        </w:trPr>
        <w:tc>
          <w:tcPr>
            <w:tcW w:w="784" w:type="dxa"/>
            <w:vMerge/>
            <w:tcBorders>
              <w:top w:val="nil"/>
              <w:left w:val="nil"/>
              <w:bottom w:val="single" w:sz="4" w:space="0" w:color="000000"/>
              <w:right w:val="nil"/>
            </w:tcBorders>
            <w:vAlign w:val="center"/>
            <w:hideMark/>
          </w:tcPr>
          <w:p w14:paraId="7671B4C9" w14:textId="77777777" w:rsidR="006E2A7F" w:rsidRPr="006E2A7F" w:rsidRDefault="006E2A7F" w:rsidP="006E2A7F">
            <w:pPr>
              <w:spacing w:after="0" w:line="240" w:lineRule="auto"/>
              <w:rPr>
                <w:rFonts w:ascii="Times New Roman" w:eastAsia="Times New Roman" w:hAnsi="Times New Roman" w:cs="Times New Roman"/>
                <w:b/>
                <w:bCs/>
                <w:color w:val="222222"/>
                <w:sz w:val="20"/>
                <w:szCs w:val="20"/>
              </w:rPr>
            </w:pPr>
          </w:p>
        </w:tc>
        <w:tc>
          <w:tcPr>
            <w:tcW w:w="861" w:type="dxa"/>
            <w:tcBorders>
              <w:top w:val="nil"/>
              <w:left w:val="nil"/>
              <w:bottom w:val="single" w:sz="4" w:space="0" w:color="auto"/>
              <w:right w:val="nil"/>
            </w:tcBorders>
            <w:shd w:val="clear" w:color="auto" w:fill="auto"/>
            <w:vAlign w:val="center"/>
            <w:hideMark/>
          </w:tcPr>
          <w:p w14:paraId="033186F9"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Stations</w:t>
            </w:r>
          </w:p>
        </w:tc>
        <w:tc>
          <w:tcPr>
            <w:tcW w:w="1325" w:type="dxa"/>
            <w:tcBorders>
              <w:top w:val="nil"/>
              <w:left w:val="nil"/>
              <w:bottom w:val="single" w:sz="4" w:space="0" w:color="auto"/>
              <w:right w:val="nil"/>
            </w:tcBorders>
            <w:shd w:val="clear" w:color="auto" w:fill="auto"/>
            <w:vAlign w:val="center"/>
            <w:hideMark/>
          </w:tcPr>
          <w:p w14:paraId="1E13ACFD"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Percentage</w:t>
            </w:r>
          </w:p>
        </w:tc>
        <w:tc>
          <w:tcPr>
            <w:tcW w:w="861" w:type="dxa"/>
            <w:tcBorders>
              <w:top w:val="nil"/>
              <w:left w:val="nil"/>
              <w:bottom w:val="single" w:sz="4" w:space="0" w:color="auto"/>
              <w:right w:val="nil"/>
            </w:tcBorders>
            <w:shd w:val="clear" w:color="auto" w:fill="auto"/>
            <w:vAlign w:val="center"/>
            <w:hideMark/>
          </w:tcPr>
          <w:p w14:paraId="73E03808"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Stations</w:t>
            </w:r>
          </w:p>
        </w:tc>
        <w:tc>
          <w:tcPr>
            <w:tcW w:w="1389" w:type="dxa"/>
            <w:tcBorders>
              <w:top w:val="nil"/>
              <w:left w:val="nil"/>
              <w:bottom w:val="single" w:sz="4" w:space="0" w:color="auto"/>
              <w:right w:val="nil"/>
            </w:tcBorders>
            <w:shd w:val="clear" w:color="auto" w:fill="auto"/>
            <w:vAlign w:val="center"/>
            <w:hideMark/>
          </w:tcPr>
          <w:p w14:paraId="7BD27EBE"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Percentage</w:t>
            </w:r>
          </w:p>
        </w:tc>
        <w:tc>
          <w:tcPr>
            <w:tcW w:w="861" w:type="dxa"/>
            <w:tcBorders>
              <w:top w:val="nil"/>
              <w:left w:val="nil"/>
              <w:bottom w:val="single" w:sz="4" w:space="0" w:color="auto"/>
              <w:right w:val="nil"/>
            </w:tcBorders>
            <w:shd w:val="clear" w:color="auto" w:fill="auto"/>
            <w:vAlign w:val="center"/>
            <w:hideMark/>
          </w:tcPr>
          <w:p w14:paraId="55553855"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Stations</w:t>
            </w:r>
          </w:p>
        </w:tc>
        <w:tc>
          <w:tcPr>
            <w:tcW w:w="1299" w:type="dxa"/>
            <w:tcBorders>
              <w:top w:val="nil"/>
              <w:left w:val="nil"/>
              <w:bottom w:val="single" w:sz="4" w:space="0" w:color="auto"/>
              <w:right w:val="nil"/>
            </w:tcBorders>
            <w:shd w:val="clear" w:color="auto" w:fill="auto"/>
            <w:vAlign w:val="center"/>
            <w:hideMark/>
          </w:tcPr>
          <w:p w14:paraId="415EF1B7"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Percentage</w:t>
            </w:r>
          </w:p>
        </w:tc>
        <w:tc>
          <w:tcPr>
            <w:tcW w:w="861" w:type="dxa"/>
            <w:tcBorders>
              <w:top w:val="nil"/>
              <w:left w:val="nil"/>
              <w:bottom w:val="single" w:sz="4" w:space="0" w:color="auto"/>
              <w:right w:val="nil"/>
            </w:tcBorders>
            <w:shd w:val="clear" w:color="auto" w:fill="auto"/>
            <w:vAlign w:val="center"/>
            <w:hideMark/>
          </w:tcPr>
          <w:p w14:paraId="726BD557"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Stations</w:t>
            </w:r>
          </w:p>
        </w:tc>
        <w:tc>
          <w:tcPr>
            <w:tcW w:w="1094" w:type="dxa"/>
            <w:tcBorders>
              <w:top w:val="nil"/>
              <w:left w:val="nil"/>
              <w:bottom w:val="single" w:sz="4" w:space="0" w:color="auto"/>
              <w:right w:val="nil"/>
            </w:tcBorders>
            <w:shd w:val="clear" w:color="auto" w:fill="auto"/>
            <w:vAlign w:val="center"/>
            <w:hideMark/>
          </w:tcPr>
          <w:p w14:paraId="2DE45EF8" w14:textId="77777777" w:rsidR="006E2A7F" w:rsidRPr="006E2A7F" w:rsidRDefault="006E2A7F" w:rsidP="006E2A7F">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Percentage</w:t>
            </w:r>
          </w:p>
        </w:tc>
      </w:tr>
      <w:tr w:rsidR="001F2695" w:rsidRPr="006E2A7F" w14:paraId="4B3B623C" w14:textId="77777777" w:rsidTr="00A26E04">
        <w:trPr>
          <w:trHeight w:val="390"/>
        </w:trPr>
        <w:tc>
          <w:tcPr>
            <w:tcW w:w="784" w:type="dxa"/>
            <w:tcBorders>
              <w:top w:val="nil"/>
              <w:left w:val="nil"/>
              <w:bottom w:val="nil"/>
              <w:right w:val="single" w:sz="4" w:space="0" w:color="D9D9D9" w:themeColor="background1" w:themeShade="D9"/>
            </w:tcBorders>
            <w:shd w:val="clear" w:color="auto" w:fill="auto"/>
            <w:vAlign w:val="center"/>
            <w:hideMark/>
          </w:tcPr>
          <w:p w14:paraId="2D05C18C"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Good</w:t>
            </w:r>
          </w:p>
        </w:tc>
        <w:tc>
          <w:tcPr>
            <w:tcW w:w="861" w:type="dxa"/>
            <w:tcBorders>
              <w:top w:val="single" w:sz="4" w:space="0" w:color="auto"/>
              <w:left w:val="single" w:sz="4" w:space="0" w:color="D9D9D9" w:themeColor="background1" w:themeShade="D9"/>
              <w:bottom w:val="nil"/>
              <w:right w:val="nil"/>
            </w:tcBorders>
            <w:shd w:val="clear" w:color="auto" w:fill="auto"/>
            <w:vAlign w:val="center"/>
            <w:hideMark/>
          </w:tcPr>
          <w:p w14:paraId="50DEF37F"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105</w:t>
            </w:r>
          </w:p>
        </w:tc>
        <w:tc>
          <w:tcPr>
            <w:tcW w:w="1325" w:type="dxa"/>
            <w:tcBorders>
              <w:top w:val="single" w:sz="4" w:space="0" w:color="auto"/>
              <w:left w:val="nil"/>
              <w:bottom w:val="nil"/>
              <w:right w:val="single" w:sz="4" w:space="0" w:color="D9D9D9" w:themeColor="background1" w:themeShade="D9"/>
            </w:tcBorders>
            <w:shd w:val="clear" w:color="auto" w:fill="auto"/>
            <w:vAlign w:val="center"/>
            <w:hideMark/>
          </w:tcPr>
          <w:p w14:paraId="14302E99"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35.35 ± 5.46</w:t>
            </w:r>
          </w:p>
        </w:tc>
        <w:tc>
          <w:tcPr>
            <w:tcW w:w="861" w:type="dxa"/>
            <w:tcBorders>
              <w:top w:val="single" w:sz="4" w:space="0" w:color="auto"/>
              <w:left w:val="single" w:sz="4" w:space="0" w:color="D9D9D9" w:themeColor="background1" w:themeShade="D9"/>
              <w:bottom w:val="nil"/>
              <w:right w:val="nil"/>
            </w:tcBorders>
            <w:shd w:val="clear" w:color="auto" w:fill="auto"/>
            <w:vAlign w:val="center"/>
          </w:tcPr>
          <w:p w14:paraId="177866CC" w14:textId="260A4691"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223</w:t>
            </w:r>
          </w:p>
        </w:tc>
        <w:tc>
          <w:tcPr>
            <w:tcW w:w="1389" w:type="dxa"/>
            <w:tcBorders>
              <w:top w:val="single" w:sz="4" w:space="0" w:color="auto"/>
              <w:left w:val="nil"/>
              <w:bottom w:val="nil"/>
              <w:right w:val="single" w:sz="4" w:space="0" w:color="D9D9D9" w:themeColor="background1" w:themeShade="D9"/>
            </w:tcBorders>
            <w:shd w:val="clear" w:color="auto" w:fill="auto"/>
            <w:vAlign w:val="center"/>
          </w:tcPr>
          <w:p w14:paraId="010C50F7" w14:textId="7341FC38"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75.08 ± 4.94</w:t>
            </w:r>
          </w:p>
        </w:tc>
        <w:tc>
          <w:tcPr>
            <w:tcW w:w="861" w:type="dxa"/>
            <w:tcBorders>
              <w:top w:val="single" w:sz="4" w:space="0" w:color="auto"/>
              <w:left w:val="single" w:sz="4" w:space="0" w:color="D9D9D9" w:themeColor="background1" w:themeShade="D9"/>
              <w:bottom w:val="nil"/>
              <w:right w:val="nil"/>
            </w:tcBorders>
            <w:shd w:val="clear" w:color="auto" w:fill="auto"/>
            <w:vAlign w:val="center"/>
            <w:hideMark/>
          </w:tcPr>
          <w:p w14:paraId="508AD7B1"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185</w:t>
            </w:r>
          </w:p>
        </w:tc>
        <w:tc>
          <w:tcPr>
            <w:tcW w:w="1299" w:type="dxa"/>
            <w:tcBorders>
              <w:top w:val="single" w:sz="4" w:space="0" w:color="auto"/>
              <w:left w:val="nil"/>
              <w:bottom w:val="nil"/>
              <w:right w:val="single" w:sz="4" w:space="0" w:color="D9D9D9" w:themeColor="background1" w:themeShade="D9"/>
            </w:tcBorders>
            <w:shd w:val="clear" w:color="auto" w:fill="auto"/>
            <w:vAlign w:val="center"/>
            <w:hideMark/>
          </w:tcPr>
          <w:p w14:paraId="79817179"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62.29 ± 5.53</w:t>
            </w:r>
          </w:p>
        </w:tc>
        <w:tc>
          <w:tcPr>
            <w:tcW w:w="861" w:type="dxa"/>
            <w:tcBorders>
              <w:top w:val="single" w:sz="4" w:space="0" w:color="auto"/>
              <w:left w:val="single" w:sz="4" w:space="0" w:color="D9D9D9" w:themeColor="background1" w:themeShade="D9"/>
              <w:bottom w:val="nil"/>
              <w:right w:val="nil"/>
            </w:tcBorders>
            <w:shd w:val="clear" w:color="auto" w:fill="auto"/>
            <w:vAlign w:val="center"/>
            <w:hideMark/>
          </w:tcPr>
          <w:p w14:paraId="75EB21E5"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39</w:t>
            </w:r>
          </w:p>
        </w:tc>
        <w:tc>
          <w:tcPr>
            <w:tcW w:w="1094" w:type="dxa"/>
            <w:tcBorders>
              <w:top w:val="single" w:sz="4" w:space="0" w:color="auto"/>
              <w:left w:val="nil"/>
              <w:bottom w:val="nil"/>
              <w:right w:val="nil"/>
            </w:tcBorders>
            <w:shd w:val="clear" w:color="auto" w:fill="auto"/>
            <w:vAlign w:val="center"/>
            <w:hideMark/>
          </w:tcPr>
          <w:p w14:paraId="5880409B"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39 ± 9.68</w:t>
            </w:r>
          </w:p>
        </w:tc>
      </w:tr>
      <w:tr w:rsidR="001F2695" w:rsidRPr="006E2A7F" w14:paraId="005FEC52" w14:textId="77777777" w:rsidTr="00A26E04">
        <w:trPr>
          <w:trHeight w:val="510"/>
        </w:trPr>
        <w:tc>
          <w:tcPr>
            <w:tcW w:w="784" w:type="dxa"/>
            <w:tcBorders>
              <w:top w:val="nil"/>
              <w:left w:val="nil"/>
              <w:bottom w:val="nil"/>
              <w:right w:val="single" w:sz="4" w:space="0" w:color="D9D9D9" w:themeColor="background1" w:themeShade="D9"/>
            </w:tcBorders>
            <w:shd w:val="clear" w:color="auto" w:fill="auto"/>
            <w:vAlign w:val="center"/>
            <w:hideMark/>
          </w:tcPr>
          <w:p w14:paraId="40346F2A"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Fair</w:t>
            </w:r>
          </w:p>
        </w:tc>
        <w:tc>
          <w:tcPr>
            <w:tcW w:w="861" w:type="dxa"/>
            <w:tcBorders>
              <w:top w:val="nil"/>
              <w:left w:val="single" w:sz="4" w:space="0" w:color="D9D9D9" w:themeColor="background1" w:themeShade="D9"/>
              <w:bottom w:val="nil"/>
              <w:right w:val="nil"/>
            </w:tcBorders>
            <w:shd w:val="clear" w:color="auto" w:fill="auto"/>
            <w:vAlign w:val="center"/>
            <w:hideMark/>
          </w:tcPr>
          <w:p w14:paraId="36997028"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35</w:t>
            </w:r>
          </w:p>
        </w:tc>
        <w:tc>
          <w:tcPr>
            <w:tcW w:w="1325" w:type="dxa"/>
            <w:tcBorders>
              <w:top w:val="nil"/>
              <w:left w:val="nil"/>
              <w:bottom w:val="nil"/>
              <w:right w:val="single" w:sz="4" w:space="0" w:color="D9D9D9" w:themeColor="background1" w:themeShade="D9"/>
            </w:tcBorders>
            <w:shd w:val="clear" w:color="auto" w:fill="auto"/>
            <w:vAlign w:val="center"/>
            <w:hideMark/>
          </w:tcPr>
          <w:p w14:paraId="37707677"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11.78 ± 3.68</w:t>
            </w:r>
          </w:p>
        </w:tc>
        <w:tc>
          <w:tcPr>
            <w:tcW w:w="861" w:type="dxa"/>
            <w:tcBorders>
              <w:top w:val="nil"/>
              <w:left w:val="single" w:sz="4" w:space="0" w:color="D9D9D9" w:themeColor="background1" w:themeShade="D9"/>
              <w:bottom w:val="nil"/>
              <w:right w:val="nil"/>
            </w:tcBorders>
            <w:shd w:val="clear" w:color="auto" w:fill="auto"/>
            <w:noWrap/>
            <w:vAlign w:val="center"/>
            <w:hideMark/>
          </w:tcPr>
          <w:p w14:paraId="707D7517" w14:textId="77777777" w:rsidR="001F2695" w:rsidRPr="006E2A7F" w:rsidRDefault="001F2695" w:rsidP="001F2695">
            <w:pPr>
              <w:spacing w:after="0" w:line="240" w:lineRule="auto"/>
              <w:rPr>
                <w:rFonts w:ascii="Times New Roman" w:eastAsia="Times New Roman" w:hAnsi="Times New Roman" w:cs="Times New Roman"/>
                <w:color w:val="000000"/>
                <w:sz w:val="20"/>
                <w:szCs w:val="20"/>
              </w:rPr>
            </w:pPr>
            <w:r w:rsidRPr="006E2A7F">
              <w:rPr>
                <w:rFonts w:ascii="Times New Roman" w:eastAsia="Times New Roman" w:hAnsi="Times New Roman" w:cs="Times New Roman"/>
                <w:color w:val="000000"/>
                <w:sz w:val="20"/>
                <w:szCs w:val="20"/>
              </w:rPr>
              <w:t>0</w:t>
            </w:r>
          </w:p>
        </w:tc>
        <w:tc>
          <w:tcPr>
            <w:tcW w:w="1389" w:type="dxa"/>
            <w:tcBorders>
              <w:top w:val="nil"/>
              <w:left w:val="nil"/>
              <w:bottom w:val="nil"/>
              <w:right w:val="single" w:sz="4" w:space="0" w:color="D9D9D9" w:themeColor="background1" w:themeShade="D9"/>
            </w:tcBorders>
            <w:shd w:val="clear" w:color="auto" w:fill="auto"/>
            <w:noWrap/>
            <w:vAlign w:val="center"/>
            <w:hideMark/>
          </w:tcPr>
          <w:p w14:paraId="1801E699" w14:textId="77777777" w:rsidR="001F2695" w:rsidRPr="006E2A7F" w:rsidRDefault="001F2695" w:rsidP="001F2695">
            <w:pPr>
              <w:spacing w:after="0" w:line="240" w:lineRule="auto"/>
              <w:rPr>
                <w:rFonts w:ascii="Times New Roman" w:eastAsia="Times New Roman" w:hAnsi="Times New Roman" w:cs="Times New Roman"/>
                <w:color w:val="000000"/>
                <w:sz w:val="20"/>
                <w:szCs w:val="20"/>
              </w:rPr>
            </w:pPr>
            <w:r w:rsidRPr="006E2A7F">
              <w:rPr>
                <w:rFonts w:ascii="Times New Roman" w:eastAsia="Times New Roman" w:hAnsi="Times New Roman" w:cs="Times New Roman"/>
                <w:color w:val="000000"/>
                <w:sz w:val="20"/>
                <w:szCs w:val="20"/>
              </w:rPr>
              <w:t>0</w:t>
            </w:r>
          </w:p>
        </w:tc>
        <w:tc>
          <w:tcPr>
            <w:tcW w:w="861" w:type="dxa"/>
            <w:tcBorders>
              <w:top w:val="nil"/>
              <w:left w:val="single" w:sz="4" w:space="0" w:color="D9D9D9" w:themeColor="background1" w:themeShade="D9"/>
              <w:bottom w:val="nil"/>
              <w:right w:val="nil"/>
            </w:tcBorders>
            <w:shd w:val="clear" w:color="auto" w:fill="auto"/>
            <w:vAlign w:val="center"/>
            <w:hideMark/>
          </w:tcPr>
          <w:p w14:paraId="1BF83D26"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21</w:t>
            </w:r>
          </w:p>
        </w:tc>
        <w:tc>
          <w:tcPr>
            <w:tcW w:w="1299" w:type="dxa"/>
            <w:tcBorders>
              <w:top w:val="nil"/>
              <w:left w:val="nil"/>
              <w:bottom w:val="nil"/>
              <w:right w:val="single" w:sz="4" w:space="0" w:color="D9D9D9" w:themeColor="background1" w:themeShade="D9"/>
            </w:tcBorders>
            <w:shd w:val="clear" w:color="auto" w:fill="auto"/>
            <w:vAlign w:val="center"/>
            <w:hideMark/>
          </w:tcPr>
          <w:p w14:paraId="1D4E8BCF"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7.07 ± 2.93</w:t>
            </w:r>
          </w:p>
        </w:tc>
        <w:tc>
          <w:tcPr>
            <w:tcW w:w="861" w:type="dxa"/>
            <w:tcBorders>
              <w:top w:val="nil"/>
              <w:left w:val="single" w:sz="4" w:space="0" w:color="D9D9D9" w:themeColor="background1" w:themeShade="D9"/>
              <w:bottom w:val="nil"/>
              <w:right w:val="nil"/>
            </w:tcBorders>
            <w:shd w:val="clear" w:color="auto" w:fill="auto"/>
            <w:vAlign w:val="center"/>
            <w:hideMark/>
          </w:tcPr>
          <w:p w14:paraId="69565618"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33</w:t>
            </w:r>
          </w:p>
        </w:tc>
        <w:tc>
          <w:tcPr>
            <w:tcW w:w="1094" w:type="dxa"/>
            <w:tcBorders>
              <w:top w:val="nil"/>
              <w:left w:val="nil"/>
              <w:bottom w:val="nil"/>
              <w:right w:val="nil"/>
            </w:tcBorders>
            <w:shd w:val="clear" w:color="auto" w:fill="auto"/>
            <w:vAlign w:val="center"/>
            <w:hideMark/>
          </w:tcPr>
          <w:p w14:paraId="3031C504"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33 ± 9.33</w:t>
            </w:r>
          </w:p>
        </w:tc>
      </w:tr>
      <w:tr w:rsidR="001F2695" w:rsidRPr="006E2A7F" w14:paraId="60DE49D0" w14:textId="77777777" w:rsidTr="00A26E04">
        <w:trPr>
          <w:trHeight w:val="510"/>
        </w:trPr>
        <w:tc>
          <w:tcPr>
            <w:tcW w:w="784" w:type="dxa"/>
            <w:tcBorders>
              <w:top w:val="nil"/>
              <w:left w:val="nil"/>
              <w:bottom w:val="nil"/>
              <w:right w:val="single" w:sz="4" w:space="0" w:color="D9D9D9" w:themeColor="background1" w:themeShade="D9"/>
            </w:tcBorders>
            <w:shd w:val="clear" w:color="auto" w:fill="auto"/>
            <w:vAlign w:val="center"/>
            <w:hideMark/>
          </w:tcPr>
          <w:p w14:paraId="7AF9AC4D"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Poor</w:t>
            </w:r>
          </w:p>
        </w:tc>
        <w:tc>
          <w:tcPr>
            <w:tcW w:w="861" w:type="dxa"/>
            <w:tcBorders>
              <w:top w:val="nil"/>
              <w:left w:val="single" w:sz="4" w:space="0" w:color="D9D9D9" w:themeColor="background1" w:themeShade="D9"/>
              <w:bottom w:val="nil"/>
              <w:right w:val="nil"/>
            </w:tcBorders>
            <w:shd w:val="clear" w:color="auto" w:fill="auto"/>
            <w:vAlign w:val="center"/>
            <w:hideMark/>
          </w:tcPr>
          <w:p w14:paraId="5753EDC0"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55</w:t>
            </w:r>
          </w:p>
        </w:tc>
        <w:tc>
          <w:tcPr>
            <w:tcW w:w="1325" w:type="dxa"/>
            <w:tcBorders>
              <w:top w:val="nil"/>
              <w:left w:val="nil"/>
              <w:bottom w:val="nil"/>
              <w:right w:val="single" w:sz="4" w:space="0" w:color="D9D9D9" w:themeColor="background1" w:themeShade="D9"/>
            </w:tcBorders>
            <w:shd w:val="clear" w:color="auto" w:fill="auto"/>
            <w:vAlign w:val="center"/>
            <w:hideMark/>
          </w:tcPr>
          <w:p w14:paraId="49D4B6A4"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18.52 ± 4.44</w:t>
            </w:r>
          </w:p>
        </w:tc>
        <w:tc>
          <w:tcPr>
            <w:tcW w:w="861" w:type="dxa"/>
            <w:tcBorders>
              <w:top w:val="nil"/>
              <w:left w:val="single" w:sz="4" w:space="0" w:color="D9D9D9" w:themeColor="background1" w:themeShade="D9"/>
              <w:bottom w:val="nil"/>
              <w:right w:val="nil"/>
            </w:tcBorders>
            <w:shd w:val="clear" w:color="auto" w:fill="auto"/>
            <w:vAlign w:val="center"/>
          </w:tcPr>
          <w:p w14:paraId="006F8DE5" w14:textId="32EAC274"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36</w:t>
            </w:r>
          </w:p>
        </w:tc>
        <w:tc>
          <w:tcPr>
            <w:tcW w:w="1389" w:type="dxa"/>
            <w:tcBorders>
              <w:top w:val="nil"/>
              <w:left w:val="nil"/>
              <w:bottom w:val="nil"/>
              <w:right w:val="single" w:sz="4" w:space="0" w:color="D9D9D9" w:themeColor="background1" w:themeShade="D9"/>
            </w:tcBorders>
            <w:shd w:val="clear" w:color="auto" w:fill="auto"/>
            <w:vAlign w:val="center"/>
          </w:tcPr>
          <w:p w14:paraId="52A33546" w14:textId="73329F46"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12.12 ± 3.73</w:t>
            </w:r>
          </w:p>
        </w:tc>
        <w:tc>
          <w:tcPr>
            <w:tcW w:w="861" w:type="dxa"/>
            <w:tcBorders>
              <w:top w:val="nil"/>
              <w:left w:val="single" w:sz="4" w:space="0" w:color="D9D9D9" w:themeColor="background1" w:themeShade="D9"/>
              <w:bottom w:val="nil"/>
              <w:right w:val="nil"/>
            </w:tcBorders>
            <w:shd w:val="clear" w:color="auto" w:fill="auto"/>
            <w:vAlign w:val="center"/>
            <w:hideMark/>
          </w:tcPr>
          <w:p w14:paraId="5A3FA947"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64</w:t>
            </w:r>
          </w:p>
        </w:tc>
        <w:tc>
          <w:tcPr>
            <w:tcW w:w="1299" w:type="dxa"/>
            <w:tcBorders>
              <w:top w:val="nil"/>
              <w:left w:val="nil"/>
              <w:bottom w:val="nil"/>
              <w:right w:val="single" w:sz="4" w:space="0" w:color="D9D9D9" w:themeColor="background1" w:themeShade="D9"/>
            </w:tcBorders>
            <w:shd w:val="clear" w:color="auto" w:fill="auto"/>
            <w:vAlign w:val="center"/>
            <w:hideMark/>
          </w:tcPr>
          <w:p w14:paraId="574DEED8"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21.55 ± 4.7</w:t>
            </w:r>
          </w:p>
        </w:tc>
        <w:tc>
          <w:tcPr>
            <w:tcW w:w="861" w:type="dxa"/>
            <w:tcBorders>
              <w:top w:val="nil"/>
              <w:left w:val="single" w:sz="4" w:space="0" w:color="D9D9D9" w:themeColor="background1" w:themeShade="D9"/>
              <w:bottom w:val="nil"/>
              <w:right w:val="nil"/>
            </w:tcBorders>
            <w:shd w:val="clear" w:color="auto" w:fill="auto"/>
            <w:vAlign w:val="center"/>
            <w:hideMark/>
          </w:tcPr>
          <w:p w14:paraId="63D0BD71"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24</w:t>
            </w:r>
          </w:p>
        </w:tc>
        <w:tc>
          <w:tcPr>
            <w:tcW w:w="1094" w:type="dxa"/>
            <w:tcBorders>
              <w:top w:val="nil"/>
              <w:left w:val="nil"/>
              <w:bottom w:val="nil"/>
              <w:right w:val="nil"/>
            </w:tcBorders>
            <w:shd w:val="clear" w:color="auto" w:fill="auto"/>
            <w:vAlign w:val="center"/>
            <w:hideMark/>
          </w:tcPr>
          <w:p w14:paraId="5A00843F"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24 ± 8.47</w:t>
            </w:r>
          </w:p>
        </w:tc>
      </w:tr>
      <w:tr w:rsidR="001F2695" w:rsidRPr="006E2A7F" w14:paraId="6EC1583C" w14:textId="77777777" w:rsidTr="00A26E04">
        <w:trPr>
          <w:trHeight w:val="510"/>
        </w:trPr>
        <w:tc>
          <w:tcPr>
            <w:tcW w:w="784" w:type="dxa"/>
            <w:tcBorders>
              <w:top w:val="nil"/>
              <w:left w:val="nil"/>
              <w:bottom w:val="single" w:sz="4" w:space="0" w:color="auto"/>
              <w:right w:val="single" w:sz="4" w:space="0" w:color="D9D9D9" w:themeColor="background1" w:themeShade="D9"/>
            </w:tcBorders>
            <w:shd w:val="clear" w:color="auto" w:fill="auto"/>
            <w:vAlign w:val="center"/>
            <w:hideMark/>
          </w:tcPr>
          <w:p w14:paraId="4AC2A41A"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Very Poor</w:t>
            </w:r>
          </w:p>
        </w:tc>
        <w:tc>
          <w:tcPr>
            <w:tcW w:w="861" w:type="dxa"/>
            <w:tcBorders>
              <w:top w:val="nil"/>
              <w:left w:val="single" w:sz="4" w:space="0" w:color="D9D9D9" w:themeColor="background1" w:themeShade="D9"/>
              <w:bottom w:val="single" w:sz="4" w:space="0" w:color="auto"/>
              <w:right w:val="nil"/>
            </w:tcBorders>
            <w:shd w:val="clear" w:color="auto" w:fill="auto"/>
            <w:vAlign w:val="center"/>
            <w:hideMark/>
          </w:tcPr>
          <w:p w14:paraId="281E56BC"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102</w:t>
            </w:r>
          </w:p>
        </w:tc>
        <w:tc>
          <w:tcPr>
            <w:tcW w:w="1325" w:type="dxa"/>
            <w:tcBorders>
              <w:top w:val="nil"/>
              <w:left w:val="nil"/>
              <w:bottom w:val="single" w:sz="4" w:space="0" w:color="auto"/>
              <w:right w:val="single" w:sz="4" w:space="0" w:color="D9D9D9" w:themeColor="background1" w:themeShade="D9"/>
            </w:tcBorders>
            <w:shd w:val="clear" w:color="auto" w:fill="auto"/>
            <w:vAlign w:val="center"/>
            <w:hideMark/>
          </w:tcPr>
          <w:p w14:paraId="2EF2233E"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34.34 ± 5.42</w:t>
            </w:r>
          </w:p>
        </w:tc>
        <w:tc>
          <w:tcPr>
            <w:tcW w:w="861" w:type="dxa"/>
            <w:tcBorders>
              <w:top w:val="nil"/>
              <w:left w:val="single" w:sz="4" w:space="0" w:color="D9D9D9" w:themeColor="background1" w:themeShade="D9"/>
              <w:bottom w:val="single" w:sz="4" w:space="0" w:color="auto"/>
              <w:right w:val="nil"/>
            </w:tcBorders>
            <w:shd w:val="clear" w:color="auto" w:fill="auto"/>
            <w:vAlign w:val="center"/>
            <w:hideMark/>
          </w:tcPr>
          <w:p w14:paraId="1A3EDD2A"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38</w:t>
            </w:r>
          </w:p>
        </w:tc>
        <w:tc>
          <w:tcPr>
            <w:tcW w:w="1389" w:type="dxa"/>
            <w:tcBorders>
              <w:top w:val="nil"/>
              <w:left w:val="nil"/>
              <w:bottom w:val="single" w:sz="4" w:space="0" w:color="auto"/>
              <w:right w:val="single" w:sz="4" w:space="0" w:color="D9D9D9" w:themeColor="background1" w:themeShade="D9"/>
            </w:tcBorders>
            <w:shd w:val="clear" w:color="auto" w:fill="auto"/>
            <w:vAlign w:val="center"/>
            <w:hideMark/>
          </w:tcPr>
          <w:p w14:paraId="78B74D5A"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12.79 ± 3.81</w:t>
            </w:r>
          </w:p>
        </w:tc>
        <w:tc>
          <w:tcPr>
            <w:tcW w:w="861" w:type="dxa"/>
            <w:tcBorders>
              <w:top w:val="nil"/>
              <w:left w:val="single" w:sz="4" w:space="0" w:color="D9D9D9" w:themeColor="background1" w:themeShade="D9"/>
              <w:bottom w:val="single" w:sz="4" w:space="0" w:color="auto"/>
              <w:right w:val="nil"/>
            </w:tcBorders>
            <w:shd w:val="clear" w:color="auto" w:fill="auto"/>
            <w:vAlign w:val="center"/>
            <w:hideMark/>
          </w:tcPr>
          <w:p w14:paraId="2B1F5F45"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27</w:t>
            </w:r>
          </w:p>
        </w:tc>
        <w:tc>
          <w:tcPr>
            <w:tcW w:w="1299" w:type="dxa"/>
            <w:tcBorders>
              <w:top w:val="nil"/>
              <w:left w:val="nil"/>
              <w:bottom w:val="single" w:sz="4" w:space="0" w:color="auto"/>
              <w:right w:val="single" w:sz="4" w:space="0" w:color="D9D9D9" w:themeColor="background1" w:themeShade="D9"/>
            </w:tcBorders>
            <w:shd w:val="clear" w:color="auto" w:fill="auto"/>
            <w:vAlign w:val="center"/>
            <w:hideMark/>
          </w:tcPr>
          <w:p w14:paraId="6D96B15B"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9.09 ± 3.28</w:t>
            </w:r>
          </w:p>
        </w:tc>
        <w:tc>
          <w:tcPr>
            <w:tcW w:w="861" w:type="dxa"/>
            <w:tcBorders>
              <w:top w:val="nil"/>
              <w:left w:val="single" w:sz="4" w:space="0" w:color="D9D9D9" w:themeColor="background1" w:themeShade="D9"/>
              <w:bottom w:val="single" w:sz="4" w:space="0" w:color="auto"/>
              <w:right w:val="nil"/>
            </w:tcBorders>
            <w:shd w:val="clear" w:color="auto" w:fill="auto"/>
            <w:vAlign w:val="center"/>
            <w:hideMark/>
          </w:tcPr>
          <w:p w14:paraId="491EE15A"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4</w:t>
            </w:r>
          </w:p>
        </w:tc>
        <w:tc>
          <w:tcPr>
            <w:tcW w:w="1094" w:type="dxa"/>
            <w:tcBorders>
              <w:top w:val="nil"/>
              <w:left w:val="nil"/>
              <w:bottom w:val="single" w:sz="4" w:space="0" w:color="auto"/>
              <w:right w:val="nil"/>
            </w:tcBorders>
            <w:shd w:val="clear" w:color="auto" w:fill="auto"/>
            <w:vAlign w:val="center"/>
            <w:hideMark/>
          </w:tcPr>
          <w:p w14:paraId="40B805BF" w14:textId="77777777" w:rsidR="001F2695" w:rsidRPr="006E2A7F" w:rsidRDefault="001F2695" w:rsidP="001F2695">
            <w:pPr>
              <w:spacing w:after="0" w:line="240" w:lineRule="auto"/>
              <w:rPr>
                <w:rFonts w:ascii="Times New Roman" w:eastAsia="Times New Roman" w:hAnsi="Times New Roman" w:cs="Times New Roman"/>
                <w:color w:val="222222"/>
                <w:sz w:val="20"/>
                <w:szCs w:val="20"/>
              </w:rPr>
            </w:pPr>
            <w:r w:rsidRPr="006E2A7F">
              <w:rPr>
                <w:rFonts w:ascii="Times New Roman" w:eastAsia="Times New Roman" w:hAnsi="Times New Roman" w:cs="Times New Roman"/>
                <w:color w:val="222222"/>
                <w:sz w:val="20"/>
                <w:szCs w:val="20"/>
              </w:rPr>
              <w:t>4 ± 3.89</w:t>
            </w:r>
          </w:p>
        </w:tc>
      </w:tr>
      <w:tr w:rsidR="001F2695" w:rsidRPr="006E2A7F" w14:paraId="173CB384" w14:textId="77777777" w:rsidTr="00A26E04">
        <w:trPr>
          <w:trHeight w:val="300"/>
        </w:trPr>
        <w:tc>
          <w:tcPr>
            <w:tcW w:w="784" w:type="dxa"/>
            <w:tcBorders>
              <w:top w:val="single" w:sz="4" w:space="0" w:color="auto"/>
              <w:left w:val="nil"/>
              <w:bottom w:val="single" w:sz="4" w:space="0" w:color="auto"/>
              <w:right w:val="nil"/>
            </w:tcBorders>
            <w:shd w:val="clear" w:color="auto" w:fill="auto"/>
            <w:vAlign w:val="center"/>
            <w:hideMark/>
          </w:tcPr>
          <w:p w14:paraId="0A62EC90"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Total</w:t>
            </w:r>
          </w:p>
        </w:tc>
        <w:tc>
          <w:tcPr>
            <w:tcW w:w="861" w:type="dxa"/>
            <w:tcBorders>
              <w:top w:val="single" w:sz="4" w:space="0" w:color="auto"/>
              <w:left w:val="nil"/>
              <w:bottom w:val="single" w:sz="4" w:space="0" w:color="auto"/>
              <w:right w:val="nil"/>
            </w:tcBorders>
            <w:shd w:val="clear" w:color="auto" w:fill="auto"/>
            <w:vAlign w:val="center"/>
            <w:hideMark/>
          </w:tcPr>
          <w:p w14:paraId="101A000C"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297</w:t>
            </w:r>
          </w:p>
        </w:tc>
        <w:tc>
          <w:tcPr>
            <w:tcW w:w="1325" w:type="dxa"/>
            <w:tcBorders>
              <w:top w:val="single" w:sz="4" w:space="0" w:color="auto"/>
              <w:left w:val="nil"/>
              <w:bottom w:val="single" w:sz="4" w:space="0" w:color="auto"/>
              <w:right w:val="nil"/>
            </w:tcBorders>
            <w:shd w:val="clear" w:color="auto" w:fill="auto"/>
            <w:vAlign w:val="center"/>
            <w:hideMark/>
          </w:tcPr>
          <w:p w14:paraId="50807485"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p>
        </w:tc>
        <w:tc>
          <w:tcPr>
            <w:tcW w:w="861" w:type="dxa"/>
            <w:tcBorders>
              <w:top w:val="single" w:sz="4" w:space="0" w:color="auto"/>
              <w:left w:val="nil"/>
              <w:bottom w:val="single" w:sz="4" w:space="0" w:color="auto"/>
              <w:right w:val="nil"/>
            </w:tcBorders>
            <w:shd w:val="clear" w:color="auto" w:fill="auto"/>
            <w:vAlign w:val="center"/>
            <w:hideMark/>
          </w:tcPr>
          <w:p w14:paraId="6B02F9F1"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297</w:t>
            </w:r>
          </w:p>
        </w:tc>
        <w:tc>
          <w:tcPr>
            <w:tcW w:w="1389" w:type="dxa"/>
            <w:tcBorders>
              <w:top w:val="single" w:sz="4" w:space="0" w:color="auto"/>
              <w:left w:val="nil"/>
              <w:bottom w:val="single" w:sz="4" w:space="0" w:color="auto"/>
              <w:right w:val="nil"/>
            </w:tcBorders>
            <w:shd w:val="clear" w:color="auto" w:fill="auto"/>
            <w:noWrap/>
            <w:vAlign w:val="center"/>
            <w:hideMark/>
          </w:tcPr>
          <w:p w14:paraId="6C3B7468"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p>
        </w:tc>
        <w:tc>
          <w:tcPr>
            <w:tcW w:w="861" w:type="dxa"/>
            <w:tcBorders>
              <w:top w:val="single" w:sz="4" w:space="0" w:color="auto"/>
              <w:left w:val="nil"/>
              <w:bottom w:val="single" w:sz="4" w:space="0" w:color="auto"/>
              <w:right w:val="nil"/>
            </w:tcBorders>
            <w:shd w:val="clear" w:color="auto" w:fill="auto"/>
            <w:vAlign w:val="center"/>
            <w:hideMark/>
          </w:tcPr>
          <w:p w14:paraId="3FED9C50"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297</w:t>
            </w:r>
          </w:p>
        </w:tc>
        <w:tc>
          <w:tcPr>
            <w:tcW w:w="1299" w:type="dxa"/>
            <w:tcBorders>
              <w:top w:val="single" w:sz="4" w:space="0" w:color="auto"/>
              <w:left w:val="nil"/>
              <w:bottom w:val="single" w:sz="4" w:space="0" w:color="auto"/>
              <w:right w:val="nil"/>
            </w:tcBorders>
            <w:shd w:val="clear" w:color="auto" w:fill="auto"/>
            <w:vAlign w:val="center"/>
            <w:hideMark/>
          </w:tcPr>
          <w:p w14:paraId="19927D82"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p>
        </w:tc>
        <w:tc>
          <w:tcPr>
            <w:tcW w:w="861" w:type="dxa"/>
            <w:tcBorders>
              <w:top w:val="single" w:sz="4" w:space="0" w:color="auto"/>
              <w:left w:val="nil"/>
              <w:bottom w:val="single" w:sz="4" w:space="0" w:color="auto"/>
              <w:right w:val="nil"/>
            </w:tcBorders>
            <w:shd w:val="clear" w:color="auto" w:fill="auto"/>
            <w:vAlign w:val="center"/>
            <w:hideMark/>
          </w:tcPr>
          <w:p w14:paraId="23E5B2E7"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r w:rsidRPr="006E2A7F">
              <w:rPr>
                <w:rFonts w:ascii="Times New Roman" w:eastAsia="Times New Roman" w:hAnsi="Times New Roman" w:cs="Times New Roman"/>
                <w:b/>
                <w:bCs/>
                <w:color w:val="222222"/>
                <w:sz w:val="20"/>
                <w:szCs w:val="20"/>
              </w:rPr>
              <w:t>100</w:t>
            </w:r>
          </w:p>
        </w:tc>
        <w:tc>
          <w:tcPr>
            <w:tcW w:w="1094" w:type="dxa"/>
            <w:tcBorders>
              <w:top w:val="single" w:sz="4" w:space="0" w:color="auto"/>
              <w:left w:val="nil"/>
              <w:bottom w:val="single" w:sz="4" w:space="0" w:color="auto"/>
              <w:right w:val="nil"/>
            </w:tcBorders>
            <w:shd w:val="clear" w:color="auto" w:fill="auto"/>
            <w:vAlign w:val="center"/>
            <w:hideMark/>
          </w:tcPr>
          <w:p w14:paraId="3E0D171E" w14:textId="77777777" w:rsidR="001F2695" w:rsidRPr="006E2A7F" w:rsidRDefault="001F2695" w:rsidP="001F2695">
            <w:pPr>
              <w:spacing w:after="0" w:line="240" w:lineRule="auto"/>
              <w:rPr>
                <w:rFonts w:ascii="Times New Roman" w:eastAsia="Times New Roman" w:hAnsi="Times New Roman" w:cs="Times New Roman"/>
                <w:b/>
                <w:bCs/>
                <w:color w:val="222222"/>
                <w:sz w:val="20"/>
                <w:szCs w:val="20"/>
              </w:rPr>
            </w:pPr>
          </w:p>
        </w:tc>
      </w:tr>
    </w:tbl>
    <w:p w14:paraId="19EBB99B" w14:textId="4CC80FF2" w:rsidR="006E2A7F" w:rsidRDefault="006E2A7F" w:rsidP="00FE1DDB">
      <w:pPr>
        <w:spacing w:after="0" w:line="240" w:lineRule="auto"/>
        <w:rPr>
          <w:rFonts w:ascii="Times New Roman" w:hAnsi="Times New Roman" w:cs="Times New Roman"/>
          <w:sz w:val="24"/>
          <w:szCs w:val="24"/>
        </w:rPr>
      </w:pPr>
    </w:p>
    <w:p w14:paraId="32189DF1" w14:textId="1E4BEEBE" w:rsidR="006E2A7F" w:rsidRDefault="006E2A7F" w:rsidP="00FE1DDB">
      <w:pPr>
        <w:spacing w:after="0" w:line="240" w:lineRule="auto"/>
        <w:rPr>
          <w:rFonts w:ascii="Times New Roman" w:hAnsi="Times New Roman" w:cs="Times New Roman"/>
          <w:sz w:val="24"/>
          <w:szCs w:val="24"/>
        </w:rPr>
      </w:pPr>
    </w:p>
    <w:p w14:paraId="6E949896" w14:textId="6C29C51D" w:rsidR="00A26E04" w:rsidRDefault="001F2695" w:rsidP="00A26E04">
      <w:pPr>
        <w:spacing w:after="0" w:line="240" w:lineRule="auto"/>
        <w:jc w:val="both"/>
        <w:rPr>
          <w:rFonts w:ascii="Times New Roman" w:hAnsi="Times New Roman" w:cs="Times New Roman"/>
          <w:b/>
          <w:sz w:val="20"/>
          <w:szCs w:val="24"/>
        </w:rPr>
      </w:pPr>
      <w:r w:rsidRPr="00FE1DDB">
        <w:rPr>
          <w:rFonts w:ascii="Times New Roman" w:hAnsi="Times New Roman" w:cs="Times New Roman"/>
          <w:sz w:val="24"/>
          <w:szCs w:val="24"/>
        </w:rPr>
        <w:lastRenderedPageBreak/>
        <w:t>For the purpose of the weight-of-evidence assessment for Aquatic Life designated Use (ALU), to be discussed later in this chapter, each benthic index was expressed in terms of its relative degree of degradation following guidelines provided in Chapman et al. (1987)</w:t>
      </w:r>
      <w:r w:rsidR="00175388">
        <w:rPr>
          <w:rFonts w:ascii="Times New Roman" w:hAnsi="Times New Roman" w:cs="Times New Roman"/>
          <w:sz w:val="24"/>
          <w:szCs w:val="24"/>
        </w:rPr>
        <w:t xml:space="preserve"> Table 4.5-</w:t>
      </w:r>
      <w:r w:rsidR="008B0194">
        <w:rPr>
          <w:rFonts w:ascii="Times New Roman" w:hAnsi="Times New Roman" w:cs="Times New Roman"/>
          <w:sz w:val="24"/>
          <w:szCs w:val="24"/>
        </w:rPr>
        <w:t>23</w:t>
      </w:r>
      <w:r w:rsidRPr="00FE1DDB">
        <w:rPr>
          <w:rFonts w:ascii="Times New Roman" w:hAnsi="Times New Roman" w:cs="Times New Roman"/>
          <w:sz w:val="24"/>
          <w:szCs w:val="24"/>
        </w:rPr>
        <w:t>.</w:t>
      </w:r>
      <w:r w:rsidR="00A26E04" w:rsidRPr="00A26E04">
        <w:rPr>
          <w:rFonts w:ascii="Times New Roman" w:hAnsi="Times New Roman" w:cs="Times New Roman"/>
          <w:b/>
          <w:sz w:val="20"/>
          <w:szCs w:val="24"/>
        </w:rPr>
        <w:t xml:space="preserve"> </w:t>
      </w:r>
    </w:p>
    <w:p w14:paraId="035A1102" w14:textId="217AFF66" w:rsidR="00A26E04" w:rsidRPr="00806136" w:rsidRDefault="00A26E04" w:rsidP="001F2695">
      <w:pPr>
        <w:spacing w:after="0" w:line="240" w:lineRule="auto"/>
        <w:rPr>
          <w:rFonts w:ascii="Times New Roman" w:hAnsi="Times New Roman" w:cs="Times New Roman"/>
          <w:color w:val="000000" w:themeColor="text1"/>
          <w:sz w:val="28"/>
          <w:szCs w:val="24"/>
        </w:rPr>
      </w:pPr>
    </w:p>
    <w:p w14:paraId="44728082" w14:textId="67828BCE" w:rsidR="00806136" w:rsidRDefault="00806136" w:rsidP="00867F1E">
      <w:pPr>
        <w:pStyle w:val="Caption"/>
        <w:keepNext/>
      </w:pPr>
      <w:r w:rsidRPr="00806136">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23</w:t>
      </w:r>
      <w:r w:rsidRPr="00806136">
        <w:rPr>
          <w:rFonts w:ascii="Times New Roman" w:hAnsi="Times New Roman" w:cs="Times New Roman"/>
          <w:i w:val="0"/>
          <w:color w:val="000000" w:themeColor="text1"/>
          <w:sz w:val="20"/>
        </w:rPr>
        <w:t xml:space="preserve"> Numeric degradation scores associated with each class of benthic well-being</w:t>
      </w:r>
      <w:r w:rsidRPr="00FC134B">
        <w:t>.</w:t>
      </w:r>
    </w:p>
    <w:tbl>
      <w:tblPr>
        <w:tblStyle w:val="TableGrid"/>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umeric degradation scores associated with each class of benthic well-being."/>
        <w:tblDescription w:val="Numeric degradation scores associated with each class of benthic well-being."/>
      </w:tblPr>
      <w:tblGrid>
        <w:gridCol w:w="3479"/>
        <w:gridCol w:w="2590"/>
      </w:tblGrid>
      <w:tr w:rsidR="00A26E04" w:rsidRPr="00FE1DDB" w14:paraId="28B7891E" w14:textId="77777777" w:rsidTr="00867F1E">
        <w:trPr>
          <w:trHeight w:val="225"/>
          <w:tblHeader/>
        </w:trPr>
        <w:tc>
          <w:tcPr>
            <w:tcW w:w="3479" w:type="dxa"/>
            <w:tcBorders>
              <w:bottom w:val="single" w:sz="4" w:space="0" w:color="auto"/>
            </w:tcBorders>
          </w:tcPr>
          <w:p w14:paraId="6CE63BD6" w14:textId="77777777" w:rsidR="00A26E04" w:rsidRPr="00A26E04" w:rsidRDefault="00A26E04" w:rsidP="00867F1E">
            <w:pPr>
              <w:ind w:firstLine="0"/>
              <w:rPr>
                <w:rFonts w:ascii="Times New Roman" w:hAnsi="Times New Roman" w:cs="Times New Roman"/>
                <w:b/>
                <w:sz w:val="20"/>
                <w:szCs w:val="24"/>
              </w:rPr>
            </w:pPr>
            <w:r w:rsidRPr="00A26E04">
              <w:rPr>
                <w:rFonts w:ascii="Times New Roman" w:hAnsi="Times New Roman" w:cs="Times New Roman"/>
                <w:b/>
                <w:sz w:val="20"/>
                <w:szCs w:val="24"/>
              </w:rPr>
              <w:t>Benthic Class</w:t>
            </w:r>
          </w:p>
        </w:tc>
        <w:tc>
          <w:tcPr>
            <w:tcW w:w="2590" w:type="dxa"/>
            <w:tcBorders>
              <w:bottom w:val="single" w:sz="4" w:space="0" w:color="auto"/>
            </w:tcBorders>
          </w:tcPr>
          <w:p w14:paraId="579275A1" w14:textId="77777777" w:rsidR="00A26E04" w:rsidRPr="00A26E04" w:rsidRDefault="00A26E04" w:rsidP="00867F1E">
            <w:pPr>
              <w:ind w:firstLine="0"/>
              <w:rPr>
                <w:rFonts w:ascii="Times New Roman" w:hAnsi="Times New Roman" w:cs="Times New Roman"/>
                <w:b/>
                <w:sz w:val="20"/>
                <w:szCs w:val="24"/>
              </w:rPr>
            </w:pPr>
            <w:r w:rsidRPr="00A26E04">
              <w:rPr>
                <w:rFonts w:ascii="Times New Roman" w:hAnsi="Times New Roman" w:cs="Times New Roman"/>
                <w:b/>
                <w:sz w:val="20"/>
                <w:szCs w:val="24"/>
              </w:rPr>
              <w:t>Degradation Score</w:t>
            </w:r>
          </w:p>
        </w:tc>
      </w:tr>
      <w:tr w:rsidR="00A26E04" w:rsidRPr="00FE1DDB" w14:paraId="6F31E98C" w14:textId="77777777" w:rsidTr="00867F1E">
        <w:trPr>
          <w:trHeight w:val="317"/>
        </w:trPr>
        <w:tc>
          <w:tcPr>
            <w:tcW w:w="3479" w:type="dxa"/>
            <w:tcBorders>
              <w:top w:val="single" w:sz="4" w:space="0" w:color="auto"/>
            </w:tcBorders>
          </w:tcPr>
          <w:p w14:paraId="2413FF65" w14:textId="15CD3776"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Good (Meets Goals)</w:t>
            </w:r>
          </w:p>
        </w:tc>
        <w:tc>
          <w:tcPr>
            <w:tcW w:w="2590" w:type="dxa"/>
            <w:tcBorders>
              <w:top w:val="single" w:sz="4" w:space="0" w:color="auto"/>
            </w:tcBorders>
          </w:tcPr>
          <w:p w14:paraId="2E3981B6" w14:textId="77777777"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0</w:t>
            </w:r>
          </w:p>
        </w:tc>
      </w:tr>
      <w:tr w:rsidR="00A26E04" w:rsidRPr="00FE1DDB" w14:paraId="33834FBE" w14:textId="77777777" w:rsidTr="00867F1E">
        <w:trPr>
          <w:trHeight w:val="317"/>
        </w:trPr>
        <w:tc>
          <w:tcPr>
            <w:tcW w:w="3479" w:type="dxa"/>
          </w:tcPr>
          <w:p w14:paraId="68D9962B" w14:textId="7CD55F4A"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Fair (Marginal)</w:t>
            </w:r>
          </w:p>
        </w:tc>
        <w:tc>
          <w:tcPr>
            <w:tcW w:w="2590" w:type="dxa"/>
          </w:tcPr>
          <w:p w14:paraId="7E62E8A0" w14:textId="77777777"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1</w:t>
            </w:r>
          </w:p>
        </w:tc>
      </w:tr>
      <w:tr w:rsidR="00A26E04" w:rsidRPr="00FE1DDB" w14:paraId="29B40F52" w14:textId="77777777" w:rsidTr="00867F1E">
        <w:trPr>
          <w:trHeight w:val="317"/>
        </w:trPr>
        <w:tc>
          <w:tcPr>
            <w:tcW w:w="3479" w:type="dxa"/>
          </w:tcPr>
          <w:p w14:paraId="4F96EB30" w14:textId="20B58748"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Poor (Degraded)</w:t>
            </w:r>
          </w:p>
        </w:tc>
        <w:tc>
          <w:tcPr>
            <w:tcW w:w="2590" w:type="dxa"/>
          </w:tcPr>
          <w:p w14:paraId="6BC96EFF" w14:textId="77777777"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2</w:t>
            </w:r>
          </w:p>
        </w:tc>
      </w:tr>
      <w:tr w:rsidR="00A26E04" w:rsidRPr="00FE1DDB" w14:paraId="4DC20DCD" w14:textId="77777777" w:rsidTr="00867F1E">
        <w:trPr>
          <w:trHeight w:val="317"/>
        </w:trPr>
        <w:tc>
          <w:tcPr>
            <w:tcW w:w="3479" w:type="dxa"/>
          </w:tcPr>
          <w:p w14:paraId="7BBC78CE" w14:textId="6F13901F"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Very Poor (Severely Degraded)</w:t>
            </w:r>
          </w:p>
        </w:tc>
        <w:tc>
          <w:tcPr>
            <w:tcW w:w="2590" w:type="dxa"/>
          </w:tcPr>
          <w:p w14:paraId="087363A3" w14:textId="77777777" w:rsidR="00A26E04" w:rsidRPr="00A26E04" w:rsidRDefault="00A26E04" w:rsidP="00867F1E">
            <w:pPr>
              <w:ind w:firstLine="0"/>
              <w:rPr>
                <w:rFonts w:ascii="Times New Roman" w:hAnsi="Times New Roman" w:cs="Times New Roman"/>
                <w:sz w:val="20"/>
                <w:szCs w:val="24"/>
              </w:rPr>
            </w:pPr>
            <w:r w:rsidRPr="00A26E04">
              <w:rPr>
                <w:rFonts w:ascii="Times New Roman" w:hAnsi="Times New Roman" w:cs="Times New Roman"/>
                <w:sz w:val="20"/>
                <w:szCs w:val="24"/>
              </w:rPr>
              <w:t>3</w:t>
            </w:r>
          </w:p>
        </w:tc>
      </w:tr>
    </w:tbl>
    <w:p w14:paraId="1A3C6EA7" w14:textId="77777777" w:rsidR="00A26E04" w:rsidRDefault="001F2695" w:rsidP="001F2695">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 </w:t>
      </w:r>
    </w:p>
    <w:p w14:paraId="3A38C30F" w14:textId="77777777" w:rsidR="00A26E04" w:rsidRDefault="00A26E04" w:rsidP="001F2695">
      <w:pPr>
        <w:spacing w:after="0" w:line="240" w:lineRule="auto"/>
        <w:rPr>
          <w:rFonts w:ascii="Times New Roman" w:hAnsi="Times New Roman" w:cs="Times New Roman"/>
          <w:sz w:val="24"/>
          <w:szCs w:val="24"/>
        </w:rPr>
      </w:pPr>
    </w:p>
    <w:p w14:paraId="710CB9B9" w14:textId="77777777" w:rsidR="00A26E04" w:rsidRDefault="00A26E04" w:rsidP="001F2695">
      <w:pPr>
        <w:spacing w:after="0" w:line="240" w:lineRule="auto"/>
        <w:rPr>
          <w:rFonts w:ascii="Times New Roman" w:hAnsi="Times New Roman" w:cs="Times New Roman"/>
          <w:sz w:val="24"/>
          <w:szCs w:val="24"/>
        </w:rPr>
      </w:pPr>
    </w:p>
    <w:p w14:paraId="7AD3D69C" w14:textId="77777777" w:rsidR="00A26E04" w:rsidRDefault="00A26E04" w:rsidP="001F2695">
      <w:pPr>
        <w:spacing w:after="0" w:line="240" w:lineRule="auto"/>
        <w:rPr>
          <w:rFonts w:ascii="Times New Roman" w:hAnsi="Times New Roman" w:cs="Times New Roman"/>
          <w:sz w:val="24"/>
          <w:szCs w:val="24"/>
        </w:rPr>
      </w:pPr>
    </w:p>
    <w:p w14:paraId="20320210" w14:textId="77777777" w:rsidR="00A26E04" w:rsidRDefault="00A26E04" w:rsidP="001F2695">
      <w:pPr>
        <w:spacing w:after="0" w:line="240" w:lineRule="auto"/>
        <w:rPr>
          <w:rFonts w:ascii="Times New Roman" w:hAnsi="Times New Roman" w:cs="Times New Roman"/>
          <w:sz w:val="24"/>
          <w:szCs w:val="24"/>
        </w:rPr>
      </w:pPr>
    </w:p>
    <w:p w14:paraId="701EB01C" w14:textId="77777777" w:rsidR="00A26E04" w:rsidRDefault="00A26E04" w:rsidP="001F2695">
      <w:pPr>
        <w:spacing w:after="0" w:line="240" w:lineRule="auto"/>
        <w:rPr>
          <w:rFonts w:ascii="Times New Roman" w:hAnsi="Times New Roman" w:cs="Times New Roman"/>
          <w:sz w:val="24"/>
          <w:szCs w:val="24"/>
        </w:rPr>
      </w:pPr>
    </w:p>
    <w:p w14:paraId="663B1D83" w14:textId="7775B9E8" w:rsidR="00806136" w:rsidRDefault="001F2695" w:rsidP="00806136">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A weighted average across all indices was then calculated to determine an Integrated Benthic Score (IBS) for each site. </w:t>
      </w:r>
      <w:r w:rsidR="00D65687">
        <w:rPr>
          <w:rFonts w:ascii="Times New Roman" w:hAnsi="Times New Roman" w:cs="Times New Roman"/>
          <w:sz w:val="24"/>
          <w:szCs w:val="24"/>
        </w:rPr>
        <w:t xml:space="preserve">At stations within the Chesapeake Bay drainage, the CBP B-IBI carries twice the weight. Likewise, stations that are direct drainages to Atlantic Coastal Bays use a weight of 2 for the </w:t>
      </w:r>
      <w:r w:rsidR="00D65687" w:rsidRPr="00333DB5">
        <w:rPr>
          <w:rFonts w:ascii="Times New Roman" w:hAnsi="Times New Roman" w:cs="Times New Roman"/>
        </w:rPr>
        <w:t>Mid-Atlantic B-IBI</w:t>
      </w:r>
      <w:r w:rsidR="00D65687">
        <w:rPr>
          <w:rFonts w:ascii="Times New Roman" w:hAnsi="Times New Roman" w:cs="Times New Roman"/>
        </w:rPr>
        <w:t>.</w:t>
      </w:r>
      <w:r w:rsidR="00D65687" w:rsidRPr="00FE1DDB">
        <w:rPr>
          <w:rFonts w:ascii="Times New Roman" w:hAnsi="Times New Roman" w:cs="Times New Roman"/>
          <w:sz w:val="24"/>
          <w:szCs w:val="24"/>
        </w:rPr>
        <w:t xml:space="preserve"> </w:t>
      </w:r>
      <w:r w:rsidR="00D65687">
        <w:rPr>
          <w:rFonts w:ascii="Times New Roman" w:hAnsi="Times New Roman" w:cs="Times New Roman"/>
          <w:sz w:val="24"/>
          <w:szCs w:val="24"/>
        </w:rPr>
        <w:t xml:space="preserve">The EMAP and M-AMBI indexes have a weight of 1 regardless of watershed. </w:t>
      </w:r>
      <w:r w:rsidRPr="00FE1DDB">
        <w:rPr>
          <w:rFonts w:ascii="Times New Roman" w:hAnsi="Times New Roman" w:cs="Times New Roman"/>
          <w:sz w:val="24"/>
          <w:szCs w:val="24"/>
        </w:rPr>
        <w:t>The relative weights of each index for each geographic region of Virginia’s estuarine waters are summarized in Table 4.5-</w:t>
      </w:r>
      <w:r w:rsidR="008B0194">
        <w:rPr>
          <w:rFonts w:ascii="Times New Roman" w:hAnsi="Times New Roman" w:cs="Times New Roman"/>
          <w:sz w:val="24"/>
          <w:szCs w:val="24"/>
        </w:rPr>
        <w:t>24</w:t>
      </w:r>
      <w:r w:rsidRPr="00FE1DDB">
        <w:rPr>
          <w:rFonts w:ascii="Times New Roman" w:hAnsi="Times New Roman" w:cs="Times New Roman"/>
          <w:sz w:val="24"/>
          <w:szCs w:val="24"/>
        </w:rPr>
        <w:t>.</w:t>
      </w:r>
    </w:p>
    <w:p w14:paraId="7D2799DC" w14:textId="77777777" w:rsidR="00806136" w:rsidRDefault="00806136" w:rsidP="00806136">
      <w:pPr>
        <w:spacing w:after="0" w:line="240" w:lineRule="auto"/>
        <w:rPr>
          <w:rFonts w:ascii="Times New Roman" w:hAnsi="Times New Roman" w:cs="Times New Roman"/>
          <w:iCs/>
          <w:color w:val="000000" w:themeColor="text1"/>
          <w:sz w:val="20"/>
          <w:szCs w:val="18"/>
        </w:rPr>
      </w:pPr>
    </w:p>
    <w:p w14:paraId="5559FC56" w14:textId="414E2820" w:rsidR="00806136" w:rsidRPr="00806136" w:rsidRDefault="00806136" w:rsidP="00806136">
      <w:r w:rsidRPr="00806136">
        <w:rPr>
          <w:rFonts w:ascii="Times New Roman" w:hAnsi="Times New Roman" w:cs="Times New Roman"/>
          <w:color w:val="000000" w:themeColor="text1"/>
          <w:sz w:val="20"/>
        </w:rPr>
        <w:t xml:space="preserve">Table 4.5- </w:t>
      </w:r>
      <w:r w:rsidR="008B0194">
        <w:rPr>
          <w:rFonts w:ascii="Times New Roman" w:hAnsi="Times New Roman" w:cs="Times New Roman"/>
          <w:color w:val="000000" w:themeColor="text1"/>
          <w:sz w:val="20"/>
        </w:rPr>
        <w:t>24</w:t>
      </w:r>
      <w:r w:rsidRPr="00806136">
        <w:rPr>
          <w:rFonts w:ascii="Times New Roman" w:hAnsi="Times New Roman" w:cs="Times New Roman"/>
          <w:color w:val="000000" w:themeColor="text1"/>
          <w:sz w:val="20"/>
        </w:rPr>
        <w:t xml:space="preserve"> Weights employed, by geographic region and benthic index, in calculating the Integrated Benthic Score (IBS) from the index-specific degradation scores at each probabilistic estuarine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ights employed, by geographic region and benthic index, in calculating the Integrated Benthic Score (IBS) from the index-specific degradation scores at each probabilistic estuarine site."/>
        <w:tblDescription w:val="Weights employed, by geographic region and benthic index, in calculating the Integrated Benthic Score (IBS) from the index-specific degradation scores at each probabilistic estuarine site."/>
      </w:tblPr>
      <w:tblGrid>
        <w:gridCol w:w="1620"/>
        <w:gridCol w:w="1440"/>
        <w:gridCol w:w="1080"/>
        <w:gridCol w:w="1710"/>
      </w:tblGrid>
      <w:tr w:rsidR="00A47935" w:rsidRPr="00A26E04" w14:paraId="3BE2A6AF" w14:textId="77777777" w:rsidTr="00867F1E">
        <w:trPr>
          <w:tblHeader/>
        </w:trPr>
        <w:tc>
          <w:tcPr>
            <w:tcW w:w="1620" w:type="dxa"/>
            <w:tcBorders>
              <w:bottom w:val="single" w:sz="4" w:space="0" w:color="auto"/>
            </w:tcBorders>
            <w:vAlign w:val="center"/>
          </w:tcPr>
          <w:p w14:paraId="4CE9CFCF" w14:textId="2C024302" w:rsidR="00A47935" w:rsidRPr="00A26E04" w:rsidRDefault="00A26E04" w:rsidP="00A26E04">
            <w:pPr>
              <w:ind w:firstLine="0"/>
              <w:rPr>
                <w:rFonts w:ascii="Times New Roman" w:hAnsi="Times New Roman" w:cs="Times New Roman"/>
                <w:b/>
                <w:sz w:val="20"/>
                <w:szCs w:val="20"/>
              </w:rPr>
            </w:pPr>
            <w:r w:rsidRPr="00A26E04">
              <w:rPr>
                <w:rFonts w:ascii="Times New Roman" w:hAnsi="Times New Roman" w:cs="Times New Roman"/>
                <w:b/>
                <w:sz w:val="20"/>
                <w:szCs w:val="20"/>
              </w:rPr>
              <w:t>Benthic Index</w:t>
            </w:r>
          </w:p>
        </w:tc>
        <w:tc>
          <w:tcPr>
            <w:tcW w:w="1440" w:type="dxa"/>
            <w:tcBorders>
              <w:bottom w:val="single" w:sz="4" w:space="0" w:color="auto"/>
            </w:tcBorders>
            <w:vAlign w:val="center"/>
          </w:tcPr>
          <w:p w14:paraId="40D61257" w14:textId="062D6E4C" w:rsidR="00A47935" w:rsidRPr="00A26E04" w:rsidRDefault="00A26E04" w:rsidP="00A26E04">
            <w:pPr>
              <w:ind w:firstLine="0"/>
              <w:rPr>
                <w:rFonts w:ascii="Times New Roman" w:hAnsi="Times New Roman" w:cs="Times New Roman"/>
                <w:b/>
                <w:sz w:val="20"/>
                <w:szCs w:val="20"/>
              </w:rPr>
            </w:pPr>
            <w:r>
              <w:rPr>
                <w:rFonts w:ascii="Times New Roman" w:hAnsi="Times New Roman" w:cs="Times New Roman"/>
                <w:b/>
                <w:sz w:val="20"/>
                <w:szCs w:val="20"/>
              </w:rPr>
              <w:t xml:space="preserve">Chesapeake Bay </w:t>
            </w:r>
            <w:r w:rsidR="00A47935" w:rsidRPr="00A26E04">
              <w:rPr>
                <w:rFonts w:ascii="Times New Roman" w:hAnsi="Times New Roman" w:cs="Times New Roman"/>
                <w:b/>
                <w:sz w:val="20"/>
                <w:szCs w:val="20"/>
              </w:rPr>
              <w:t>Region</w:t>
            </w:r>
          </w:p>
        </w:tc>
        <w:tc>
          <w:tcPr>
            <w:tcW w:w="1080" w:type="dxa"/>
            <w:tcBorders>
              <w:bottom w:val="single" w:sz="4" w:space="0" w:color="auto"/>
            </w:tcBorders>
            <w:vAlign w:val="center"/>
          </w:tcPr>
          <w:p w14:paraId="6F8A5AC9" w14:textId="77777777" w:rsidR="00A47935" w:rsidRPr="00A26E04" w:rsidRDefault="00A47935" w:rsidP="00A26E04">
            <w:pPr>
              <w:ind w:firstLine="0"/>
              <w:rPr>
                <w:rFonts w:ascii="Times New Roman" w:hAnsi="Times New Roman" w:cs="Times New Roman"/>
                <w:b/>
                <w:sz w:val="20"/>
                <w:szCs w:val="20"/>
              </w:rPr>
            </w:pPr>
            <w:r w:rsidRPr="00A26E04">
              <w:rPr>
                <w:rFonts w:ascii="Times New Roman" w:hAnsi="Times New Roman" w:cs="Times New Roman"/>
                <w:b/>
                <w:sz w:val="20"/>
                <w:szCs w:val="20"/>
              </w:rPr>
              <w:t>Coastal Delmarva   Region</w:t>
            </w:r>
          </w:p>
        </w:tc>
        <w:tc>
          <w:tcPr>
            <w:tcW w:w="1710" w:type="dxa"/>
            <w:tcBorders>
              <w:bottom w:val="single" w:sz="4" w:space="0" w:color="auto"/>
            </w:tcBorders>
            <w:vAlign w:val="center"/>
          </w:tcPr>
          <w:p w14:paraId="29C9C04A" w14:textId="77777777" w:rsidR="00A47935" w:rsidRPr="00A26E04" w:rsidRDefault="00A47935" w:rsidP="00A26E04">
            <w:pPr>
              <w:ind w:firstLine="0"/>
              <w:rPr>
                <w:rFonts w:ascii="Times New Roman" w:hAnsi="Times New Roman" w:cs="Times New Roman"/>
                <w:b/>
                <w:sz w:val="20"/>
                <w:szCs w:val="20"/>
              </w:rPr>
            </w:pPr>
            <w:r w:rsidRPr="00A26E04">
              <w:rPr>
                <w:rFonts w:ascii="Times New Roman" w:hAnsi="Times New Roman" w:cs="Times New Roman"/>
                <w:b/>
                <w:sz w:val="20"/>
                <w:szCs w:val="20"/>
              </w:rPr>
              <w:t>Back Bay / North Landing River</w:t>
            </w:r>
          </w:p>
        </w:tc>
      </w:tr>
      <w:tr w:rsidR="00A47935" w:rsidRPr="00A26E04" w14:paraId="7AF312E4" w14:textId="77777777" w:rsidTr="00867F1E">
        <w:trPr>
          <w:trHeight w:val="317"/>
        </w:trPr>
        <w:tc>
          <w:tcPr>
            <w:tcW w:w="1620" w:type="dxa"/>
            <w:tcBorders>
              <w:top w:val="single" w:sz="4" w:space="0" w:color="auto"/>
            </w:tcBorders>
          </w:tcPr>
          <w:p w14:paraId="01214C36" w14:textId="732A300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 xml:space="preserve">CBP B-IBI </w:t>
            </w:r>
          </w:p>
        </w:tc>
        <w:tc>
          <w:tcPr>
            <w:tcW w:w="1440" w:type="dxa"/>
            <w:tcBorders>
              <w:top w:val="single" w:sz="4" w:space="0" w:color="auto"/>
            </w:tcBorders>
          </w:tcPr>
          <w:p w14:paraId="757575C7"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2</w:t>
            </w:r>
          </w:p>
        </w:tc>
        <w:tc>
          <w:tcPr>
            <w:tcW w:w="1080" w:type="dxa"/>
            <w:tcBorders>
              <w:top w:val="single" w:sz="4" w:space="0" w:color="auto"/>
            </w:tcBorders>
          </w:tcPr>
          <w:p w14:paraId="36343C0B"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0</w:t>
            </w:r>
          </w:p>
        </w:tc>
        <w:tc>
          <w:tcPr>
            <w:tcW w:w="1710" w:type="dxa"/>
            <w:tcBorders>
              <w:top w:val="single" w:sz="4" w:space="0" w:color="auto"/>
            </w:tcBorders>
          </w:tcPr>
          <w:p w14:paraId="0CF054D4"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0</w:t>
            </w:r>
          </w:p>
        </w:tc>
      </w:tr>
      <w:tr w:rsidR="00A47935" w:rsidRPr="00A26E04" w14:paraId="501CB2F5" w14:textId="77777777" w:rsidTr="00867F1E">
        <w:trPr>
          <w:trHeight w:val="317"/>
        </w:trPr>
        <w:tc>
          <w:tcPr>
            <w:tcW w:w="1620" w:type="dxa"/>
          </w:tcPr>
          <w:p w14:paraId="5A28B8C7" w14:textId="0AF649D0"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 xml:space="preserve">MAIA B-IBI </w:t>
            </w:r>
          </w:p>
        </w:tc>
        <w:tc>
          <w:tcPr>
            <w:tcW w:w="1440" w:type="dxa"/>
          </w:tcPr>
          <w:p w14:paraId="67457F2F"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c>
          <w:tcPr>
            <w:tcW w:w="1080" w:type="dxa"/>
          </w:tcPr>
          <w:p w14:paraId="702D268E"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2</w:t>
            </w:r>
          </w:p>
        </w:tc>
        <w:tc>
          <w:tcPr>
            <w:tcW w:w="1710" w:type="dxa"/>
          </w:tcPr>
          <w:p w14:paraId="0F2D18CA"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2</w:t>
            </w:r>
          </w:p>
        </w:tc>
      </w:tr>
      <w:tr w:rsidR="00A47935" w:rsidRPr="00A26E04" w14:paraId="04CAFBF4" w14:textId="77777777" w:rsidTr="00867F1E">
        <w:trPr>
          <w:trHeight w:val="317"/>
        </w:trPr>
        <w:tc>
          <w:tcPr>
            <w:tcW w:w="1620" w:type="dxa"/>
          </w:tcPr>
          <w:p w14:paraId="780A35F8" w14:textId="36C4BBBD"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 xml:space="preserve">EMAP VP-IEC </w:t>
            </w:r>
          </w:p>
        </w:tc>
        <w:tc>
          <w:tcPr>
            <w:tcW w:w="1440" w:type="dxa"/>
          </w:tcPr>
          <w:p w14:paraId="3AC56A8C"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c>
          <w:tcPr>
            <w:tcW w:w="1080" w:type="dxa"/>
          </w:tcPr>
          <w:p w14:paraId="429555A6"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c>
          <w:tcPr>
            <w:tcW w:w="1710" w:type="dxa"/>
          </w:tcPr>
          <w:p w14:paraId="7603A482" w14:textId="77777777" w:rsidR="00A47935" w:rsidRPr="00A26E04" w:rsidRDefault="00A47935"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r>
      <w:tr w:rsidR="00A26E04" w:rsidRPr="00A26E04" w14:paraId="4825B6BE" w14:textId="77777777" w:rsidTr="00867F1E">
        <w:trPr>
          <w:trHeight w:val="317"/>
        </w:trPr>
        <w:tc>
          <w:tcPr>
            <w:tcW w:w="1620" w:type="dxa"/>
            <w:tcBorders>
              <w:bottom w:val="single" w:sz="4" w:space="0" w:color="auto"/>
            </w:tcBorders>
          </w:tcPr>
          <w:p w14:paraId="7C950DA5" w14:textId="67376A26" w:rsidR="00A26E04"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M-AMBI</w:t>
            </w:r>
          </w:p>
        </w:tc>
        <w:tc>
          <w:tcPr>
            <w:tcW w:w="1440" w:type="dxa"/>
            <w:tcBorders>
              <w:bottom w:val="single" w:sz="4" w:space="0" w:color="auto"/>
            </w:tcBorders>
          </w:tcPr>
          <w:p w14:paraId="7D395F0F" w14:textId="26FE836E" w:rsidR="00A26E04"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c>
          <w:tcPr>
            <w:tcW w:w="1080" w:type="dxa"/>
            <w:tcBorders>
              <w:bottom w:val="single" w:sz="4" w:space="0" w:color="auto"/>
            </w:tcBorders>
          </w:tcPr>
          <w:p w14:paraId="1D00C6DA" w14:textId="1ED97E53" w:rsidR="00A26E04"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c>
          <w:tcPr>
            <w:tcW w:w="1710" w:type="dxa"/>
            <w:tcBorders>
              <w:bottom w:val="single" w:sz="4" w:space="0" w:color="auto"/>
            </w:tcBorders>
          </w:tcPr>
          <w:p w14:paraId="41D94B2C" w14:textId="7C9724B0" w:rsidR="00A26E04"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1</w:t>
            </w:r>
          </w:p>
        </w:tc>
      </w:tr>
      <w:tr w:rsidR="00A47935" w:rsidRPr="00A26E04" w14:paraId="32C3BD51" w14:textId="77777777" w:rsidTr="00867F1E">
        <w:tc>
          <w:tcPr>
            <w:tcW w:w="1620" w:type="dxa"/>
            <w:tcBorders>
              <w:top w:val="single" w:sz="4" w:space="0" w:color="auto"/>
            </w:tcBorders>
          </w:tcPr>
          <w:p w14:paraId="7A306254" w14:textId="77777777" w:rsidR="00A47935" w:rsidRPr="00A26E04" w:rsidRDefault="00A47935" w:rsidP="00A26E04">
            <w:pPr>
              <w:ind w:firstLine="0"/>
              <w:rPr>
                <w:rFonts w:ascii="Times New Roman" w:hAnsi="Times New Roman" w:cs="Times New Roman"/>
                <w:b/>
                <w:sz w:val="20"/>
                <w:szCs w:val="20"/>
              </w:rPr>
            </w:pPr>
            <w:r w:rsidRPr="00A26E04">
              <w:rPr>
                <w:rFonts w:ascii="Times New Roman" w:hAnsi="Times New Roman" w:cs="Times New Roman"/>
                <w:b/>
                <w:sz w:val="20"/>
                <w:szCs w:val="20"/>
              </w:rPr>
              <w:t>Sum of Weights</w:t>
            </w:r>
          </w:p>
        </w:tc>
        <w:tc>
          <w:tcPr>
            <w:tcW w:w="1440" w:type="dxa"/>
            <w:tcBorders>
              <w:top w:val="single" w:sz="4" w:space="0" w:color="auto"/>
            </w:tcBorders>
          </w:tcPr>
          <w:p w14:paraId="2D39348A" w14:textId="45765622" w:rsidR="00A47935"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5</w:t>
            </w:r>
          </w:p>
        </w:tc>
        <w:tc>
          <w:tcPr>
            <w:tcW w:w="1080" w:type="dxa"/>
            <w:tcBorders>
              <w:top w:val="single" w:sz="4" w:space="0" w:color="auto"/>
            </w:tcBorders>
          </w:tcPr>
          <w:p w14:paraId="06A16E13" w14:textId="2432D480" w:rsidR="00A47935"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4</w:t>
            </w:r>
          </w:p>
        </w:tc>
        <w:tc>
          <w:tcPr>
            <w:tcW w:w="1710" w:type="dxa"/>
            <w:tcBorders>
              <w:top w:val="single" w:sz="4" w:space="0" w:color="auto"/>
            </w:tcBorders>
          </w:tcPr>
          <w:p w14:paraId="7A087D81" w14:textId="29B5C6A4" w:rsidR="00A47935" w:rsidRPr="00A26E04" w:rsidRDefault="00A26E04" w:rsidP="00A26E04">
            <w:pPr>
              <w:ind w:firstLine="0"/>
              <w:rPr>
                <w:rFonts w:ascii="Times New Roman" w:hAnsi="Times New Roman" w:cs="Times New Roman"/>
                <w:sz w:val="20"/>
                <w:szCs w:val="20"/>
              </w:rPr>
            </w:pPr>
            <w:r w:rsidRPr="00A26E04">
              <w:rPr>
                <w:rFonts w:ascii="Times New Roman" w:hAnsi="Times New Roman" w:cs="Times New Roman"/>
                <w:sz w:val="20"/>
                <w:szCs w:val="20"/>
              </w:rPr>
              <w:t>4</w:t>
            </w:r>
          </w:p>
        </w:tc>
      </w:tr>
    </w:tbl>
    <w:p w14:paraId="793E9D19" w14:textId="77777777" w:rsidR="00493DFF" w:rsidRPr="00FE1DDB" w:rsidRDefault="00493DFF" w:rsidP="00FE1DDB">
      <w:pPr>
        <w:spacing w:after="0" w:line="240" w:lineRule="auto"/>
        <w:jc w:val="both"/>
        <w:rPr>
          <w:rFonts w:ascii="Times New Roman" w:hAnsi="Times New Roman" w:cs="Times New Roman"/>
          <w:b/>
          <w:sz w:val="16"/>
          <w:szCs w:val="16"/>
        </w:rPr>
      </w:pPr>
    </w:p>
    <w:p w14:paraId="271D9981" w14:textId="77777777" w:rsidR="00320A0E" w:rsidRPr="00FE1DDB" w:rsidRDefault="00320A0E" w:rsidP="00FE1DDB">
      <w:pPr>
        <w:spacing w:after="0" w:line="240" w:lineRule="auto"/>
        <w:jc w:val="both"/>
        <w:rPr>
          <w:rFonts w:ascii="Times New Roman" w:hAnsi="Times New Roman" w:cs="Times New Roman"/>
          <w:b/>
          <w:sz w:val="24"/>
          <w:szCs w:val="24"/>
        </w:rPr>
      </w:pPr>
    </w:p>
    <w:p w14:paraId="430E1C12" w14:textId="02A23A3D" w:rsidR="003A6D01" w:rsidRDefault="005865D8"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The results of integrating the benthic community degradation scores, by calculating a single </w:t>
      </w:r>
      <w:r w:rsidR="00DB353A" w:rsidRPr="00FE1DDB">
        <w:rPr>
          <w:rFonts w:ascii="Times New Roman" w:hAnsi="Times New Roman" w:cs="Times New Roman"/>
          <w:sz w:val="24"/>
          <w:szCs w:val="24"/>
        </w:rPr>
        <w:t xml:space="preserve">weighted mean </w:t>
      </w:r>
      <w:r w:rsidRPr="00FE1DDB">
        <w:rPr>
          <w:rFonts w:ascii="Times New Roman" w:hAnsi="Times New Roman" w:cs="Times New Roman"/>
          <w:sz w:val="24"/>
          <w:szCs w:val="24"/>
        </w:rPr>
        <w:t xml:space="preserve">IBS, are summarized in Table </w:t>
      </w:r>
      <w:r w:rsidR="00DD293C"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Pr>
          <w:rFonts w:ascii="Times New Roman" w:hAnsi="Times New Roman" w:cs="Times New Roman"/>
          <w:sz w:val="24"/>
          <w:szCs w:val="24"/>
        </w:rPr>
        <w:t>25</w:t>
      </w:r>
      <w:r w:rsidR="003A6D01">
        <w:rPr>
          <w:rFonts w:ascii="Times New Roman" w:hAnsi="Times New Roman" w:cs="Times New Roman"/>
          <w:sz w:val="24"/>
          <w:szCs w:val="24"/>
        </w:rPr>
        <w:t>.</w:t>
      </w:r>
      <w:r w:rsidRPr="00FE1DDB">
        <w:rPr>
          <w:rFonts w:ascii="Times New Roman" w:hAnsi="Times New Roman" w:cs="Times New Roman"/>
          <w:sz w:val="24"/>
          <w:szCs w:val="24"/>
        </w:rPr>
        <w:t xml:space="preserve"> Based on the criteria for regional characterization provided in Table </w:t>
      </w:r>
      <w:r w:rsidR="00DD293C"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sidRPr="008B0194">
        <w:rPr>
          <w:rFonts w:ascii="Times New Roman" w:hAnsi="Times New Roman" w:cs="Times New Roman"/>
          <w:sz w:val="24"/>
          <w:szCs w:val="24"/>
        </w:rPr>
        <w:t>11</w:t>
      </w:r>
      <w:r w:rsidRPr="008B0194">
        <w:rPr>
          <w:rFonts w:ascii="Times New Roman" w:hAnsi="Times New Roman" w:cs="Times New Roman"/>
          <w:sz w:val="24"/>
          <w:szCs w:val="24"/>
        </w:rPr>
        <w:t>,</w:t>
      </w:r>
      <w:r w:rsidRPr="00FE1DDB">
        <w:rPr>
          <w:rFonts w:ascii="Times New Roman" w:hAnsi="Times New Roman" w:cs="Times New Roman"/>
          <w:sz w:val="24"/>
          <w:szCs w:val="24"/>
        </w:rPr>
        <w:t xml:space="preserve"> the IBS classifications are very similar to those reported for the individual benthic indices in Table </w:t>
      </w:r>
      <w:r w:rsidR="00DD293C"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sidRPr="008B0194">
        <w:rPr>
          <w:rFonts w:ascii="Times New Roman" w:hAnsi="Times New Roman" w:cs="Times New Roman"/>
          <w:sz w:val="24"/>
          <w:szCs w:val="24"/>
        </w:rPr>
        <w:t>22</w:t>
      </w:r>
      <w:r w:rsidRPr="00FE1DDB">
        <w:rPr>
          <w:rFonts w:ascii="Times New Roman" w:hAnsi="Times New Roman" w:cs="Times New Roman"/>
          <w:sz w:val="24"/>
          <w:szCs w:val="24"/>
        </w:rPr>
        <w:t>. Statewide, the characterization of benthic communities based on their IBS scores is still “Poor”, b</w:t>
      </w:r>
      <w:r w:rsidR="002D26C7" w:rsidRPr="00FE1DDB">
        <w:rPr>
          <w:rFonts w:ascii="Times New Roman" w:hAnsi="Times New Roman" w:cs="Times New Roman"/>
          <w:sz w:val="24"/>
          <w:szCs w:val="24"/>
        </w:rPr>
        <w:t>ecause more than 20 percent</w:t>
      </w:r>
      <w:r w:rsidRPr="00FE1DDB">
        <w:rPr>
          <w:rFonts w:ascii="Times New Roman" w:hAnsi="Times New Roman" w:cs="Times New Roman"/>
          <w:sz w:val="24"/>
          <w:szCs w:val="24"/>
        </w:rPr>
        <w:t xml:space="preserve"> (</w:t>
      </w:r>
      <w:r w:rsidR="00230645" w:rsidRPr="00FE1DDB">
        <w:rPr>
          <w:rFonts w:ascii="Times New Roman" w:hAnsi="Times New Roman" w:cs="Times New Roman"/>
          <w:sz w:val="24"/>
          <w:szCs w:val="24"/>
        </w:rPr>
        <w:t>2</w:t>
      </w:r>
      <w:r w:rsidR="003A6D01">
        <w:rPr>
          <w:rFonts w:ascii="Times New Roman" w:hAnsi="Times New Roman" w:cs="Times New Roman"/>
          <w:sz w:val="24"/>
          <w:szCs w:val="24"/>
        </w:rPr>
        <w:t>6.2</w:t>
      </w:r>
      <w:r w:rsidR="002D26C7" w:rsidRPr="00FE1DDB">
        <w:rPr>
          <w:rFonts w:ascii="Times New Roman" w:hAnsi="Times New Roman" w:cs="Times New Roman"/>
          <w:sz w:val="24"/>
          <w:szCs w:val="24"/>
        </w:rPr>
        <w:t>%</w:t>
      </w:r>
      <w:r w:rsidRPr="00FE1DDB">
        <w:rPr>
          <w:rFonts w:ascii="Times New Roman" w:hAnsi="Times New Roman" w:cs="Times New Roman"/>
          <w:sz w:val="24"/>
          <w:szCs w:val="24"/>
        </w:rPr>
        <w:t>) of the site IBS characterizations fall into the “Poor” or “Very Poor” (degraded</w:t>
      </w:r>
      <w:r w:rsidR="003A6D01">
        <w:rPr>
          <w:rFonts w:ascii="Times New Roman" w:hAnsi="Times New Roman" w:cs="Times New Roman"/>
          <w:sz w:val="24"/>
          <w:szCs w:val="24"/>
        </w:rPr>
        <w:t xml:space="preserve"> or severely degraded</w:t>
      </w:r>
      <w:r w:rsidRPr="00FE1DDB">
        <w:rPr>
          <w:rFonts w:ascii="Times New Roman" w:hAnsi="Times New Roman" w:cs="Times New Roman"/>
          <w:sz w:val="24"/>
          <w:szCs w:val="24"/>
        </w:rPr>
        <w:t>) classes</w:t>
      </w:r>
      <w:r w:rsidR="00F761F2" w:rsidRPr="00FE1DDB">
        <w:rPr>
          <w:rFonts w:ascii="Times New Roman" w:hAnsi="Times New Roman" w:cs="Times New Roman"/>
          <w:sz w:val="24"/>
          <w:szCs w:val="24"/>
        </w:rPr>
        <w:t>,</w:t>
      </w:r>
      <w:r w:rsidRPr="00FE1DDB">
        <w:rPr>
          <w:rFonts w:ascii="Times New Roman" w:hAnsi="Times New Roman" w:cs="Times New Roman"/>
          <w:sz w:val="24"/>
          <w:szCs w:val="24"/>
        </w:rPr>
        <w:t xml:space="preserve"> </w:t>
      </w:r>
      <w:r w:rsidR="00F761F2" w:rsidRPr="00FE1DDB">
        <w:rPr>
          <w:rFonts w:ascii="Times New Roman" w:hAnsi="Times New Roman" w:cs="Times New Roman"/>
          <w:sz w:val="24"/>
          <w:szCs w:val="24"/>
        </w:rPr>
        <w:t>even though t</w:t>
      </w:r>
      <w:r w:rsidRPr="00FE1DDB">
        <w:rPr>
          <w:rFonts w:ascii="Times New Roman" w:hAnsi="Times New Roman" w:cs="Times New Roman"/>
          <w:sz w:val="24"/>
          <w:szCs w:val="24"/>
        </w:rPr>
        <w:t xml:space="preserve">he percentage “Good” statewide </w:t>
      </w:r>
      <w:r w:rsidR="003A6D01">
        <w:rPr>
          <w:rFonts w:ascii="Times New Roman" w:hAnsi="Times New Roman" w:cs="Times New Roman"/>
          <w:sz w:val="24"/>
          <w:szCs w:val="24"/>
        </w:rPr>
        <w:t xml:space="preserve">was 47%. The </w:t>
      </w:r>
      <w:r w:rsidR="003A6D01" w:rsidRPr="00FE1DDB">
        <w:rPr>
          <w:rFonts w:ascii="Times New Roman" w:hAnsi="Times New Roman" w:cs="Times New Roman"/>
          <w:sz w:val="24"/>
          <w:szCs w:val="24"/>
        </w:rPr>
        <w:t xml:space="preserve">Integrated Benthic Score (IBS) </w:t>
      </w:r>
      <w:r w:rsidR="003A6D01">
        <w:rPr>
          <w:rFonts w:ascii="Times New Roman" w:hAnsi="Times New Roman" w:cs="Times New Roman"/>
          <w:sz w:val="24"/>
          <w:szCs w:val="24"/>
        </w:rPr>
        <w:t>and threshold ran</w:t>
      </w:r>
      <w:r w:rsidR="006D4419">
        <w:rPr>
          <w:rFonts w:ascii="Times New Roman" w:hAnsi="Times New Roman" w:cs="Times New Roman"/>
          <w:sz w:val="24"/>
          <w:szCs w:val="24"/>
        </w:rPr>
        <w:t>ges can be found in Table 4.5-</w:t>
      </w:r>
      <w:r w:rsidR="008B0194">
        <w:rPr>
          <w:rFonts w:ascii="Times New Roman" w:hAnsi="Times New Roman" w:cs="Times New Roman"/>
          <w:sz w:val="24"/>
          <w:szCs w:val="24"/>
        </w:rPr>
        <w:t>25</w:t>
      </w:r>
      <w:r w:rsidR="003A6D01">
        <w:rPr>
          <w:rFonts w:ascii="Times New Roman" w:hAnsi="Times New Roman" w:cs="Times New Roman"/>
          <w:sz w:val="24"/>
          <w:szCs w:val="24"/>
        </w:rPr>
        <w:t>.</w:t>
      </w:r>
    </w:p>
    <w:p w14:paraId="71D2C83D" w14:textId="77777777" w:rsidR="003A6D01" w:rsidRDefault="003A6D01" w:rsidP="00FE1DDB">
      <w:pPr>
        <w:spacing w:after="0" w:line="240" w:lineRule="auto"/>
        <w:rPr>
          <w:rFonts w:ascii="Times New Roman" w:hAnsi="Times New Roman" w:cs="Times New Roman"/>
          <w:sz w:val="24"/>
          <w:szCs w:val="24"/>
        </w:rPr>
      </w:pPr>
    </w:p>
    <w:p w14:paraId="51990B27" w14:textId="77777777" w:rsidR="003A6D01" w:rsidRDefault="003A6D01" w:rsidP="00FE1DDB">
      <w:pPr>
        <w:spacing w:after="0" w:line="240" w:lineRule="auto"/>
        <w:rPr>
          <w:rFonts w:ascii="Times New Roman" w:hAnsi="Times New Roman" w:cs="Times New Roman"/>
          <w:sz w:val="24"/>
          <w:szCs w:val="24"/>
        </w:rPr>
      </w:pPr>
    </w:p>
    <w:p w14:paraId="35D31265" w14:textId="046B2172" w:rsidR="00452ED9" w:rsidRDefault="005865D8"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 xml:space="preserve"> </w:t>
      </w:r>
    </w:p>
    <w:p w14:paraId="1CEECD89" w14:textId="77777777" w:rsidR="006D4419" w:rsidRDefault="006D4419" w:rsidP="00FE1DDB">
      <w:pPr>
        <w:spacing w:after="0" w:line="240" w:lineRule="auto"/>
        <w:rPr>
          <w:rFonts w:ascii="Times New Roman" w:hAnsi="Times New Roman" w:cs="Times New Roman"/>
          <w:sz w:val="24"/>
          <w:szCs w:val="24"/>
        </w:rPr>
      </w:pPr>
    </w:p>
    <w:p w14:paraId="7751D73F" w14:textId="2241A352" w:rsidR="003A6D01" w:rsidRDefault="003A6D01" w:rsidP="00FE1DDB">
      <w:pPr>
        <w:spacing w:after="0" w:line="240" w:lineRule="auto"/>
        <w:rPr>
          <w:rFonts w:ascii="Times New Roman" w:hAnsi="Times New Roman" w:cs="Times New Roman"/>
          <w:sz w:val="24"/>
          <w:szCs w:val="24"/>
        </w:rPr>
      </w:pPr>
    </w:p>
    <w:p w14:paraId="7D200DAA" w14:textId="4B2CE2D0" w:rsidR="003A6D01" w:rsidRPr="003A6D01" w:rsidRDefault="003A6D01" w:rsidP="003A6D01">
      <w:pPr>
        <w:pStyle w:val="Caption"/>
        <w:keepNext/>
        <w:rPr>
          <w:rFonts w:ascii="Times New Roman" w:hAnsi="Times New Roman" w:cs="Times New Roman"/>
          <w:i w:val="0"/>
          <w:color w:val="000000" w:themeColor="text1"/>
          <w:sz w:val="20"/>
          <w:szCs w:val="20"/>
        </w:rPr>
      </w:pPr>
      <w:r w:rsidRPr="003A6D01">
        <w:rPr>
          <w:rFonts w:ascii="Times New Roman" w:hAnsi="Times New Roman" w:cs="Times New Roman"/>
          <w:i w:val="0"/>
          <w:color w:val="000000" w:themeColor="text1"/>
          <w:sz w:val="20"/>
          <w:szCs w:val="20"/>
        </w:rPr>
        <w:lastRenderedPageBreak/>
        <w:t xml:space="preserve">Table 4.5- </w:t>
      </w:r>
      <w:r w:rsidR="008B0194">
        <w:rPr>
          <w:rFonts w:ascii="Times New Roman" w:hAnsi="Times New Roman" w:cs="Times New Roman"/>
          <w:i w:val="0"/>
          <w:color w:val="000000" w:themeColor="text1"/>
          <w:sz w:val="20"/>
          <w:szCs w:val="20"/>
        </w:rPr>
        <w:t>25</w:t>
      </w:r>
      <w:r w:rsidRPr="003A6D01">
        <w:rPr>
          <w:rFonts w:ascii="Times New Roman" w:hAnsi="Times New Roman" w:cs="Times New Roman"/>
          <w:i w:val="0"/>
          <w:color w:val="000000" w:themeColor="text1"/>
          <w:sz w:val="20"/>
          <w:szCs w:val="20"/>
        </w:rPr>
        <w:t xml:space="preserve"> Weighted average Integrated Benthic Score (IBS) classes and ranges of associated integrated benthic scores</w:t>
      </w:r>
    </w:p>
    <w:tbl>
      <w:tblPr>
        <w:tblW w:w="7240" w:type="dxa"/>
        <w:jc w:val="center"/>
        <w:tblLook w:val="04A0" w:firstRow="1" w:lastRow="0" w:firstColumn="1" w:lastColumn="0" w:noHBand="0" w:noVBand="1"/>
        <w:tblCaption w:val="Table 4.5- 24 Weighted average Integrated Benthic Score (IBS) classes and ranges of associated integrated benthic scores"/>
        <w:tblDescription w:val="Table 4.5- 24 Weighted average Integrated Benthic Score (IBS) classes and ranges of associated integrated benthic scores"/>
      </w:tblPr>
      <w:tblGrid>
        <w:gridCol w:w="2800"/>
        <w:gridCol w:w="1480"/>
        <w:gridCol w:w="1480"/>
        <w:gridCol w:w="1480"/>
      </w:tblGrid>
      <w:tr w:rsidR="003A6D01" w:rsidRPr="003A6D01" w14:paraId="23E83309" w14:textId="77777777" w:rsidTr="003A6D01">
        <w:trPr>
          <w:trHeight w:val="300"/>
          <w:jc w:val="center"/>
        </w:trPr>
        <w:tc>
          <w:tcPr>
            <w:tcW w:w="2800" w:type="dxa"/>
            <w:tcBorders>
              <w:top w:val="nil"/>
              <w:left w:val="nil"/>
              <w:bottom w:val="single" w:sz="4" w:space="0" w:color="auto"/>
              <w:right w:val="nil"/>
            </w:tcBorders>
            <w:shd w:val="clear" w:color="auto" w:fill="auto"/>
            <w:vAlign w:val="bottom"/>
            <w:hideMark/>
          </w:tcPr>
          <w:p w14:paraId="20AAE76F" w14:textId="77777777" w:rsidR="003A6D01" w:rsidRPr="003A6D01" w:rsidRDefault="003A6D01" w:rsidP="003A6D01">
            <w:pPr>
              <w:spacing w:after="0" w:line="240" w:lineRule="auto"/>
              <w:rPr>
                <w:rFonts w:ascii="Times New Roman" w:eastAsia="Times New Roman" w:hAnsi="Times New Roman" w:cs="Times New Roman"/>
                <w:b/>
                <w:color w:val="222222"/>
                <w:sz w:val="20"/>
                <w:szCs w:val="18"/>
              </w:rPr>
            </w:pPr>
            <w:r w:rsidRPr="003A6D01">
              <w:rPr>
                <w:rFonts w:ascii="Times New Roman" w:eastAsia="Times New Roman" w:hAnsi="Times New Roman" w:cs="Times New Roman"/>
                <w:b/>
                <w:color w:val="222222"/>
                <w:sz w:val="20"/>
                <w:szCs w:val="18"/>
              </w:rPr>
              <w:t>IBS Score</w:t>
            </w:r>
          </w:p>
        </w:tc>
        <w:tc>
          <w:tcPr>
            <w:tcW w:w="1480" w:type="dxa"/>
            <w:tcBorders>
              <w:top w:val="nil"/>
              <w:left w:val="nil"/>
              <w:bottom w:val="single" w:sz="4" w:space="0" w:color="auto"/>
              <w:right w:val="nil"/>
            </w:tcBorders>
            <w:shd w:val="clear" w:color="auto" w:fill="auto"/>
            <w:vAlign w:val="bottom"/>
            <w:hideMark/>
          </w:tcPr>
          <w:p w14:paraId="577D44FF" w14:textId="77777777" w:rsidR="003A6D01" w:rsidRPr="003A6D01" w:rsidRDefault="003A6D01" w:rsidP="003A6D01">
            <w:pPr>
              <w:spacing w:after="0" w:line="240" w:lineRule="auto"/>
              <w:rPr>
                <w:rFonts w:ascii="Times New Roman" w:eastAsia="Times New Roman" w:hAnsi="Times New Roman" w:cs="Times New Roman"/>
                <w:b/>
                <w:color w:val="222222"/>
                <w:sz w:val="20"/>
                <w:szCs w:val="18"/>
              </w:rPr>
            </w:pPr>
            <w:r w:rsidRPr="003A6D01">
              <w:rPr>
                <w:rFonts w:ascii="Times New Roman" w:eastAsia="Times New Roman" w:hAnsi="Times New Roman" w:cs="Times New Roman"/>
                <w:b/>
                <w:color w:val="222222"/>
                <w:sz w:val="20"/>
                <w:szCs w:val="18"/>
              </w:rPr>
              <w:t>IBS Range</w:t>
            </w:r>
          </w:p>
        </w:tc>
        <w:tc>
          <w:tcPr>
            <w:tcW w:w="1480" w:type="dxa"/>
            <w:tcBorders>
              <w:top w:val="nil"/>
              <w:left w:val="nil"/>
              <w:bottom w:val="single" w:sz="4" w:space="0" w:color="auto"/>
              <w:right w:val="nil"/>
            </w:tcBorders>
            <w:shd w:val="clear" w:color="auto" w:fill="auto"/>
            <w:vAlign w:val="bottom"/>
            <w:hideMark/>
          </w:tcPr>
          <w:p w14:paraId="7BCCC2E6" w14:textId="77777777" w:rsidR="003A6D01" w:rsidRPr="003A6D01" w:rsidRDefault="003A6D01" w:rsidP="003A6D01">
            <w:pPr>
              <w:spacing w:after="0" w:line="240" w:lineRule="auto"/>
              <w:rPr>
                <w:rFonts w:ascii="Times New Roman" w:eastAsia="Times New Roman" w:hAnsi="Times New Roman" w:cs="Times New Roman"/>
                <w:b/>
                <w:color w:val="222222"/>
                <w:sz w:val="20"/>
                <w:szCs w:val="18"/>
              </w:rPr>
            </w:pPr>
            <w:r w:rsidRPr="003A6D01">
              <w:rPr>
                <w:rFonts w:ascii="Times New Roman" w:eastAsia="Times New Roman" w:hAnsi="Times New Roman" w:cs="Times New Roman"/>
                <w:b/>
                <w:color w:val="222222"/>
                <w:sz w:val="20"/>
                <w:szCs w:val="18"/>
              </w:rPr>
              <w:t>Stations</w:t>
            </w:r>
          </w:p>
        </w:tc>
        <w:tc>
          <w:tcPr>
            <w:tcW w:w="1480" w:type="dxa"/>
            <w:tcBorders>
              <w:top w:val="nil"/>
              <w:left w:val="nil"/>
              <w:bottom w:val="single" w:sz="4" w:space="0" w:color="auto"/>
              <w:right w:val="nil"/>
            </w:tcBorders>
            <w:shd w:val="clear" w:color="auto" w:fill="auto"/>
            <w:vAlign w:val="bottom"/>
            <w:hideMark/>
          </w:tcPr>
          <w:p w14:paraId="795DF0B4" w14:textId="77777777" w:rsidR="003A6D01" w:rsidRPr="003A6D01" w:rsidRDefault="003A6D01" w:rsidP="003A6D01">
            <w:pPr>
              <w:spacing w:after="0" w:line="240" w:lineRule="auto"/>
              <w:rPr>
                <w:rFonts w:ascii="Times New Roman" w:eastAsia="Times New Roman" w:hAnsi="Times New Roman" w:cs="Times New Roman"/>
                <w:b/>
                <w:color w:val="222222"/>
                <w:sz w:val="20"/>
                <w:szCs w:val="18"/>
              </w:rPr>
            </w:pPr>
            <w:r w:rsidRPr="003A6D01">
              <w:rPr>
                <w:rFonts w:ascii="Times New Roman" w:eastAsia="Times New Roman" w:hAnsi="Times New Roman" w:cs="Times New Roman"/>
                <w:b/>
                <w:color w:val="222222"/>
                <w:sz w:val="20"/>
                <w:szCs w:val="18"/>
              </w:rPr>
              <w:t>Percentage</w:t>
            </w:r>
          </w:p>
        </w:tc>
      </w:tr>
      <w:tr w:rsidR="003A6D01" w:rsidRPr="003A6D01" w14:paraId="201BDC4E" w14:textId="77777777" w:rsidTr="003A6D01">
        <w:trPr>
          <w:trHeight w:val="390"/>
          <w:jc w:val="center"/>
        </w:trPr>
        <w:tc>
          <w:tcPr>
            <w:tcW w:w="2800" w:type="dxa"/>
            <w:tcBorders>
              <w:top w:val="nil"/>
              <w:left w:val="nil"/>
              <w:bottom w:val="nil"/>
              <w:right w:val="nil"/>
            </w:tcBorders>
            <w:shd w:val="clear" w:color="auto" w:fill="auto"/>
            <w:hideMark/>
          </w:tcPr>
          <w:p w14:paraId="1DFAADAC"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Good (Meets Goals)</w:t>
            </w:r>
          </w:p>
        </w:tc>
        <w:tc>
          <w:tcPr>
            <w:tcW w:w="1480" w:type="dxa"/>
            <w:tcBorders>
              <w:top w:val="nil"/>
              <w:left w:val="nil"/>
              <w:bottom w:val="nil"/>
              <w:right w:val="nil"/>
            </w:tcBorders>
            <w:shd w:val="clear" w:color="auto" w:fill="auto"/>
            <w:hideMark/>
          </w:tcPr>
          <w:p w14:paraId="34E56B50"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&lt; 0.5</w:t>
            </w:r>
          </w:p>
        </w:tc>
        <w:tc>
          <w:tcPr>
            <w:tcW w:w="1480" w:type="dxa"/>
            <w:tcBorders>
              <w:top w:val="nil"/>
              <w:left w:val="nil"/>
              <w:bottom w:val="nil"/>
              <w:right w:val="nil"/>
            </w:tcBorders>
            <w:shd w:val="clear" w:color="auto" w:fill="auto"/>
            <w:hideMark/>
          </w:tcPr>
          <w:p w14:paraId="6052AF02"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139</w:t>
            </w:r>
          </w:p>
        </w:tc>
        <w:tc>
          <w:tcPr>
            <w:tcW w:w="1480" w:type="dxa"/>
            <w:tcBorders>
              <w:top w:val="nil"/>
              <w:left w:val="nil"/>
              <w:bottom w:val="nil"/>
              <w:right w:val="nil"/>
            </w:tcBorders>
            <w:shd w:val="clear" w:color="auto" w:fill="auto"/>
            <w:hideMark/>
          </w:tcPr>
          <w:p w14:paraId="5F10BC7C"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46.8 ± 5.7</w:t>
            </w:r>
          </w:p>
        </w:tc>
      </w:tr>
      <w:tr w:rsidR="003A6D01" w:rsidRPr="003A6D01" w14:paraId="3FB948EE" w14:textId="77777777" w:rsidTr="003A6D01">
        <w:trPr>
          <w:trHeight w:val="390"/>
          <w:jc w:val="center"/>
        </w:trPr>
        <w:tc>
          <w:tcPr>
            <w:tcW w:w="2800" w:type="dxa"/>
            <w:tcBorders>
              <w:top w:val="single" w:sz="8" w:space="0" w:color="DDDDDD"/>
              <w:left w:val="nil"/>
              <w:bottom w:val="nil"/>
              <w:right w:val="nil"/>
            </w:tcBorders>
            <w:shd w:val="clear" w:color="auto" w:fill="auto"/>
            <w:hideMark/>
          </w:tcPr>
          <w:p w14:paraId="67DF6E75"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Fair (Marginal)</w:t>
            </w:r>
          </w:p>
        </w:tc>
        <w:tc>
          <w:tcPr>
            <w:tcW w:w="1480" w:type="dxa"/>
            <w:tcBorders>
              <w:top w:val="single" w:sz="8" w:space="0" w:color="DDDDDD"/>
              <w:left w:val="nil"/>
              <w:bottom w:val="nil"/>
              <w:right w:val="nil"/>
            </w:tcBorders>
            <w:shd w:val="clear" w:color="auto" w:fill="auto"/>
            <w:hideMark/>
          </w:tcPr>
          <w:p w14:paraId="019D5B58"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&gt; 0.5 and &lt; 1.5</w:t>
            </w:r>
          </w:p>
        </w:tc>
        <w:tc>
          <w:tcPr>
            <w:tcW w:w="1480" w:type="dxa"/>
            <w:tcBorders>
              <w:top w:val="single" w:sz="8" w:space="0" w:color="DDDDDD"/>
              <w:left w:val="nil"/>
              <w:bottom w:val="nil"/>
              <w:right w:val="nil"/>
            </w:tcBorders>
            <w:shd w:val="clear" w:color="auto" w:fill="auto"/>
            <w:hideMark/>
          </w:tcPr>
          <w:p w14:paraId="0CC5F479"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80</w:t>
            </w:r>
          </w:p>
        </w:tc>
        <w:tc>
          <w:tcPr>
            <w:tcW w:w="1480" w:type="dxa"/>
            <w:tcBorders>
              <w:top w:val="single" w:sz="8" w:space="0" w:color="DDDDDD"/>
              <w:left w:val="nil"/>
              <w:bottom w:val="nil"/>
              <w:right w:val="nil"/>
            </w:tcBorders>
            <w:shd w:val="clear" w:color="auto" w:fill="auto"/>
            <w:hideMark/>
          </w:tcPr>
          <w:p w14:paraId="21406D99"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26.94 ± 5.07</w:t>
            </w:r>
          </w:p>
        </w:tc>
      </w:tr>
      <w:tr w:rsidR="003A6D01" w:rsidRPr="003A6D01" w14:paraId="0C9CC1ED" w14:textId="77777777" w:rsidTr="003A6D01">
        <w:trPr>
          <w:trHeight w:val="390"/>
          <w:jc w:val="center"/>
        </w:trPr>
        <w:tc>
          <w:tcPr>
            <w:tcW w:w="2800" w:type="dxa"/>
            <w:tcBorders>
              <w:top w:val="single" w:sz="8" w:space="0" w:color="DDDDDD"/>
              <w:left w:val="nil"/>
              <w:bottom w:val="nil"/>
              <w:right w:val="nil"/>
            </w:tcBorders>
            <w:shd w:val="clear" w:color="auto" w:fill="auto"/>
            <w:hideMark/>
          </w:tcPr>
          <w:p w14:paraId="422FB973"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Poor (Degraded)</w:t>
            </w:r>
          </w:p>
        </w:tc>
        <w:tc>
          <w:tcPr>
            <w:tcW w:w="1480" w:type="dxa"/>
            <w:tcBorders>
              <w:top w:val="single" w:sz="8" w:space="0" w:color="DDDDDD"/>
              <w:left w:val="nil"/>
              <w:bottom w:val="nil"/>
              <w:right w:val="nil"/>
            </w:tcBorders>
            <w:shd w:val="clear" w:color="auto" w:fill="auto"/>
            <w:hideMark/>
          </w:tcPr>
          <w:p w14:paraId="3BEA50FC"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&gt; 1.5 and &lt; 2.5</w:t>
            </w:r>
          </w:p>
        </w:tc>
        <w:tc>
          <w:tcPr>
            <w:tcW w:w="1480" w:type="dxa"/>
            <w:tcBorders>
              <w:top w:val="single" w:sz="8" w:space="0" w:color="DDDDDD"/>
              <w:left w:val="nil"/>
              <w:bottom w:val="nil"/>
              <w:right w:val="nil"/>
            </w:tcBorders>
            <w:shd w:val="clear" w:color="auto" w:fill="auto"/>
            <w:hideMark/>
          </w:tcPr>
          <w:p w14:paraId="2731B614"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50</w:t>
            </w:r>
          </w:p>
        </w:tc>
        <w:tc>
          <w:tcPr>
            <w:tcW w:w="1480" w:type="dxa"/>
            <w:tcBorders>
              <w:top w:val="single" w:sz="8" w:space="0" w:color="DDDDDD"/>
              <w:left w:val="nil"/>
              <w:bottom w:val="nil"/>
              <w:right w:val="nil"/>
            </w:tcBorders>
            <w:shd w:val="clear" w:color="auto" w:fill="auto"/>
            <w:hideMark/>
          </w:tcPr>
          <w:p w14:paraId="3922F1A3"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16.84 ± 4.27</w:t>
            </w:r>
          </w:p>
        </w:tc>
      </w:tr>
      <w:tr w:rsidR="003A6D01" w:rsidRPr="003A6D01" w14:paraId="6365B8A5" w14:textId="77777777" w:rsidTr="003A6D01">
        <w:trPr>
          <w:trHeight w:val="390"/>
          <w:jc w:val="center"/>
        </w:trPr>
        <w:tc>
          <w:tcPr>
            <w:tcW w:w="2800" w:type="dxa"/>
            <w:tcBorders>
              <w:top w:val="single" w:sz="8" w:space="0" w:color="DDDDDD"/>
              <w:left w:val="nil"/>
              <w:bottom w:val="single" w:sz="4" w:space="0" w:color="auto"/>
              <w:right w:val="nil"/>
            </w:tcBorders>
            <w:shd w:val="clear" w:color="auto" w:fill="auto"/>
            <w:hideMark/>
          </w:tcPr>
          <w:p w14:paraId="74C84E0D"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Very Poor (Severely Degraded)</w:t>
            </w:r>
          </w:p>
        </w:tc>
        <w:tc>
          <w:tcPr>
            <w:tcW w:w="1480" w:type="dxa"/>
            <w:tcBorders>
              <w:top w:val="single" w:sz="8" w:space="0" w:color="DDDDDD"/>
              <w:left w:val="nil"/>
              <w:bottom w:val="single" w:sz="4" w:space="0" w:color="auto"/>
              <w:right w:val="nil"/>
            </w:tcBorders>
            <w:shd w:val="clear" w:color="auto" w:fill="auto"/>
            <w:hideMark/>
          </w:tcPr>
          <w:p w14:paraId="43674853"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&gt; 2.5</w:t>
            </w:r>
          </w:p>
        </w:tc>
        <w:tc>
          <w:tcPr>
            <w:tcW w:w="1480" w:type="dxa"/>
            <w:tcBorders>
              <w:top w:val="single" w:sz="8" w:space="0" w:color="DDDDDD"/>
              <w:left w:val="nil"/>
              <w:bottom w:val="single" w:sz="4" w:space="0" w:color="auto"/>
              <w:right w:val="nil"/>
            </w:tcBorders>
            <w:shd w:val="clear" w:color="auto" w:fill="auto"/>
            <w:hideMark/>
          </w:tcPr>
          <w:p w14:paraId="6C4E7EE0"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28</w:t>
            </w:r>
          </w:p>
        </w:tc>
        <w:tc>
          <w:tcPr>
            <w:tcW w:w="1480" w:type="dxa"/>
            <w:tcBorders>
              <w:top w:val="single" w:sz="8" w:space="0" w:color="DDDDDD"/>
              <w:left w:val="nil"/>
              <w:bottom w:val="single" w:sz="4" w:space="0" w:color="auto"/>
              <w:right w:val="nil"/>
            </w:tcBorders>
            <w:shd w:val="clear" w:color="auto" w:fill="auto"/>
            <w:hideMark/>
          </w:tcPr>
          <w:p w14:paraId="1A6658B4" w14:textId="77777777" w:rsidR="003A6D01" w:rsidRPr="003A6D01" w:rsidRDefault="003A6D01" w:rsidP="003A6D01">
            <w:pPr>
              <w:spacing w:after="0" w:line="240" w:lineRule="auto"/>
              <w:rPr>
                <w:rFonts w:ascii="Times New Roman" w:eastAsia="Times New Roman" w:hAnsi="Times New Roman" w:cs="Times New Roman"/>
                <w:color w:val="222222"/>
                <w:sz w:val="20"/>
                <w:szCs w:val="18"/>
              </w:rPr>
            </w:pPr>
            <w:r w:rsidRPr="003A6D01">
              <w:rPr>
                <w:rFonts w:ascii="Times New Roman" w:eastAsia="Times New Roman" w:hAnsi="Times New Roman" w:cs="Times New Roman"/>
                <w:color w:val="222222"/>
                <w:sz w:val="20"/>
                <w:szCs w:val="18"/>
              </w:rPr>
              <w:t>9.43 ± 3.34</w:t>
            </w:r>
          </w:p>
        </w:tc>
      </w:tr>
      <w:tr w:rsidR="003A6D01" w:rsidRPr="003A6D01" w14:paraId="1DE19DD5" w14:textId="77777777" w:rsidTr="003A6D01">
        <w:trPr>
          <w:trHeight w:val="300"/>
          <w:jc w:val="center"/>
        </w:trPr>
        <w:tc>
          <w:tcPr>
            <w:tcW w:w="2800" w:type="dxa"/>
            <w:tcBorders>
              <w:top w:val="nil"/>
              <w:left w:val="nil"/>
              <w:bottom w:val="single" w:sz="4" w:space="0" w:color="auto"/>
              <w:right w:val="nil"/>
            </w:tcBorders>
            <w:shd w:val="clear" w:color="auto" w:fill="auto"/>
            <w:hideMark/>
          </w:tcPr>
          <w:p w14:paraId="5069882D" w14:textId="77777777" w:rsidR="003A6D01" w:rsidRPr="003A6D01" w:rsidRDefault="003A6D01" w:rsidP="003A6D01">
            <w:pPr>
              <w:spacing w:after="0" w:line="240" w:lineRule="auto"/>
              <w:rPr>
                <w:rFonts w:ascii="Times New Roman" w:eastAsia="Times New Roman" w:hAnsi="Times New Roman" w:cs="Times New Roman"/>
                <w:b/>
                <w:bCs/>
                <w:color w:val="222222"/>
                <w:sz w:val="20"/>
                <w:szCs w:val="18"/>
              </w:rPr>
            </w:pPr>
            <w:r w:rsidRPr="003A6D01">
              <w:rPr>
                <w:rFonts w:ascii="Times New Roman" w:eastAsia="Times New Roman" w:hAnsi="Times New Roman" w:cs="Times New Roman"/>
                <w:b/>
                <w:bCs/>
                <w:color w:val="222222"/>
                <w:sz w:val="20"/>
                <w:szCs w:val="18"/>
              </w:rPr>
              <w:t>Total</w:t>
            </w:r>
          </w:p>
        </w:tc>
        <w:tc>
          <w:tcPr>
            <w:tcW w:w="1480" w:type="dxa"/>
            <w:tcBorders>
              <w:top w:val="nil"/>
              <w:left w:val="nil"/>
              <w:bottom w:val="single" w:sz="4" w:space="0" w:color="auto"/>
              <w:right w:val="nil"/>
            </w:tcBorders>
            <w:shd w:val="clear" w:color="auto" w:fill="auto"/>
            <w:hideMark/>
          </w:tcPr>
          <w:p w14:paraId="7B9A184F" w14:textId="77777777" w:rsidR="003A6D01" w:rsidRPr="003A6D01" w:rsidRDefault="003A6D01" w:rsidP="003A6D01">
            <w:pPr>
              <w:spacing w:after="0" w:line="240" w:lineRule="auto"/>
              <w:rPr>
                <w:rFonts w:ascii="Times New Roman" w:eastAsia="Times New Roman" w:hAnsi="Times New Roman" w:cs="Times New Roman"/>
                <w:b/>
                <w:bCs/>
                <w:color w:val="222222"/>
                <w:sz w:val="20"/>
                <w:szCs w:val="18"/>
              </w:rPr>
            </w:pPr>
            <w:r w:rsidRPr="003A6D01">
              <w:rPr>
                <w:rFonts w:ascii="Times New Roman" w:eastAsia="Times New Roman" w:hAnsi="Times New Roman" w:cs="Times New Roman"/>
                <w:b/>
                <w:bCs/>
                <w:color w:val="222222"/>
                <w:sz w:val="20"/>
                <w:szCs w:val="18"/>
              </w:rPr>
              <w:t> </w:t>
            </w:r>
          </w:p>
        </w:tc>
        <w:tc>
          <w:tcPr>
            <w:tcW w:w="1480" w:type="dxa"/>
            <w:tcBorders>
              <w:top w:val="nil"/>
              <w:left w:val="nil"/>
              <w:bottom w:val="single" w:sz="4" w:space="0" w:color="auto"/>
              <w:right w:val="nil"/>
            </w:tcBorders>
            <w:shd w:val="clear" w:color="auto" w:fill="auto"/>
            <w:hideMark/>
          </w:tcPr>
          <w:p w14:paraId="61A39977" w14:textId="77777777" w:rsidR="003A6D01" w:rsidRPr="003A6D01" w:rsidRDefault="003A6D01" w:rsidP="003A6D01">
            <w:pPr>
              <w:spacing w:after="0" w:line="240" w:lineRule="auto"/>
              <w:rPr>
                <w:rFonts w:ascii="Times New Roman" w:eastAsia="Times New Roman" w:hAnsi="Times New Roman" w:cs="Times New Roman"/>
                <w:b/>
                <w:bCs/>
                <w:color w:val="222222"/>
                <w:sz w:val="20"/>
                <w:szCs w:val="18"/>
              </w:rPr>
            </w:pPr>
            <w:r w:rsidRPr="003A6D01">
              <w:rPr>
                <w:rFonts w:ascii="Times New Roman" w:eastAsia="Times New Roman" w:hAnsi="Times New Roman" w:cs="Times New Roman"/>
                <w:b/>
                <w:bCs/>
                <w:color w:val="222222"/>
                <w:sz w:val="20"/>
                <w:szCs w:val="18"/>
              </w:rPr>
              <w:t>297</w:t>
            </w:r>
          </w:p>
        </w:tc>
        <w:tc>
          <w:tcPr>
            <w:tcW w:w="1480" w:type="dxa"/>
            <w:tcBorders>
              <w:top w:val="nil"/>
              <w:left w:val="nil"/>
              <w:bottom w:val="single" w:sz="4" w:space="0" w:color="auto"/>
              <w:right w:val="nil"/>
            </w:tcBorders>
            <w:shd w:val="clear" w:color="auto" w:fill="auto"/>
            <w:hideMark/>
          </w:tcPr>
          <w:p w14:paraId="5C43535A" w14:textId="77777777" w:rsidR="003A6D01" w:rsidRPr="003A6D01" w:rsidRDefault="003A6D01" w:rsidP="003A6D01">
            <w:pPr>
              <w:spacing w:after="0" w:line="240" w:lineRule="auto"/>
              <w:rPr>
                <w:rFonts w:ascii="Times New Roman" w:eastAsia="Times New Roman" w:hAnsi="Times New Roman" w:cs="Times New Roman"/>
                <w:b/>
                <w:bCs/>
                <w:color w:val="222222"/>
                <w:sz w:val="20"/>
                <w:szCs w:val="18"/>
              </w:rPr>
            </w:pPr>
            <w:r w:rsidRPr="003A6D01">
              <w:rPr>
                <w:rFonts w:ascii="Times New Roman" w:eastAsia="Times New Roman" w:hAnsi="Times New Roman" w:cs="Times New Roman"/>
                <w:b/>
                <w:bCs/>
                <w:color w:val="222222"/>
                <w:sz w:val="20"/>
                <w:szCs w:val="18"/>
              </w:rPr>
              <w:t> </w:t>
            </w:r>
          </w:p>
        </w:tc>
      </w:tr>
    </w:tbl>
    <w:p w14:paraId="4B235323" w14:textId="77777777" w:rsidR="003A6D01" w:rsidRPr="00FE1DDB" w:rsidRDefault="003A6D01" w:rsidP="00FE1DDB">
      <w:pPr>
        <w:spacing w:after="0" w:line="240" w:lineRule="auto"/>
        <w:rPr>
          <w:rFonts w:ascii="Times New Roman" w:hAnsi="Times New Roman" w:cs="Times New Roman"/>
          <w:sz w:val="24"/>
          <w:szCs w:val="24"/>
        </w:rPr>
      </w:pPr>
    </w:p>
    <w:p w14:paraId="59CCA162" w14:textId="77777777" w:rsidR="0059033C" w:rsidRPr="00FE1DDB" w:rsidRDefault="0059033C" w:rsidP="00FE1DDB">
      <w:pPr>
        <w:pStyle w:val="Heading1"/>
        <w:rPr>
          <w:rFonts w:ascii="Times New Roman" w:hAnsi="Times New Roman" w:cs="Times New Roman"/>
          <w:b/>
          <w:i w:val="0"/>
          <w:sz w:val="24"/>
          <w:szCs w:val="24"/>
        </w:rPr>
      </w:pPr>
    </w:p>
    <w:p w14:paraId="36AEE146" w14:textId="57D32203" w:rsidR="003E5AA6" w:rsidRPr="00FE1DDB" w:rsidRDefault="003E5AA6" w:rsidP="00FE1DDB">
      <w:pPr>
        <w:pStyle w:val="Heading1"/>
        <w:rPr>
          <w:rFonts w:ascii="Times New Roman" w:hAnsi="Times New Roman" w:cs="Times New Roman"/>
          <w:b/>
          <w:i w:val="0"/>
          <w:sz w:val="24"/>
          <w:szCs w:val="24"/>
        </w:rPr>
      </w:pPr>
      <w:r w:rsidRPr="00FE1DDB">
        <w:rPr>
          <w:rFonts w:ascii="Times New Roman" w:hAnsi="Times New Roman" w:cs="Times New Roman"/>
          <w:b/>
          <w:i w:val="0"/>
          <w:sz w:val="24"/>
          <w:szCs w:val="24"/>
        </w:rPr>
        <w:t>Weight-of-Evidence (WOE) Assessment</w:t>
      </w:r>
    </w:p>
    <w:p w14:paraId="73A48F03" w14:textId="77777777" w:rsidR="00452ED9" w:rsidRPr="00FE1DDB" w:rsidRDefault="00452ED9" w:rsidP="00FE1DDB">
      <w:pPr>
        <w:spacing w:after="0"/>
        <w:rPr>
          <w:rFonts w:ascii="Times New Roman" w:hAnsi="Times New Roman" w:cs="Times New Roman"/>
          <w:sz w:val="24"/>
          <w:szCs w:val="24"/>
        </w:rPr>
      </w:pPr>
    </w:p>
    <w:p w14:paraId="5D2617F7" w14:textId="2D109B56" w:rsidR="003E5AA6" w:rsidRPr="00FE1DDB" w:rsidRDefault="003E5AA6" w:rsidP="00FE1DDB">
      <w:pPr>
        <w:spacing w:after="0" w:line="240" w:lineRule="auto"/>
        <w:ind w:firstLine="720"/>
        <w:rPr>
          <w:rFonts w:ascii="Times New Roman" w:hAnsi="Times New Roman" w:cs="Times New Roman"/>
          <w:sz w:val="24"/>
          <w:szCs w:val="24"/>
        </w:rPr>
      </w:pPr>
      <w:r w:rsidRPr="00FE1DDB">
        <w:rPr>
          <w:rFonts w:ascii="Times New Roman" w:hAnsi="Times New Roman" w:cs="Times New Roman"/>
          <w:sz w:val="24"/>
          <w:szCs w:val="24"/>
        </w:rPr>
        <w:t xml:space="preserve">Weight-of-Evidence assessments of each individual site for Aquatic Life Use (ALU) were carried out based primarily upon the Sediment Quality Triad (SQT) of sediment chemistry, sediment toxicity, and benthic community </w:t>
      </w:r>
      <w:r w:rsidR="00C44AA0" w:rsidRPr="00FE1DDB">
        <w:rPr>
          <w:rFonts w:ascii="Times New Roman" w:hAnsi="Times New Roman" w:cs="Times New Roman"/>
          <w:sz w:val="24"/>
          <w:szCs w:val="24"/>
        </w:rPr>
        <w:t>wellbeing</w:t>
      </w:r>
      <w:r w:rsidRPr="00FE1DDB">
        <w:rPr>
          <w:rFonts w:ascii="Times New Roman" w:hAnsi="Times New Roman" w:cs="Times New Roman"/>
          <w:sz w:val="24"/>
          <w:szCs w:val="24"/>
        </w:rPr>
        <w:t xml:space="preserve">. All three of these measures are considered to be temporally integrative, providing an assessment of environmental conditions experienced by the benthic community during the period prior to the time of </w:t>
      </w:r>
      <w:r w:rsidRPr="0017576D">
        <w:rPr>
          <w:rFonts w:ascii="Times New Roman" w:hAnsi="Times New Roman" w:cs="Times New Roman"/>
          <w:sz w:val="24"/>
          <w:szCs w:val="24"/>
        </w:rPr>
        <w:t>sampling.</w:t>
      </w:r>
      <w:r w:rsidR="00A52F3A" w:rsidRPr="0017576D">
        <w:rPr>
          <w:rFonts w:ascii="Times New Roman" w:hAnsi="Times New Roman" w:cs="Times New Roman"/>
          <w:b/>
        </w:rPr>
        <w:t xml:space="preserve"> </w:t>
      </w:r>
      <w:r w:rsidR="00A52F3A" w:rsidRPr="0017576D">
        <w:rPr>
          <w:rFonts w:ascii="Times New Roman" w:hAnsi="Times New Roman" w:cs="Times New Roman"/>
        </w:rPr>
        <w:t>The</w:t>
      </w:r>
      <w:r w:rsidR="00A52F3A" w:rsidRPr="00A52F3A">
        <w:rPr>
          <w:rFonts w:ascii="Times New Roman" w:hAnsi="Times New Roman" w:cs="Times New Roman"/>
        </w:rPr>
        <w:t xml:space="preserve"> water quality parameters </w:t>
      </w:r>
      <w:r w:rsidR="00A52F3A">
        <w:rPr>
          <w:rFonts w:ascii="Times New Roman" w:hAnsi="Times New Roman" w:cs="Times New Roman"/>
        </w:rPr>
        <w:t xml:space="preserve">however </w:t>
      </w:r>
      <w:r w:rsidR="00A52F3A" w:rsidRPr="00A52F3A">
        <w:rPr>
          <w:rFonts w:ascii="Times New Roman" w:hAnsi="Times New Roman" w:cs="Times New Roman"/>
        </w:rPr>
        <w:t>(</w:t>
      </w:r>
      <w:r w:rsidR="00A52F3A" w:rsidRPr="00A52F3A">
        <w:rPr>
          <w:rFonts w:ascii="Times New Roman" w:hAnsi="Times New Roman" w:cs="Times New Roman"/>
          <w:i/>
        </w:rPr>
        <w:t>e.g.</w:t>
      </w:r>
      <w:r w:rsidR="00A52F3A" w:rsidRPr="00A52F3A">
        <w:rPr>
          <w:rFonts w:ascii="Times New Roman" w:hAnsi="Times New Roman" w:cs="Times New Roman"/>
        </w:rPr>
        <w:t xml:space="preserve">, nutrients, bacteria, dissolved metals, DO, temperature, pH, </w:t>
      </w:r>
      <w:r w:rsidR="00A52F3A" w:rsidRPr="00A52F3A">
        <w:rPr>
          <w:rFonts w:ascii="Times New Roman" w:hAnsi="Times New Roman" w:cs="Times New Roman"/>
          <w:i/>
        </w:rPr>
        <w:t>etc</w:t>
      </w:r>
      <w:r w:rsidR="00A52F3A" w:rsidRPr="00A52F3A">
        <w:rPr>
          <w:rFonts w:ascii="Times New Roman" w:hAnsi="Times New Roman" w:cs="Times New Roman"/>
        </w:rPr>
        <w:t>.) are considered instantaneous observations and are insufficient for assessment purposes because the intensity and duration of such stressors are unknown</w:t>
      </w:r>
      <w:r w:rsidR="00A52F3A">
        <w:rPr>
          <w:rFonts w:ascii="Times New Roman" w:hAnsi="Times New Roman" w:cs="Times New Roman"/>
        </w:rPr>
        <w:t>.</w:t>
      </w:r>
      <w:r w:rsidRPr="00A52F3A">
        <w:rPr>
          <w:rFonts w:ascii="Times New Roman" w:hAnsi="Times New Roman" w:cs="Times New Roman"/>
          <w:sz w:val="24"/>
          <w:szCs w:val="24"/>
        </w:rPr>
        <w:t xml:space="preserve"> </w:t>
      </w:r>
      <w:r w:rsidRPr="00FE1DDB">
        <w:rPr>
          <w:rFonts w:ascii="Times New Roman" w:hAnsi="Times New Roman" w:cs="Times New Roman"/>
          <w:sz w:val="24"/>
          <w:szCs w:val="24"/>
        </w:rPr>
        <w:t>The evaluation and interpretation of the SQT is carried out with the use of an analytical matrix (Chapman et al., 1986, 1987) that is described in DEQ’s 20</w:t>
      </w:r>
      <w:r w:rsidR="00A52F3A">
        <w:rPr>
          <w:rFonts w:ascii="Times New Roman" w:hAnsi="Times New Roman" w:cs="Times New Roman"/>
          <w:sz w:val="24"/>
          <w:szCs w:val="24"/>
        </w:rPr>
        <w:t>22</w:t>
      </w:r>
      <w:r w:rsidRPr="00FE1DDB">
        <w:rPr>
          <w:rFonts w:ascii="Times New Roman" w:hAnsi="Times New Roman" w:cs="Times New Roman"/>
          <w:sz w:val="24"/>
          <w:szCs w:val="24"/>
        </w:rPr>
        <w:t xml:space="preserve"> </w:t>
      </w:r>
      <w:hyperlink r:id="rId8" w:history="1">
        <w:r w:rsidRPr="00A52F3A">
          <w:rPr>
            <w:rStyle w:val="Hyperlink"/>
            <w:rFonts w:ascii="Times New Roman" w:hAnsi="Times New Roman" w:cs="Times New Roman"/>
            <w:sz w:val="24"/>
            <w:szCs w:val="24"/>
          </w:rPr>
          <w:t>Water Qual</w:t>
        </w:r>
        <w:r w:rsidR="00A52F3A" w:rsidRPr="00A52F3A">
          <w:rPr>
            <w:rStyle w:val="Hyperlink"/>
            <w:rFonts w:ascii="Times New Roman" w:hAnsi="Times New Roman" w:cs="Times New Roman"/>
            <w:sz w:val="24"/>
            <w:szCs w:val="24"/>
          </w:rPr>
          <w:t>ity Assessment Guidance Manual</w:t>
        </w:r>
      </w:hyperlink>
      <w:r w:rsidR="00EE7D1D" w:rsidRPr="00FE1DDB">
        <w:rPr>
          <w:rFonts w:ascii="Times New Roman" w:hAnsi="Times New Roman" w:cs="Times New Roman"/>
          <w:sz w:val="24"/>
          <w:szCs w:val="24"/>
        </w:rPr>
        <w:t>.</w:t>
      </w:r>
    </w:p>
    <w:p w14:paraId="51F4607B" w14:textId="77777777" w:rsidR="003E5AA6" w:rsidRPr="00FE1DDB" w:rsidRDefault="003E5AA6" w:rsidP="00FE1DDB">
      <w:pPr>
        <w:spacing w:after="0" w:line="240" w:lineRule="auto"/>
        <w:jc w:val="both"/>
        <w:rPr>
          <w:rFonts w:ascii="Times New Roman" w:hAnsi="Times New Roman" w:cs="Times New Roman"/>
          <w:sz w:val="24"/>
          <w:szCs w:val="24"/>
        </w:rPr>
      </w:pPr>
    </w:p>
    <w:p w14:paraId="7854EF8A" w14:textId="32F1AB94" w:rsidR="00AB08E0" w:rsidRPr="00FE1DDB" w:rsidRDefault="001E03B2" w:rsidP="00FE1DDB">
      <w:pPr>
        <w:spacing w:line="240" w:lineRule="auto"/>
        <w:rPr>
          <w:rFonts w:ascii="Times New Roman" w:hAnsi="Times New Roman" w:cs="Times New Roman"/>
          <w:sz w:val="24"/>
          <w:szCs w:val="24"/>
        </w:rPr>
      </w:pPr>
      <w:r w:rsidRPr="00FE1DDB">
        <w:rPr>
          <w:rFonts w:ascii="Times New Roman" w:hAnsi="Times New Roman" w:cs="Times New Roman"/>
          <w:sz w:val="24"/>
          <w:szCs w:val="24"/>
        </w:rPr>
        <w:t xml:space="preserve">It should be </w:t>
      </w:r>
      <w:r w:rsidR="00337C7E" w:rsidRPr="00FE1DDB">
        <w:rPr>
          <w:rFonts w:ascii="Times New Roman" w:hAnsi="Times New Roman" w:cs="Times New Roman"/>
          <w:sz w:val="24"/>
          <w:szCs w:val="24"/>
        </w:rPr>
        <w:t>noted</w:t>
      </w:r>
      <w:r w:rsidRPr="00FE1DDB">
        <w:rPr>
          <w:rFonts w:ascii="Times New Roman" w:hAnsi="Times New Roman" w:cs="Times New Roman"/>
          <w:sz w:val="24"/>
          <w:szCs w:val="24"/>
        </w:rPr>
        <w:t xml:space="preserve"> that formal</w:t>
      </w:r>
      <w:r w:rsidR="00337C7E" w:rsidRPr="00FE1DDB">
        <w:rPr>
          <w:rFonts w:ascii="Times New Roman" w:hAnsi="Times New Roman" w:cs="Times New Roman"/>
          <w:sz w:val="24"/>
          <w:szCs w:val="24"/>
        </w:rPr>
        <w:t xml:space="preserve"> aquatic life</w:t>
      </w:r>
      <w:r w:rsidRPr="00FE1DDB">
        <w:rPr>
          <w:rFonts w:ascii="Times New Roman" w:hAnsi="Times New Roman" w:cs="Times New Roman"/>
          <w:sz w:val="24"/>
          <w:szCs w:val="24"/>
        </w:rPr>
        <w:t xml:space="preserve"> </w:t>
      </w:r>
      <w:r w:rsidR="00337C7E" w:rsidRPr="00FE1DDB">
        <w:rPr>
          <w:rFonts w:ascii="Times New Roman" w:hAnsi="Times New Roman" w:cs="Times New Roman"/>
          <w:sz w:val="24"/>
          <w:szCs w:val="24"/>
        </w:rPr>
        <w:t>impairment</w:t>
      </w:r>
      <w:r w:rsidRPr="00FE1DDB">
        <w:rPr>
          <w:rFonts w:ascii="Times New Roman" w:hAnsi="Times New Roman" w:cs="Times New Roman"/>
          <w:sz w:val="24"/>
          <w:szCs w:val="24"/>
        </w:rPr>
        <w:t xml:space="preserve"> </w:t>
      </w:r>
      <w:r w:rsidR="00337C7E" w:rsidRPr="00FE1DDB">
        <w:rPr>
          <w:rFonts w:ascii="Times New Roman" w:hAnsi="Times New Roman" w:cs="Times New Roman"/>
          <w:sz w:val="24"/>
          <w:szCs w:val="24"/>
        </w:rPr>
        <w:t>designations (i.e., those placed in Category 5</w:t>
      </w:r>
      <w:r w:rsidR="0041657E" w:rsidRPr="00FE1DDB">
        <w:rPr>
          <w:rFonts w:ascii="Times New Roman" w:hAnsi="Times New Roman" w:cs="Times New Roman"/>
          <w:sz w:val="24"/>
          <w:szCs w:val="24"/>
        </w:rPr>
        <w:t>A</w:t>
      </w:r>
      <w:r w:rsidR="00337C7E" w:rsidRPr="00FE1DDB">
        <w:rPr>
          <w:rFonts w:ascii="Times New Roman" w:hAnsi="Times New Roman" w:cs="Times New Roman"/>
          <w:sz w:val="24"/>
          <w:szCs w:val="24"/>
        </w:rPr>
        <w:t>)</w:t>
      </w:r>
      <w:r w:rsidRPr="00FE1DDB">
        <w:rPr>
          <w:rFonts w:ascii="Times New Roman" w:hAnsi="Times New Roman" w:cs="Times New Roman"/>
          <w:sz w:val="24"/>
          <w:szCs w:val="24"/>
        </w:rPr>
        <w:t xml:space="preserve"> determined using the SQT and reported here, are only those </w:t>
      </w:r>
      <w:r w:rsidR="00D84C51" w:rsidRPr="00FE1DDB">
        <w:rPr>
          <w:rFonts w:ascii="Times New Roman" w:hAnsi="Times New Roman" w:cs="Times New Roman"/>
          <w:sz w:val="24"/>
          <w:szCs w:val="24"/>
        </w:rPr>
        <w:t xml:space="preserve">with degradation of benthic communities that is </w:t>
      </w:r>
      <w:r w:rsidRPr="00FE1DDB">
        <w:rPr>
          <w:rFonts w:ascii="Times New Roman" w:hAnsi="Times New Roman" w:cs="Times New Roman"/>
          <w:sz w:val="24"/>
          <w:szCs w:val="24"/>
        </w:rPr>
        <w:t>attributable to toxic chemical contamination of the sediment</w:t>
      </w:r>
      <w:r w:rsidR="00804695">
        <w:rPr>
          <w:rFonts w:ascii="Times New Roman" w:hAnsi="Times New Roman" w:cs="Times New Roman"/>
          <w:sz w:val="24"/>
          <w:szCs w:val="24"/>
        </w:rPr>
        <w:t xml:space="preserve"> which may be indicated through either observed sediment chemistry or sediment toxicity</w:t>
      </w:r>
      <w:r w:rsidRPr="00FE1DDB">
        <w:rPr>
          <w:rFonts w:ascii="Times New Roman" w:hAnsi="Times New Roman" w:cs="Times New Roman"/>
          <w:sz w:val="24"/>
          <w:szCs w:val="24"/>
        </w:rPr>
        <w:t xml:space="preserve">. </w:t>
      </w:r>
      <w:r w:rsidR="00F628C5" w:rsidRPr="00FE1DDB">
        <w:rPr>
          <w:rFonts w:ascii="Times New Roman" w:hAnsi="Times New Roman" w:cs="Times New Roman"/>
          <w:sz w:val="24"/>
          <w:szCs w:val="24"/>
        </w:rPr>
        <w:t>Any cases of si</w:t>
      </w:r>
      <w:r w:rsidRPr="00FE1DDB">
        <w:rPr>
          <w:rFonts w:ascii="Times New Roman" w:hAnsi="Times New Roman" w:cs="Times New Roman"/>
          <w:sz w:val="24"/>
          <w:szCs w:val="24"/>
        </w:rPr>
        <w:t xml:space="preserve">gnificant degradation of benthic communities that cannot be attributed directly to chemical contamination are identified as </w:t>
      </w:r>
      <w:r w:rsidR="00337C7E" w:rsidRPr="00FE1DDB">
        <w:rPr>
          <w:rFonts w:ascii="Times New Roman" w:hAnsi="Times New Roman" w:cs="Times New Roman"/>
          <w:sz w:val="24"/>
          <w:szCs w:val="24"/>
        </w:rPr>
        <w:t xml:space="preserve">having an </w:t>
      </w:r>
      <w:r w:rsidRPr="00FE1DDB">
        <w:rPr>
          <w:rFonts w:ascii="Times New Roman" w:hAnsi="Times New Roman" w:cs="Times New Roman"/>
          <w:sz w:val="24"/>
          <w:szCs w:val="24"/>
        </w:rPr>
        <w:t xml:space="preserve">“Observed Effect” and are placed in Category 3B. </w:t>
      </w:r>
      <w:r w:rsidR="00094D94" w:rsidRPr="00FE1DDB">
        <w:rPr>
          <w:rFonts w:ascii="Times New Roman" w:hAnsi="Times New Roman" w:cs="Times New Roman"/>
          <w:sz w:val="24"/>
          <w:szCs w:val="24"/>
        </w:rPr>
        <w:t>A 3B assessment may also result from the presence of significant chemical contamination and/</w:t>
      </w:r>
      <w:r w:rsidR="00107FB4" w:rsidRPr="00FE1DDB">
        <w:rPr>
          <w:rFonts w:ascii="Times New Roman" w:hAnsi="Times New Roman" w:cs="Times New Roman"/>
          <w:sz w:val="24"/>
          <w:szCs w:val="24"/>
        </w:rPr>
        <w:t>or observed</w:t>
      </w:r>
      <w:r w:rsidR="00094D94" w:rsidRPr="00FE1DDB">
        <w:rPr>
          <w:rFonts w:ascii="Times New Roman" w:hAnsi="Times New Roman" w:cs="Times New Roman"/>
          <w:sz w:val="24"/>
          <w:szCs w:val="24"/>
        </w:rPr>
        <w:t xml:space="preserve"> toxicity</w:t>
      </w:r>
      <w:r w:rsidR="00107FB4" w:rsidRPr="00FE1DDB">
        <w:rPr>
          <w:rFonts w:ascii="Times New Roman" w:hAnsi="Times New Roman" w:cs="Times New Roman"/>
          <w:sz w:val="24"/>
          <w:szCs w:val="24"/>
        </w:rPr>
        <w:t xml:space="preserve"> where no significant b</w:t>
      </w:r>
      <w:r w:rsidR="00D84C51" w:rsidRPr="00FE1DDB">
        <w:rPr>
          <w:rFonts w:ascii="Times New Roman" w:hAnsi="Times New Roman" w:cs="Times New Roman"/>
          <w:sz w:val="24"/>
          <w:szCs w:val="24"/>
        </w:rPr>
        <w:t>en</w:t>
      </w:r>
      <w:r w:rsidR="00971F3D">
        <w:rPr>
          <w:rFonts w:ascii="Times New Roman" w:hAnsi="Times New Roman" w:cs="Times New Roman"/>
          <w:sz w:val="24"/>
          <w:szCs w:val="24"/>
        </w:rPr>
        <w:t xml:space="preserve">thic degradation was observed. </w:t>
      </w:r>
      <w:r w:rsidR="00F3346F" w:rsidRPr="00FE1DDB">
        <w:rPr>
          <w:rFonts w:ascii="Times New Roman" w:hAnsi="Times New Roman" w:cs="Times New Roman"/>
          <w:sz w:val="24"/>
          <w:szCs w:val="24"/>
        </w:rPr>
        <w:t xml:space="preserve">Such </w:t>
      </w:r>
      <w:r w:rsidR="00D84C51" w:rsidRPr="00FE1DDB">
        <w:rPr>
          <w:rFonts w:ascii="Times New Roman" w:hAnsi="Times New Roman" w:cs="Times New Roman"/>
          <w:sz w:val="24"/>
          <w:szCs w:val="24"/>
        </w:rPr>
        <w:t xml:space="preserve">Category </w:t>
      </w:r>
      <w:r w:rsidR="00E325BA" w:rsidRPr="00FE1DDB">
        <w:rPr>
          <w:rFonts w:ascii="Times New Roman" w:hAnsi="Times New Roman" w:cs="Times New Roman"/>
          <w:sz w:val="24"/>
          <w:szCs w:val="24"/>
        </w:rPr>
        <w:t xml:space="preserve">3B </w:t>
      </w:r>
      <w:r w:rsidR="00F3346F" w:rsidRPr="00FE1DDB">
        <w:rPr>
          <w:rFonts w:ascii="Times New Roman" w:hAnsi="Times New Roman" w:cs="Times New Roman"/>
          <w:sz w:val="24"/>
          <w:szCs w:val="24"/>
        </w:rPr>
        <w:t xml:space="preserve">sites are prioritized by DEQ for follow up monitoring. When sediment screening values are exceeded or significant sediment toxicity is observed without significant </w:t>
      </w:r>
      <w:r w:rsidR="00E25C86" w:rsidRPr="00FE1DDB">
        <w:rPr>
          <w:rFonts w:ascii="Times New Roman" w:hAnsi="Times New Roman" w:cs="Times New Roman"/>
          <w:i/>
          <w:sz w:val="24"/>
          <w:szCs w:val="24"/>
        </w:rPr>
        <w:t>in situ</w:t>
      </w:r>
      <w:r w:rsidR="00E25C86" w:rsidRPr="00FE1DDB">
        <w:rPr>
          <w:rFonts w:ascii="Times New Roman" w:hAnsi="Times New Roman" w:cs="Times New Roman"/>
          <w:sz w:val="24"/>
          <w:szCs w:val="24"/>
        </w:rPr>
        <w:t xml:space="preserve"> </w:t>
      </w:r>
      <w:r w:rsidR="00F3346F" w:rsidRPr="00FE1DDB">
        <w:rPr>
          <w:rFonts w:ascii="Times New Roman" w:hAnsi="Times New Roman" w:cs="Times New Roman"/>
          <w:sz w:val="24"/>
          <w:szCs w:val="24"/>
        </w:rPr>
        <w:t xml:space="preserve">benthic degradation, the results </w:t>
      </w:r>
      <w:r w:rsidR="001F36FA" w:rsidRPr="00FE1DDB">
        <w:rPr>
          <w:rFonts w:ascii="Times New Roman" w:hAnsi="Times New Roman" w:cs="Times New Roman"/>
          <w:sz w:val="24"/>
          <w:szCs w:val="24"/>
        </w:rPr>
        <w:t>are generally</w:t>
      </w:r>
      <w:r w:rsidR="00AB08E0" w:rsidRPr="00FE1DDB">
        <w:rPr>
          <w:rFonts w:ascii="Times New Roman" w:hAnsi="Times New Roman" w:cs="Times New Roman"/>
          <w:sz w:val="24"/>
          <w:szCs w:val="24"/>
        </w:rPr>
        <w:t xml:space="preserve"> reported as Category 2</w:t>
      </w:r>
      <w:r w:rsidR="00D84C51" w:rsidRPr="00FE1DDB">
        <w:rPr>
          <w:rFonts w:ascii="Times New Roman" w:hAnsi="Times New Roman" w:cs="Times New Roman"/>
          <w:sz w:val="24"/>
          <w:szCs w:val="24"/>
        </w:rPr>
        <w:t xml:space="preserve"> (i.e., </w:t>
      </w:r>
      <w:r w:rsidR="00AB08E0" w:rsidRPr="00FE1DDB">
        <w:rPr>
          <w:rFonts w:ascii="Times New Roman" w:hAnsi="Times New Roman" w:cs="Times New Roman"/>
          <w:sz w:val="24"/>
          <w:szCs w:val="24"/>
        </w:rPr>
        <w:t>waters are of concern to the state … [because] the water exceeds a state screening value or toxicity test</w:t>
      </w:r>
      <w:r w:rsidR="00D84C51" w:rsidRPr="00FE1DDB">
        <w:rPr>
          <w:rFonts w:ascii="Times New Roman" w:hAnsi="Times New Roman" w:cs="Times New Roman"/>
          <w:sz w:val="24"/>
          <w:szCs w:val="24"/>
        </w:rPr>
        <w:t>)</w:t>
      </w:r>
      <w:r w:rsidR="00AB08E0" w:rsidRPr="00FE1DDB">
        <w:rPr>
          <w:rFonts w:ascii="Times New Roman" w:hAnsi="Times New Roman" w:cs="Times New Roman"/>
          <w:sz w:val="24"/>
          <w:szCs w:val="24"/>
        </w:rPr>
        <w:t xml:space="preserve">. </w:t>
      </w:r>
      <w:r w:rsidR="001F36FA" w:rsidRPr="00FE1DDB">
        <w:rPr>
          <w:rFonts w:ascii="Times New Roman" w:hAnsi="Times New Roman" w:cs="Times New Roman"/>
          <w:sz w:val="24"/>
          <w:szCs w:val="24"/>
        </w:rPr>
        <w:t xml:space="preserve">At times, ancillary information collected at probabilistic sites may be sufficient to suggest additional potential attributable causes for observed benthic degradation. </w:t>
      </w:r>
      <w:r w:rsidR="00296EA4" w:rsidRPr="00FE1DDB">
        <w:rPr>
          <w:rFonts w:ascii="Times New Roman" w:hAnsi="Times New Roman" w:cs="Times New Roman"/>
          <w:sz w:val="24"/>
          <w:szCs w:val="24"/>
        </w:rPr>
        <w:t>For example, if sediment sand content is extremely high (≥ 9</w:t>
      </w:r>
      <w:r w:rsidR="004F1220" w:rsidRPr="00FE1DDB">
        <w:rPr>
          <w:rFonts w:ascii="Times New Roman" w:hAnsi="Times New Roman" w:cs="Times New Roman"/>
          <w:sz w:val="24"/>
          <w:szCs w:val="24"/>
        </w:rPr>
        <w:t>5</w:t>
      </w:r>
      <w:r w:rsidR="002D26C7" w:rsidRPr="00FE1DDB">
        <w:rPr>
          <w:rFonts w:ascii="Times New Roman" w:hAnsi="Times New Roman" w:cs="Times New Roman"/>
          <w:sz w:val="24"/>
          <w:szCs w:val="24"/>
        </w:rPr>
        <w:t xml:space="preserve"> percent</w:t>
      </w:r>
      <w:r w:rsidR="00296EA4" w:rsidRPr="00FE1DDB">
        <w:rPr>
          <w:rFonts w:ascii="Times New Roman" w:hAnsi="Times New Roman" w:cs="Times New Roman"/>
          <w:sz w:val="24"/>
          <w:szCs w:val="24"/>
        </w:rPr>
        <w:t xml:space="preserve">) and the site is in a tidal channel or </w:t>
      </w:r>
      <w:r w:rsidR="00094D94" w:rsidRPr="00FE1DDB">
        <w:rPr>
          <w:rFonts w:ascii="Times New Roman" w:hAnsi="Times New Roman" w:cs="Times New Roman"/>
          <w:sz w:val="24"/>
          <w:szCs w:val="24"/>
        </w:rPr>
        <w:t xml:space="preserve">is </w:t>
      </w:r>
      <w:r w:rsidR="00296EA4" w:rsidRPr="00FE1DDB">
        <w:rPr>
          <w:rFonts w:ascii="Times New Roman" w:hAnsi="Times New Roman" w:cs="Times New Roman"/>
          <w:sz w:val="24"/>
          <w:szCs w:val="24"/>
        </w:rPr>
        <w:t xml:space="preserve">exposed to wave action, </w:t>
      </w:r>
      <w:r w:rsidR="004F1220" w:rsidRPr="00FE1DDB">
        <w:rPr>
          <w:rFonts w:ascii="Times New Roman" w:hAnsi="Times New Roman" w:cs="Times New Roman"/>
          <w:sz w:val="24"/>
          <w:szCs w:val="24"/>
        </w:rPr>
        <w:t xml:space="preserve">natural degradation due to scouring may be suggested as a potential cause. Similarly, if bottom DO concentration is “Poor” or only “Fair” at the time of sampling, </w:t>
      </w:r>
      <w:r w:rsidR="00D84C51" w:rsidRPr="00FE1DDB">
        <w:rPr>
          <w:rFonts w:ascii="Times New Roman" w:hAnsi="Times New Roman" w:cs="Times New Roman"/>
          <w:sz w:val="24"/>
          <w:szCs w:val="24"/>
        </w:rPr>
        <w:t>o</w:t>
      </w:r>
      <w:r w:rsidR="004F1220" w:rsidRPr="00FE1DDB">
        <w:rPr>
          <w:rFonts w:ascii="Times New Roman" w:hAnsi="Times New Roman" w:cs="Times New Roman"/>
          <w:sz w:val="24"/>
          <w:szCs w:val="24"/>
        </w:rPr>
        <w:t>xygen depletion may be suggested as a potential cause, and ancillary data on nutrient an</w:t>
      </w:r>
      <w:r w:rsidR="000D0DA9" w:rsidRPr="00FE1DDB">
        <w:rPr>
          <w:rFonts w:ascii="Times New Roman" w:hAnsi="Times New Roman" w:cs="Times New Roman"/>
          <w:sz w:val="24"/>
          <w:szCs w:val="24"/>
        </w:rPr>
        <w:t>d</w:t>
      </w:r>
      <w:r w:rsidR="004F1220" w:rsidRPr="00FE1DDB">
        <w:rPr>
          <w:rFonts w:ascii="Times New Roman" w:hAnsi="Times New Roman" w:cs="Times New Roman"/>
          <w:sz w:val="24"/>
          <w:szCs w:val="24"/>
        </w:rPr>
        <w:t>/or chlorophyll-a concentrations may suggest eutrophication.</w:t>
      </w:r>
    </w:p>
    <w:p w14:paraId="0EF10C23" w14:textId="4EF15AFA" w:rsidR="004208C1" w:rsidRDefault="000D0DA9" w:rsidP="00FE1DDB">
      <w:pPr>
        <w:spacing w:after="0" w:line="240" w:lineRule="auto"/>
        <w:jc w:val="both"/>
        <w:rPr>
          <w:rFonts w:ascii="Times New Roman" w:hAnsi="Times New Roman" w:cs="Times New Roman"/>
          <w:sz w:val="24"/>
          <w:szCs w:val="24"/>
        </w:rPr>
      </w:pPr>
      <w:r w:rsidRPr="00FE1DDB">
        <w:rPr>
          <w:rFonts w:ascii="Times New Roman" w:hAnsi="Times New Roman" w:cs="Times New Roman"/>
          <w:sz w:val="24"/>
          <w:szCs w:val="24"/>
        </w:rPr>
        <w:lastRenderedPageBreak/>
        <w:t xml:space="preserve">Table </w:t>
      </w:r>
      <w:r w:rsidR="00155861" w:rsidRPr="00FE1DDB">
        <w:rPr>
          <w:rFonts w:ascii="Times New Roman" w:hAnsi="Times New Roman" w:cs="Times New Roman"/>
          <w:sz w:val="24"/>
          <w:szCs w:val="24"/>
        </w:rPr>
        <w:t>4.5</w:t>
      </w:r>
      <w:r w:rsidRPr="00FE1DDB">
        <w:rPr>
          <w:rFonts w:ascii="Times New Roman" w:hAnsi="Times New Roman" w:cs="Times New Roman"/>
          <w:sz w:val="24"/>
          <w:szCs w:val="24"/>
        </w:rPr>
        <w:t>-</w:t>
      </w:r>
      <w:r w:rsidR="008B0194">
        <w:rPr>
          <w:rFonts w:ascii="Times New Roman" w:hAnsi="Times New Roman" w:cs="Times New Roman"/>
          <w:sz w:val="24"/>
          <w:szCs w:val="24"/>
        </w:rPr>
        <w:t>26</w:t>
      </w:r>
      <w:r w:rsidRPr="00FE1DDB">
        <w:rPr>
          <w:rFonts w:ascii="Times New Roman" w:hAnsi="Times New Roman" w:cs="Times New Roman"/>
          <w:sz w:val="24"/>
          <w:szCs w:val="24"/>
        </w:rPr>
        <w:t xml:space="preserve"> summarizes the results of the </w:t>
      </w:r>
      <w:r w:rsidR="00094D94" w:rsidRPr="00FE1DDB">
        <w:rPr>
          <w:rFonts w:ascii="Times New Roman" w:hAnsi="Times New Roman" w:cs="Times New Roman"/>
          <w:sz w:val="24"/>
          <w:szCs w:val="24"/>
        </w:rPr>
        <w:t xml:space="preserve">toxics-related </w:t>
      </w:r>
      <w:r w:rsidRPr="00FE1DDB">
        <w:rPr>
          <w:rFonts w:ascii="Times New Roman" w:hAnsi="Times New Roman" w:cs="Times New Roman"/>
          <w:sz w:val="24"/>
          <w:szCs w:val="24"/>
        </w:rPr>
        <w:t xml:space="preserve">weight-of-evidence assessment of the aquatic life designated use at 297 </w:t>
      </w:r>
      <w:r w:rsidR="00FA64B3" w:rsidRPr="00FE1DDB">
        <w:rPr>
          <w:rFonts w:ascii="Times New Roman" w:hAnsi="Times New Roman" w:cs="Times New Roman"/>
          <w:sz w:val="24"/>
          <w:szCs w:val="24"/>
        </w:rPr>
        <w:t xml:space="preserve">Virginia </w:t>
      </w:r>
      <w:r w:rsidRPr="00FE1DDB">
        <w:rPr>
          <w:rFonts w:ascii="Times New Roman" w:hAnsi="Times New Roman" w:cs="Times New Roman"/>
          <w:sz w:val="24"/>
          <w:szCs w:val="24"/>
        </w:rPr>
        <w:t xml:space="preserve">probabilistic estuarine sites sampled from </w:t>
      </w:r>
      <w:r w:rsidR="00FA64B3" w:rsidRPr="00FE1DDB">
        <w:rPr>
          <w:rFonts w:ascii="Times New Roman" w:hAnsi="Times New Roman" w:cs="Times New Roman"/>
          <w:sz w:val="24"/>
          <w:szCs w:val="24"/>
        </w:rPr>
        <w:t xml:space="preserve">July </w:t>
      </w:r>
      <w:r w:rsidRPr="00FE1DDB">
        <w:rPr>
          <w:rFonts w:ascii="Times New Roman" w:hAnsi="Times New Roman" w:cs="Times New Roman"/>
          <w:sz w:val="24"/>
          <w:szCs w:val="24"/>
        </w:rPr>
        <w:t>201</w:t>
      </w:r>
      <w:r w:rsidR="00A52F3A">
        <w:rPr>
          <w:rFonts w:ascii="Times New Roman" w:hAnsi="Times New Roman" w:cs="Times New Roman"/>
          <w:sz w:val="24"/>
          <w:szCs w:val="24"/>
        </w:rPr>
        <w:t>5</w:t>
      </w:r>
      <w:r w:rsidRPr="00FE1DDB">
        <w:rPr>
          <w:rFonts w:ascii="Times New Roman" w:hAnsi="Times New Roman" w:cs="Times New Roman"/>
          <w:sz w:val="24"/>
          <w:szCs w:val="24"/>
        </w:rPr>
        <w:t xml:space="preserve"> t</w:t>
      </w:r>
      <w:r w:rsidR="00780D0A">
        <w:rPr>
          <w:rFonts w:ascii="Times New Roman" w:hAnsi="Times New Roman" w:cs="Times New Roman"/>
          <w:sz w:val="24"/>
          <w:szCs w:val="24"/>
        </w:rPr>
        <w:t>hrough</w:t>
      </w:r>
      <w:r w:rsidRPr="00FE1DDB">
        <w:rPr>
          <w:rFonts w:ascii="Times New Roman" w:hAnsi="Times New Roman" w:cs="Times New Roman"/>
          <w:sz w:val="24"/>
          <w:szCs w:val="24"/>
        </w:rPr>
        <w:t xml:space="preserve"> </w:t>
      </w:r>
      <w:r w:rsidR="00FA64B3" w:rsidRPr="00FE1DDB">
        <w:rPr>
          <w:rFonts w:ascii="Times New Roman" w:hAnsi="Times New Roman" w:cs="Times New Roman"/>
          <w:sz w:val="24"/>
          <w:szCs w:val="24"/>
        </w:rPr>
        <w:t xml:space="preserve">September </w:t>
      </w:r>
      <w:r w:rsidR="00A52F3A">
        <w:rPr>
          <w:rFonts w:ascii="Times New Roman" w:hAnsi="Times New Roman" w:cs="Times New Roman"/>
          <w:sz w:val="24"/>
          <w:szCs w:val="24"/>
        </w:rPr>
        <w:t>2020</w:t>
      </w:r>
      <w:r w:rsidRPr="00FE1DDB">
        <w:rPr>
          <w:rFonts w:ascii="Times New Roman" w:hAnsi="Times New Roman" w:cs="Times New Roman"/>
          <w:sz w:val="24"/>
          <w:szCs w:val="24"/>
        </w:rPr>
        <w:t xml:space="preserve">. </w:t>
      </w:r>
      <w:bookmarkStart w:id="1" w:name="_Hlk508981714"/>
    </w:p>
    <w:p w14:paraId="43B558DA" w14:textId="21AB54CF" w:rsidR="00780D0A" w:rsidRDefault="00780D0A" w:rsidP="00FE1DDB">
      <w:pPr>
        <w:spacing w:after="0" w:line="240" w:lineRule="auto"/>
        <w:jc w:val="both"/>
        <w:rPr>
          <w:rFonts w:ascii="Times New Roman" w:hAnsi="Times New Roman" w:cs="Times New Roman"/>
          <w:sz w:val="24"/>
          <w:szCs w:val="24"/>
        </w:rPr>
      </w:pPr>
    </w:p>
    <w:p w14:paraId="78E09A69" w14:textId="5CADDC3E" w:rsidR="00FD11B1" w:rsidRPr="00FD11B1" w:rsidRDefault="00FD11B1" w:rsidP="00FD11B1">
      <w:pPr>
        <w:pStyle w:val="Caption"/>
        <w:keepNext/>
        <w:rPr>
          <w:rFonts w:ascii="Times New Roman" w:hAnsi="Times New Roman" w:cs="Times New Roman"/>
          <w:i w:val="0"/>
          <w:color w:val="000000" w:themeColor="text1"/>
          <w:sz w:val="20"/>
        </w:rPr>
      </w:pPr>
      <w:r w:rsidRPr="00FD11B1">
        <w:rPr>
          <w:rFonts w:ascii="Times New Roman" w:hAnsi="Times New Roman" w:cs="Times New Roman"/>
          <w:i w:val="0"/>
          <w:color w:val="000000" w:themeColor="text1"/>
          <w:sz w:val="20"/>
        </w:rPr>
        <w:t xml:space="preserve">Table 4.5- </w:t>
      </w:r>
      <w:r w:rsidR="008B0194">
        <w:rPr>
          <w:rFonts w:ascii="Times New Roman" w:hAnsi="Times New Roman" w:cs="Times New Roman"/>
          <w:i w:val="0"/>
          <w:color w:val="000000" w:themeColor="text1"/>
          <w:sz w:val="20"/>
        </w:rPr>
        <w:t>26</w:t>
      </w:r>
      <w:r w:rsidRPr="00FD11B1">
        <w:rPr>
          <w:rFonts w:ascii="Times New Roman" w:hAnsi="Times New Roman" w:cs="Times New Roman"/>
          <w:i w:val="0"/>
          <w:color w:val="000000" w:themeColor="text1"/>
          <w:sz w:val="20"/>
        </w:rPr>
        <w:t xml:space="preserve"> Assessment categories in regards to Aquatic Life Designated Use (ALU)</w:t>
      </w:r>
      <w:r w:rsidRPr="00FD11B1">
        <w:rPr>
          <w:rFonts w:ascii="Times New Roman" w:hAnsi="Times New Roman" w:cs="Times New Roman"/>
          <w:i w:val="0"/>
          <w:noProof/>
          <w:color w:val="000000" w:themeColor="text1"/>
          <w:sz w:val="20"/>
        </w:rPr>
        <w:t xml:space="preserve">. Categories are the results of the weight-of-evidence assessment using Sediment Chemistry, Sediment Toxicity Testing, and Benthic Community </w:t>
      </w:r>
      <w:r>
        <w:rPr>
          <w:rFonts w:ascii="Times New Roman" w:hAnsi="Times New Roman" w:cs="Times New Roman"/>
          <w:i w:val="0"/>
          <w:noProof/>
          <w:color w:val="000000" w:themeColor="text1"/>
          <w:sz w:val="20"/>
        </w:rPr>
        <w:t xml:space="preserve">inegrated </w:t>
      </w:r>
      <w:r w:rsidRPr="00FD11B1">
        <w:rPr>
          <w:rFonts w:ascii="Times New Roman" w:hAnsi="Times New Roman" w:cs="Times New Roman"/>
          <w:i w:val="0"/>
          <w:noProof/>
          <w:color w:val="000000" w:themeColor="text1"/>
          <w:sz w:val="20"/>
        </w:rPr>
        <w:t>scores</w:t>
      </w:r>
      <w:r>
        <w:rPr>
          <w:rFonts w:ascii="Times New Roman" w:hAnsi="Times New Roman" w:cs="Times New Roman"/>
          <w:i w:val="0"/>
          <w:noProof/>
          <w:color w:val="000000" w:themeColor="text1"/>
          <w:sz w:val="20"/>
        </w:rPr>
        <w:t>.</w:t>
      </w:r>
    </w:p>
    <w:tbl>
      <w:tblPr>
        <w:tblW w:w="6710" w:type="dxa"/>
        <w:tblLook w:val="04A0" w:firstRow="1" w:lastRow="0" w:firstColumn="1" w:lastColumn="0" w:noHBand="0" w:noVBand="1"/>
        <w:tblCaption w:val="Table 4.5- 25 Assessment categories in regards to Aquatic Life Designated Use (ALU). Categories are the results of the weight-of-evidence assessment using Sediment Chemistry, Sediment Toxicity Testing, and Benthic Community inegrated scores."/>
        <w:tblDescription w:val="Table 4.5- 25 Assessment categories in regards to Aquatic Life Designated Use (ALU). Categories are the results of the weight-of-evidence assessment using Sediment Chemistry, Sediment Toxicity Testing, and Benthic Community inegrated scores."/>
      </w:tblPr>
      <w:tblGrid>
        <w:gridCol w:w="1194"/>
        <w:gridCol w:w="3320"/>
        <w:gridCol w:w="925"/>
        <w:gridCol w:w="1271"/>
      </w:tblGrid>
      <w:tr w:rsidR="00780D0A" w:rsidRPr="00780D0A" w14:paraId="2F90D9CD" w14:textId="77777777" w:rsidTr="00867F1E">
        <w:trPr>
          <w:trHeight w:val="585"/>
        </w:trPr>
        <w:tc>
          <w:tcPr>
            <w:tcW w:w="1194" w:type="dxa"/>
            <w:tcBorders>
              <w:top w:val="nil"/>
              <w:left w:val="nil"/>
              <w:bottom w:val="single" w:sz="4" w:space="0" w:color="auto"/>
              <w:right w:val="nil"/>
            </w:tcBorders>
            <w:shd w:val="clear" w:color="auto" w:fill="auto"/>
            <w:vAlign w:val="center"/>
            <w:hideMark/>
          </w:tcPr>
          <w:p w14:paraId="01060C8D" w14:textId="77777777" w:rsidR="00780D0A" w:rsidRPr="00780D0A" w:rsidRDefault="00780D0A" w:rsidP="00780D0A">
            <w:pPr>
              <w:spacing w:after="0" w:line="240" w:lineRule="auto"/>
              <w:rPr>
                <w:rFonts w:ascii="Times New Roman" w:eastAsia="Times New Roman" w:hAnsi="Times New Roman" w:cs="Times New Roman"/>
                <w:b/>
                <w:color w:val="000000"/>
                <w:sz w:val="20"/>
                <w:szCs w:val="20"/>
              </w:rPr>
            </w:pPr>
            <w:r w:rsidRPr="00780D0A">
              <w:rPr>
                <w:rFonts w:ascii="Times New Roman" w:eastAsia="Times New Roman" w:hAnsi="Times New Roman" w:cs="Times New Roman"/>
                <w:b/>
                <w:color w:val="000000"/>
                <w:sz w:val="20"/>
                <w:szCs w:val="20"/>
              </w:rPr>
              <w:t>Assessment Category</w:t>
            </w:r>
          </w:p>
        </w:tc>
        <w:tc>
          <w:tcPr>
            <w:tcW w:w="3320" w:type="dxa"/>
            <w:tcBorders>
              <w:top w:val="nil"/>
              <w:left w:val="nil"/>
              <w:bottom w:val="single" w:sz="4" w:space="0" w:color="auto"/>
              <w:right w:val="nil"/>
            </w:tcBorders>
            <w:shd w:val="clear" w:color="auto" w:fill="auto"/>
            <w:noWrap/>
            <w:vAlign w:val="center"/>
            <w:hideMark/>
          </w:tcPr>
          <w:p w14:paraId="601C3318" w14:textId="77777777" w:rsidR="00780D0A" w:rsidRPr="00780D0A" w:rsidRDefault="00780D0A" w:rsidP="00780D0A">
            <w:pPr>
              <w:spacing w:after="0" w:line="240" w:lineRule="auto"/>
              <w:rPr>
                <w:rFonts w:ascii="Times New Roman" w:eastAsia="Times New Roman" w:hAnsi="Times New Roman" w:cs="Times New Roman"/>
                <w:b/>
                <w:color w:val="000000"/>
                <w:sz w:val="20"/>
                <w:szCs w:val="20"/>
              </w:rPr>
            </w:pPr>
            <w:r w:rsidRPr="00780D0A">
              <w:rPr>
                <w:rFonts w:ascii="Times New Roman" w:eastAsia="Times New Roman" w:hAnsi="Times New Roman" w:cs="Times New Roman"/>
                <w:b/>
                <w:color w:val="000000"/>
                <w:sz w:val="20"/>
                <w:szCs w:val="20"/>
              </w:rPr>
              <w:t>Category Description</w:t>
            </w:r>
          </w:p>
        </w:tc>
        <w:tc>
          <w:tcPr>
            <w:tcW w:w="925" w:type="dxa"/>
            <w:tcBorders>
              <w:top w:val="nil"/>
              <w:left w:val="nil"/>
              <w:bottom w:val="single" w:sz="4" w:space="0" w:color="auto"/>
              <w:right w:val="nil"/>
            </w:tcBorders>
            <w:shd w:val="clear" w:color="auto" w:fill="auto"/>
            <w:vAlign w:val="center"/>
            <w:hideMark/>
          </w:tcPr>
          <w:p w14:paraId="34E11090" w14:textId="77777777" w:rsidR="00780D0A" w:rsidRPr="00780D0A" w:rsidRDefault="00780D0A" w:rsidP="00780D0A">
            <w:pPr>
              <w:spacing w:after="0" w:line="240" w:lineRule="auto"/>
              <w:rPr>
                <w:rFonts w:ascii="Times New Roman" w:eastAsia="Times New Roman" w:hAnsi="Times New Roman" w:cs="Times New Roman"/>
                <w:b/>
                <w:color w:val="000000"/>
                <w:sz w:val="20"/>
                <w:szCs w:val="20"/>
              </w:rPr>
            </w:pPr>
            <w:r w:rsidRPr="00780D0A">
              <w:rPr>
                <w:rFonts w:ascii="Times New Roman" w:eastAsia="Times New Roman" w:hAnsi="Times New Roman" w:cs="Times New Roman"/>
                <w:b/>
                <w:color w:val="000000"/>
                <w:sz w:val="20"/>
                <w:szCs w:val="20"/>
              </w:rPr>
              <w:t>Stations</w:t>
            </w:r>
          </w:p>
        </w:tc>
        <w:tc>
          <w:tcPr>
            <w:tcW w:w="1271" w:type="dxa"/>
            <w:tcBorders>
              <w:top w:val="nil"/>
              <w:left w:val="nil"/>
              <w:bottom w:val="single" w:sz="4" w:space="0" w:color="auto"/>
              <w:right w:val="nil"/>
            </w:tcBorders>
            <w:shd w:val="clear" w:color="auto" w:fill="auto"/>
            <w:vAlign w:val="center"/>
            <w:hideMark/>
          </w:tcPr>
          <w:p w14:paraId="39453862" w14:textId="77777777" w:rsidR="00780D0A" w:rsidRPr="00780D0A" w:rsidRDefault="00780D0A" w:rsidP="00780D0A">
            <w:pPr>
              <w:spacing w:after="0" w:line="240" w:lineRule="auto"/>
              <w:rPr>
                <w:rFonts w:ascii="Times New Roman" w:eastAsia="Times New Roman" w:hAnsi="Times New Roman" w:cs="Times New Roman"/>
                <w:b/>
                <w:color w:val="000000"/>
                <w:sz w:val="20"/>
                <w:szCs w:val="20"/>
              </w:rPr>
            </w:pPr>
            <w:r w:rsidRPr="00780D0A">
              <w:rPr>
                <w:rFonts w:ascii="Times New Roman" w:eastAsia="Times New Roman" w:hAnsi="Times New Roman" w:cs="Times New Roman"/>
                <w:b/>
                <w:color w:val="000000"/>
                <w:sz w:val="20"/>
                <w:szCs w:val="20"/>
              </w:rPr>
              <w:t>Percentage</w:t>
            </w:r>
          </w:p>
        </w:tc>
      </w:tr>
      <w:tr w:rsidR="00780D0A" w:rsidRPr="00780D0A" w14:paraId="5F1AFE29" w14:textId="77777777" w:rsidTr="00867F1E">
        <w:trPr>
          <w:trHeight w:val="576"/>
        </w:trPr>
        <w:tc>
          <w:tcPr>
            <w:tcW w:w="1194" w:type="dxa"/>
            <w:tcBorders>
              <w:top w:val="single" w:sz="4" w:space="0" w:color="auto"/>
              <w:left w:val="nil"/>
              <w:bottom w:val="single" w:sz="4" w:space="0" w:color="D9D9D9" w:themeColor="background1" w:themeShade="D9"/>
              <w:right w:val="nil"/>
            </w:tcBorders>
            <w:shd w:val="clear" w:color="auto" w:fill="auto"/>
            <w:vAlign w:val="center"/>
            <w:hideMark/>
          </w:tcPr>
          <w:p w14:paraId="63004AE9"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2A</w:t>
            </w:r>
          </w:p>
        </w:tc>
        <w:tc>
          <w:tcPr>
            <w:tcW w:w="3320" w:type="dxa"/>
            <w:tcBorders>
              <w:top w:val="single" w:sz="4" w:space="0" w:color="auto"/>
              <w:left w:val="nil"/>
              <w:bottom w:val="single" w:sz="4" w:space="0" w:color="D9D9D9" w:themeColor="background1" w:themeShade="D9"/>
              <w:right w:val="nil"/>
            </w:tcBorders>
            <w:shd w:val="clear" w:color="auto" w:fill="auto"/>
            <w:vAlign w:val="center"/>
            <w:hideMark/>
          </w:tcPr>
          <w:p w14:paraId="1D46CAC0"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Fully Supporting of ALU: benthic community meets goals, no toxic contaminants</w:t>
            </w:r>
          </w:p>
        </w:tc>
        <w:tc>
          <w:tcPr>
            <w:tcW w:w="925" w:type="dxa"/>
            <w:tcBorders>
              <w:top w:val="single" w:sz="4" w:space="0" w:color="auto"/>
              <w:left w:val="nil"/>
              <w:bottom w:val="single" w:sz="4" w:space="0" w:color="D9D9D9" w:themeColor="background1" w:themeShade="D9"/>
              <w:right w:val="nil"/>
            </w:tcBorders>
            <w:shd w:val="clear" w:color="auto" w:fill="auto"/>
            <w:vAlign w:val="center"/>
            <w:hideMark/>
          </w:tcPr>
          <w:p w14:paraId="3FDCF620"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96</w:t>
            </w:r>
          </w:p>
        </w:tc>
        <w:tc>
          <w:tcPr>
            <w:tcW w:w="1271" w:type="dxa"/>
            <w:tcBorders>
              <w:top w:val="single" w:sz="4" w:space="0" w:color="auto"/>
              <w:left w:val="nil"/>
              <w:bottom w:val="single" w:sz="4" w:space="0" w:color="D9D9D9" w:themeColor="background1" w:themeShade="D9"/>
              <w:right w:val="nil"/>
            </w:tcBorders>
            <w:shd w:val="clear" w:color="auto" w:fill="auto"/>
            <w:vAlign w:val="center"/>
            <w:hideMark/>
          </w:tcPr>
          <w:p w14:paraId="1ADB0351"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32.32 ± 5.34</w:t>
            </w:r>
          </w:p>
        </w:tc>
      </w:tr>
      <w:tr w:rsidR="00780D0A" w:rsidRPr="00780D0A" w14:paraId="68B08E8E" w14:textId="77777777" w:rsidTr="00867F1E">
        <w:trPr>
          <w:trHeight w:val="576"/>
        </w:trPr>
        <w:tc>
          <w:tcPr>
            <w:tcW w:w="1194"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29954C87"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2B</w:t>
            </w:r>
          </w:p>
        </w:tc>
        <w:tc>
          <w:tcPr>
            <w:tcW w:w="332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5FA5A484"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Of Concern: exceedance of screening value or toxicity test</w:t>
            </w:r>
          </w:p>
        </w:tc>
        <w:tc>
          <w:tcPr>
            <w:tcW w:w="925"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70A5551C"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16</w:t>
            </w:r>
          </w:p>
        </w:tc>
        <w:tc>
          <w:tcPr>
            <w:tcW w:w="1271"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11BF085D"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5.39 ± 2.58</w:t>
            </w:r>
          </w:p>
        </w:tc>
      </w:tr>
      <w:tr w:rsidR="00780D0A" w:rsidRPr="00780D0A" w14:paraId="0B2F95EB" w14:textId="77777777" w:rsidTr="00867F1E">
        <w:trPr>
          <w:trHeight w:val="576"/>
        </w:trPr>
        <w:tc>
          <w:tcPr>
            <w:tcW w:w="1194"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5859D552"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3B</w:t>
            </w:r>
          </w:p>
        </w:tc>
        <w:tc>
          <w:tcPr>
            <w:tcW w:w="332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09598EAC"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Observed Effects: prioritized for follow-up monitoring</w:t>
            </w:r>
          </w:p>
        </w:tc>
        <w:tc>
          <w:tcPr>
            <w:tcW w:w="925"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4BC314D4"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153</w:t>
            </w:r>
          </w:p>
        </w:tc>
        <w:tc>
          <w:tcPr>
            <w:tcW w:w="1271"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14:paraId="1602F9A3"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51.52 ± 5.71</w:t>
            </w:r>
          </w:p>
        </w:tc>
      </w:tr>
      <w:tr w:rsidR="00780D0A" w:rsidRPr="00780D0A" w14:paraId="32D84EBD" w14:textId="77777777" w:rsidTr="00867F1E">
        <w:trPr>
          <w:trHeight w:val="576"/>
        </w:trPr>
        <w:tc>
          <w:tcPr>
            <w:tcW w:w="1194" w:type="dxa"/>
            <w:tcBorders>
              <w:top w:val="single" w:sz="4" w:space="0" w:color="D9D9D9" w:themeColor="background1" w:themeShade="D9"/>
              <w:left w:val="nil"/>
              <w:bottom w:val="single" w:sz="4" w:space="0" w:color="auto"/>
              <w:right w:val="nil"/>
            </w:tcBorders>
            <w:shd w:val="clear" w:color="auto" w:fill="auto"/>
            <w:vAlign w:val="center"/>
            <w:hideMark/>
          </w:tcPr>
          <w:p w14:paraId="3B971896"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5A</w:t>
            </w:r>
          </w:p>
        </w:tc>
        <w:tc>
          <w:tcPr>
            <w:tcW w:w="3320" w:type="dxa"/>
            <w:tcBorders>
              <w:top w:val="single" w:sz="4" w:space="0" w:color="D9D9D9" w:themeColor="background1" w:themeShade="D9"/>
              <w:left w:val="nil"/>
              <w:bottom w:val="single" w:sz="4" w:space="0" w:color="auto"/>
              <w:right w:val="nil"/>
            </w:tcBorders>
            <w:shd w:val="clear" w:color="auto" w:fill="auto"/>
            <w:vAlign w:val="center"/>
            <w:hideMark/>
          </w:tcPr>
          <w:p w14:paraId="2E96FF85"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Impaired for ALU: toxic contaminants</w:t>
            </w:r>
          </w:p>
        </w:tc>
        <w:tc>
          <w:tcPr>
            <w:tcW w:w="925" w:type="dxa"/>
            <w:tcBorders>
              <w:top w:val="single" w:sz="4" w:space="0" w:color="D9D9D9" w:themeColor="background1" w:themeShade="D9"/>
              <w:left w:val="nil"/>
              <w:bottom w:val="single" w:sz="4" w:space="0" w:color="auto"/>
              <w:right w:val="nil"/>
            </w:tcBorders>
            <w:shd w:val="clear" w:color="auto" w:fill="auto"/>
            <w:vAlign w:val="center"/>
            <w:hideMark/>
          </w:tcPr>
          <w:p w14:paraId="71D560AA"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32</w:t>
            </w:r>
          </w:p>
        </w:tc>
        <w:tc>
          <w:tcPr>
            <w:tcW w:w="1271" w:type="dxa"/>
            <w:tcBorders>
              <w:top w:val="single" w:sz="4" w:space="0" w:color="D9D9D9" w:themeColor="background1" w:themeShade="D9"/>
              <w:left w:val="nil"/>
              <w:bottom w:val="single" w:sz="4" w:space="0" w:color="auto"/>
              <w:right w:val="nil"/>
            </w:tcBorders>
            <w:shd w:val="clear" w:color="auto" w:fill="auto"/>
            <w:vAlign w:val="center"/>
            <w:hideMark/>
          </w:tcPr>
          <w:p w14:paraId="21EA4150" w14:textId="77777777" w:rsidR="00780D0A" w:rsidRPr="00780D0A" w:rsidRDefault="00780D0A" w:rsidP="00780D0A">
            <w:pPr>
              <w:spacing w:after="0" w:line="240" w:lineRule="auto"/>
              <w:rPr>
                <w:rFonts w:ascii="Times New Roman" w:eastAsia="Times New Roman" w:hAnsi="Times New Roman" w:cs="Times New Roman"/>
                <w:color w:val="000000"/>
                <w:sz w:val="20"/>
                <w:szCs w:val="20"/>
              </w:rPr>
            </w:pPr>
            <w:r w:rsidRPr="00780D0A">
              <w:rPr>
                <w:rFonts w:ascii="Times New Roman" w:eastAsia="Times New Roman" w:hAnsi="Times New Roman" w:cs="Times New Roman"/>
                <w:color w:val="000000"/>
                <w:sz w:val="20"/>
                <w:szCs w:val="20"/>
              </w:rPr>
              <w:t>10.77 ± 3.54</w:t>
            </w:r>
          </w:p>
        </w:tc>
      </w:tr>
      <w:tr w:rsidR="00780D0A" w:rsidRPr="00780D0A" w14:paraId="0CBD4445" w14:textId="77777777" w:rsidTr="00867F1E">
        <w:trPr>
          <w:trHeight w:val="300"/>
        </w:trPr>
        <w:tc>
          <w:tcPr>
            <w:tcW w:w="1194" w:type="dxa"/>
            <w:tcBorders>
              <w:top w:val="nil"/>
              <w:left w:val="nil"/>
              <w:bottom w:val="nil"/>
              <w:right w:val="nil"/>
            </w:tcBorders>
            <w:shd w:val="clear" w:color="auto" w:fill="auto"/>
            <w:vAlign w:val="center"/>
            <w:hideMark/>
          </w:tcPr>
          <w:p w14:paraId="2F5176BD" w14:textId="77777777" w:rsidR="00780D0A" w:rsidRPr="00780D0A" w:rsidRDefault="00780D0A" w:rsidP="00780D0A">
            <w:pPr>
              <w:spacing w:after="0" w:line="240" w:lineRule="auto"/>
              <w:rPr>
                <w:rFonts w:ascii="Times New Roman" w:eastAsia="Times New Roman" w:hAnsi="Times New Roman" w:cs="Times New Roman"/>
                <w:b/>
                <w:bCs/>
                <w:color w:val="000000"/>
                <w:sz w:val="20"/>
                <w:szCs w:val="20"/>
              </w:rPr>
            </w:pPr>
            <w:r w:rsidRPr="00780D0A">
              <w:rPr>
                <w:rFonts w:ascii="Times New Roman" w:eastAsia="Times New Roman" w:hAnsi="Times New Roman" w:cs="Times New Roman"/>
                <w:b/>
                <w:bCs/>
                <w:color w:val="000000"/>
                <w:sz w:val="20"/>
                <w:szCs w:val="20"/>
              </w:rPr>
              <w:t>Total</w:t>
            </w:r>
          </w:p>
        </w:tc>
        <w:tc>
          <w:tcPr>
            <w:tcW w:w="3320" w:type="dxa"/>
            <w:tcBorders>
              <w:top w:val="nil"/>
              <w:left w:val="nil"/>
              <w:bottom w:val="nil"/>
              <w:right w:val="nil"/>
            </w:tcBorders>
            <w:shd w:val="clear" w:color="auto" w:fill="auto"/>
            <w:noWrap/>
            <w:vAlign w:val="center"/>
            <w:hideMark/>
          </w:tcPr>
          <w:p w14:paraId="6344EE79" w14:textId="77777777" w:rsidR="00780D0A" w:rsidRPr="00780D0A" w:rsidRDefault="00780D0A" w:rsidP="00780D0A">
            <w:pPr>
              <w:spacing w:after="0" w:line="240" w:lineRule="auto"/>
              <w:rPr>
                <w:rFonts w:ascii="Times New Roman" w:eastAsia="Times New Roman" w:hAnsi="Times New Roman" w:cs="Times New Roman"/>
                <w:b/>
                <w:bCs/>
                <w:color w:val="000000"/>
                <w:sz w:val="20"/>
                <w:szCs w:val="20"/>
              </w:rPr>
            </w:pPr>
          </w:p>
        </w:tc>
        <w:tc>
          <w:tcPr>
            <w:tcW w:w="925" w:type="dxa"/>
            <w:tcBorders>
              <w:top w:val="nil"/>
              <w:left w:val="nil"/>
              <w:bottom w:val="nil"/>
              <w:right w:val="nil"/>
            </w:tcBorders>
            <w:shd w:val="clear" w:color="auto" w:fill="auto"/>
            <w:vAlign w:val="center"/>
            <w:hideMark/>
          </w:tcPr>
          <w:p w14:paraId="667D928A" w14:textId="77777777" w:rsidR="00780D0A" w:rsidRPr="00780D0A" w:rsidRDefault="00780D0A" w:rsidP="00780D0A">
            <w:pPr>
              <w:spacing w:after="0" w:line="240" w:lineRule="auto"/>
              <w:rPr>
                <w:rFonts w:ascii="Times New Roman" w:eastAsia="Times New Roman" w:hAnsi="Times New Roman" w:cs="Times New Roman"/>
                <w:b/>
                <w:bCs/>
                <w:color w:val="000000"/>
                <w:sz w:val="20"/>
                <w:szCs w:val="20"/>
              </w:rPr>
            </w:pPr>
            <w:r w:rsidRPr="00780D0A">
              <w:rPr>
                <w:rFonts w:ascii="Times New Roman" w:eastAsia="Times New Roman" w:hAnsi="Times New Roman" w:cs="Times New Roman"/>
                <w:b/>
                <w:bCs/>
                <w:color w:val="000000"/>
                <w:sz w:val="20"/>
                <w:szCs w:val="20"/>
              </w:rPr>
              <w:t>297</w:t>
            </w:r>
          </w:p>
        </w:tc>
        <w:tc>
          <w:tcPr>
            <w:tcW w:w="1271" w:type="dxa"/>
            <w:tcBorders>
              <w:top w:val="nil"/>
              <w:left w:val="nil"/>
              <w:bottom w:val="nil"/>
              <w:right w:val="nil"/>
            </w:tcBorders>
            <w:shd w:val="clear" w:color="auto" w:fill="auto"/>
            <w:vAlign w:val="center"/>
            <w:hideMark/>
          </w:tcPr>
          <w:p w14:paraId="7A6B9843" w14:textId="77777777" w:rsidR="00780D0A" w:rsidRPr="00780D0A" w:rsidRDefault="00780D0A" w:rsidP="00780D0A">
            <w:pPr>
              <w:spacing w:after="0" w:line="240" w:lineRule="auto"/>
              <w:rPr>
                <w:rFonts w:ascii="Times New Roman" w:eastAsia="Times New Roman" w:hAnsi="Times New Roman" w:cs="Times New Roman"/>
                <w:b/>
                <w:bCs/>
                <w:color w:val="000000"/>
                <w:sz w:val="20"/>
                <w:szCs w:val="20"/>
              </w:rPr>
            </w:pPr>
          </w:p>
        </w:tc>
      </w:tr>
      <w:bookmarkEnd w:id="1"/>
    </w:tbl>
    <w:p w14:paraId="0F6A2453" w14:textId="7A0DCC76" w:rsidR="005972B8" w:rsidRPr="00FE1DDB" w:rsidRDefault="005972B8" w:rsidP="00FE1DDB">
      <w:pPr>
        <w:spacing w:after="0" w:line="240" w:lineRule="auto"/>
        <w:rPr>
          <w:rFonts w:ascii="Times New Roman" w:hAnsi="Times New Roman" w:cs="Times New Roman"/>
          <w:b/>
          <w:sz w:val="16"/>
          <w:szCs w:val="16"/>
        </w:rPr>
      </w:pPr>
    </w:p>
    <w:p w14:paraId="5D8EA6FB" w14:textId="5BDF862B" w:rsidR="00202E9D" w:rsidRPr="00FE1DDB" w:rsidRDefault="00202E9D" w:rsidP="00FE1DDB">
      <w:pPr>
        <w:spacing w:after="0" w:line="240" w:lineRule="auto"/>
        <w:jc w:val="both"/>
        <w:rPr>
          <w:rFonts w:ascii="Times New Roman" w:hAnsi="Times New Roman" w:cs="Times New Roman"/>
          <w:b/>
          <w:sz w:val="24"/>
          <w:szCs w:val="24"/>
        </w:rPr>
      </w:pPr>
    </w:p>
    <w:p w14:paraId="470B6E0B" w14:textId="5628D692" w:rsidR="00D211DD" w:rsidRPr="00FE1DDB" w:rsidRDefault="00D211DD" w:rsidP="00FE1DDB">
      <w:pPr>
        <w:pStyle w:val="Heading1"/>
        <w:rPr>
          <w:rFonts w:ascii="Times New Roman" w:hAnsi="Times New Roman" w:cs="Times New Roman"/>
          <w:b/>
          <w:i w:val="0"/>
          <w:sz w:val="24"/>
          <w:szCs w:val="24"/>
        </w:rPr>
      </w:pPr>
      <w:r w:rsidRPr="00FE1DDB">
        <w:rPr>
          <w:rFonts w:ascii="Times New Roman" w:hAnsi="Times New Roman" w:cs="Times New Roman"/>
          <w:b/>
          <w:i w:val="0"/>
          <w:sz w:val="24"/>
          <w:szCs w:val="24"/>
        </w:rPr>
        <w:t>Conclusion</w:t>
      </w:r>
    </w:p>
    <w:p w14:paraId="77BC86A9" w14:textId="77777777" w:rsidR="00452ED9" w:rsidRPr="00FE1DDB" w:rsidRDefault="00452ED9" w:rsidP="00FE1DDB">
      <w:pPr>
        <w:spacing w:after="0"/>
        <w:rPr>
          <w:rFonts w:ascii="Times New Roman" w:hAnsi="Times New Roman" w:cs="Times New Roman"/>
          <w:sz w:val="24"/>
          <w:szCs w:val="24"/>
        </w:rPr>
      </w:pPr>
    </w:p>
    <w:p w14:paraId="14FFBB76" w14:textId="3B71059B" w:rsidR="00FE1DE2" w:rsidRPr="00FE1DDB" w:rsidRDefault="00FE1DE2" w:rsidP="00FE1DDB">
      <w:pPr>
        <w:pStyle w:val="BodyText"/>
        <w:spacing w:after="0" w:line="240" w:lineRule="auto"/>
        <w:ind w:firstLine="720"/>
        <w:jc w:val="left"/>
        <w:rPr>
          <w:b w:val="0"/>
          <w:szCs w:val="24"/>
        </w:rPr>
      </w:pPr>
      <w:r w:rsidRPr="00FE1DDB">
        <w:rPr>
          <w:b w:val="0"/>
          <w:szCs w:val="24"/>
        </w:rPr>
        <w:t>DEQ’s estuarine probabilistic monitoring program sampled 29</w:t>
      </w:r>
      <w:r w:rsidR="009606EC">
        <w:rPr>
          <w:b w:val="0"/>
          <w:szCs w:val="24"/>
        </w:rPr>
        <w:t>7</w:t>
      </w:r>
      <w:r w:rsidRPr="00FE1DDB">
        <w:rPr>
          <w:b w:val="0"/>
          <w:szCs w:val="24"/>
        </w:rPr>
        <w:t xml:space="preserve"> estuarine sites during the 201</w:t>
      </w:r>
      <w:r w:rsidR="003A6D01">
        <w:rPr>
          <w:b w:val="0"/>
          <w:szCs w:val="24"/>
        </w:rPr>
        <w:t>5-2020</w:t>
      </w:r>
      <w:r w:rsidRPr="00FE1DDB">
        <w:rPr>
          <w:b w:val="0"/>
          <w:szCs w:val="24"/>
        </w:rPr>
        <w:t xml:space="preserve"> assessment period</w:t>
      </w:r>
      <w:r w:rsidR="009606EC">
        <w:rPr>
          <w:b w:val="0"/>
          <w:szCs w:val="24"/>
        </w:rPr>
        <w:t xml:space="preserve">. </w:t>
      </w:r>
      <w:r w:rsidRPr="00FE1DDB">
        <w:rPr>
          <w:b w:val="0"/>
          <w:szCs w:val="24"/>
        </w:rPr>
        <w:t>The vast majority of the sites fell within the minor tidal tributaries and embayments of the Chesapeake Bay watershed or in the estuarine waters of coastal Delmarva and the Back Bay / North Landing River re</w:t>
      </w:r>
      <w:r w:rsidR="009606EC">
        <w:rPr>
          <w:b w:val="0"/>
          <w:szCs w:val="24"/>
        </w:rPr>
        <w:t xml:space="preserve">gion of southeastern Virginia. </w:t>
      </w:r>
      <w:r w:rsidRPr="00FE1DDB">
        <w:rPr>
          <w:b w:val="0"/>
          <w:szCs w:val="24"/>
        </w:rPr>
        <w:t>These sites are categorized using thresholds developed by EPA’s National Coastal</w:t>
      </w:r>
      <w:r w:rsidR="009606EC">
        <w:rPr>
          <w:b w:val="0"/>
          <w:szCs w:val="24"/>
        </w:rPr>
        <w:t xml:space="preserve"> Condition Assessment Program. </w:t>
      </w:r>
      <w:r w:rsidR="00E51F12" w:rsidRPr="009606EC">
        <w:rPr>
          <w:b w:val="0"/>
          <w:szCs w:val="24"/>
        </w:rPr>
        <w:t xml:space="preserve">(1) </w:t>
      </w:r>
      <w:r w:rsidRPr="009606EC">
        <w:rPr>
          <w:b w:val="0"/>
          <w:szCs w:val="24"/>
        </w:rPr>
        <w:t xml:space="preserve">On the basis of the </w:t>
      </w:r>
      <w:r w:rsidR="00E44BB6" w:rsidRPr="009606EC">
        <w:rPr>
          <w:b w:val="0"/>
          <w:szCs w:val="24"/>
        </w:rPr>
        <w:t>five</w:t>
      </w:r>
      <w:r w:rsidRPr="009606EC">
        <w:rPr>
          <w:b w:val="0"/>
          <w:szCs w:val="24"/>
        </w:rPr>
        <w:t xml:space="preserve"> water quality parameters sampled at each site</w:t>
      </w:r>
      <w:r w:rsidR="00FD11B1" w:rsidRPr="009606EC">
        <w:rPr>
          <w:b w:val="0"/>
          <w:szCs w:val="24"/>
        </w:rPr>
        <w:t xml:space="preserve"> (Table 4.5-</w:t>
      </w:r>
      <w:r w:rsidR="009606EC" w:rsidRPr="009606EC">
        <w:rPr>
          <w:b w:val="0"/>
          <w:szCs w:val="24"/>
        </w:rPr>
        <w:t>9</w:t>
      </w:r>
      <w:r w:rsidR="00160E69" w:rsidRPr="009606EC">
        <w:rPr>
          <w:b w:val="0"/>
          <w:szCs w:val="24"/>
        </w:rPr>
        <w:t>)</w:t>
      </w:r>
      <w:r w:rsidRPr="009606EC">
        <w:rPr>
          <w:b w:val="0"/>
          <w:szCs w:val="24"/>
        </w:rPr>
        <w:t xml:space="preserve">, </w:t>
      </w:r>
      <w:r w:rsidR="00FD11B1" w:rsidRPr="009606EC">
        <w:rPr>
          <w:b w:val="0"/>
          <w:szCs w:val="24"/>
        </w:rPr>
        <w:t>14.1</w:t>
      </w:r>
      <w:r w:rsidR="002D26C7" w:rsidRPr="009606EC">
        <w:rPr>
          <w:b w:val="0"/>
          <w:szCs w:val="24"/>
        </w:rPr>
        <w:t xml:space="preserve"> percent</w:t>
      </w:r>
      <w:r w:rsidRPr="009606EC">
        <w:rPr>
          <w:b w:val="0"/>
          <w:szCs w:val="24"/>
        </w:rPr>
        <w:t xml:space="preserve"> </w:t>
      </w:r>
      <w:r w:rsidR="00E44BB6" w:rsidRPr="009606EC">
        <w:rPr>
          <w:b w:val="0"/>
          <w:szCs w:val="24"/>
        </w:rPr>
        <w:t xml:space="preserve">of the </w:t>
      </w:r>
      <w:r w:rsidRPr="009606EC">
        <w:rPr>
          <w:b w:val="0"/>
          <w:szCs w:val="24"/>
        </w:rPr>
        <w:t xml:space="preserve">sites were rated as “good”, </w:t>
      </w:r>
      <w:r w:rsidR="00FD11B1" w:rsidRPr="009606EC">
        <w:rPr>
          <w:b w:val="0"/>
          <w:szCs w:val="24"/>
        </w:rPr>
        <w:t>75.5</w:t>
      </w:r>
      <w:r w:rsidR="002D26C7" w:rsidRPr="009606EC">
        <w:rPr>
          <w:b w:val="0"/>
          <w:szCs w:val="24"/>
        </w:rPr>
        <w:t xml:space="preserve"> percent</w:t>
      </w:r>
      <w:r w:rsidRPr="009606EC">
        <w:rPr>
          <w:b w:val="0"/>
          <w:szCs w:val="24"/>
        </w:rPr>
        <w:t xml:space="preserve"> were rated as “fair”, and </w:t>
      </w:r>
      <w:r w:rsidR="00FD11B1" w:rsidRPr="009606EC">
        <w:rPr>
          <w:b w:val="0"/>
          <w:szCs w:val="24"/>
        </w:rPr>
        <w:t>10.</w:t>
      </w:r>
      <w:r w:rsidR="009606EC">
        <w:rPr>
          <w:b w:val="0"/>
          <w:szCs w:val="24"/>
        </w:rPr>
        <w:t>4</w:t>
      </w:r>
      <w:r w:rsidR="002D26C7" w:rsidRPr="009606EC">
        <w:rPr>
          <w:b w:val="0"/>
          <w:szCs w:val="24"/>
        </w:rPr>
        <w:t xml:space="preserve"> percent</w:t>
      </w:r>
      <w:r w:rsidRPr="009606EC">
        <w:rPr>
          <w:b w:val="0"/>
          <w:szCs w:val="24"/>
        </w:rPr>
        <w:t xml:space="preserve"> were rated as “poor</w:t>
      </w:r>
      <w:r w:rsidR="00E44BB6" w:rsidRPr="009606EC">
        <w:rPr>
          <w:b w:val="0"/>
          <w:szCs w:val="24"/>
        </w:rPr>
        <w:t>.</w:t>
      </w:r>
      <w:r w:rsidRPr="009606EC">
        <w:rPr>
          <w:b w:val="0"/>
          <w:szCs w:val="24"/>
        </w:rPr>
        <w:t>”</w:t>
      </w:r>
      <w:r w:rsidRPr="00FE1DDB">
        <w:rPr>
          <w:b w:val="0"/>
          <w:szCs w:val="24"/>
        </w:rPr>
        <w:t xml:space="preserve"> </w:t>
      </w:r>
      <w:r w:rsidR="00E51F12" w:rsidRPr="00FE1DDB">
        <w:rPr>
          <w:b w:val="0"/>
          <w:szCs w:val="24"/>
        </w:rPr>
        <w:t xml:space="preserve">(2) </w:t>
      </w:r>
      <w:r w:rsidRPr="00FE1DDB">
        <w:rPr>
          <w:b w:val="0"/>
          <w:szCs w:val="24"/>
        </w:rPr>
        <w:t>On the basis of sediment c</w:t>
      </w:r>
      <w:r w:rsidR="002D26C7" w:rsidRPr="00FE1DDB">
        <w:rPr>
          <w:b w:val="0"/>
          <w:szCs w:val="24"/>
        </w:rPr>
        <w:t>hemistry and acute toxicity</w:t>
      </w:r>
      <w:r w:rsidR="00160E69" w:rsidRPr="00FE1DDB">
        <w:rPr>
          <w:b w:val="0"/>
          <w:szCs w:val="24"/>
        </w:rPr>
        <w:t xml:space="preserve"> (Table 4.5-19)</w:t>
      </w:r>
      <w:r w:rsidR="002D26C7" w:rsidRPr="00FE1DDB">
        <w:rPr>
          <w:b w:val="0"/>
          <w:szCs w:val="24"/>
        </w:rPr>
        <w:t xml:space="preserve">, </w:t>
      </w:r>
      <w:r w:rsidR="00FD11B1">
        <w:rPr>
          <w:b w:val="0"/>
          <w:szCs w:val="24"/>
        </w:rPr>
        <w:t>37.</w:t>
      </w:r>
      <w:r w:rsidR="009606EC">
        <w:rPr>
          <w:b w:val="0"/>
          <w:szCs w:val="24"/>
        </w:rPr>
        <w:t>4</w:t>
      </w:r>
      <w:r w:rsidR="002D26C7" w:rsidRPr="00FE1DDB">
        <w:rPr>
          <w:b w:val="0"/>
          <w:szCs w:val="24"/>
        </w:rPr>
        <w:t xml:space="preserve"> percent</w:t>
      </w:r>
      <w:r w:rsidRPr="00FE1DDB">
        <w:rPr>
          <w:b w:val="0"/>
          <w:szCs w:val="24"/>
        </w:rPr>
        <w:t xml:space="preserve"> of sites were rated as “good”, </w:t>
      </w:r>
      <w:r w:rsidR="00FD11B1">
        <w:rPr>
          <w:b w:val="0"/>
          <w:szCs w:val="24"/>
        </w:rPr>
        <w:t>51.2</w:t>
      </w:r>
      <w:r w:rsidR="002D26C7" w:rsidRPr="00FE1DDB">
        <w:rPr>
          <w:b w:val="0"/>
          <w:szCs w:val="24"/>
        </w:rPr>
        <w:t xml:space="preserve"> percent</w:t>
      </w:r>
      <w:r w:rsidRPr="00FE1DDB">
        <w:rPr>
          <w:b w:val="0"/>
          <w:szCs w:val="24"/>
        </w:rPr>
        <w:t xml:space="preserve"> were rated as “fair”, and </w:t>
      </w:r>
      <w:r w:rsidR="00FD11B1">
        <w:rPr>
          <w:b w:val="0"/>
          <w:szCs w:val="24"/>
        </w:rPr>
        <w:t>11.5</w:t>
      </w:r>
      <w:r w:rsidR="002D26C7" w:rsidRPr="00FE1DDB">
        <w:rPr>
          <w:b w:val="0"/>
          <w:szCs w:val="24"/>
        </w:rPr>
        <w:t xml:space="preserve"> percent</w:t>
      </w:r>
      <w:r w:rsidRPr="00FE1DDB">
        <w:rPr>
          <w:b w:val="0"/>
          <w:szCs w:val="24"/>
        </w:rPr>
        <w:t xml:space="preserve"> were rated as “poor</w:t>
      </w:r>
      <w:r w:rsidR="00160E69" w:rsidRPr="00FE1DDB">
        <w:rPr>
          <w:b w:val="0"/>
          <w:szCs w:val="24"/>
        </w:rPr>
        <w:t>.</w:t>
      </w:r>
      <w:r w:rsidR="009606EC">
        <w:rPr>
          <w:b w:val="0"/>
          <w:szCs w:val="24"/>
        </w:rPr>
        <w:t xml:space="preserve">” </w:t>
      </w:r>
      <w:r w:rsidR="00E51F12" w:rsidRPr="00FE1DDB">
        <w:rPr>
          <w:b w:val="0"/>
          <w:szCs w:val="24"/>
        </w:rPr>
        <w:t xml:space="preserve">(3) </w:t>
      </w:r>
      <w:r w:rsidRPr="00FE1DDB">
        <w:rPr>
          <w:b w:val="0"/>
          <w:szCs w:val="24"/>
        </w:rPr>
        <w:t>Most of the sites had benthic communities that were classified as “good”</w:t>
      </w:r>
      <w:r w:rsidR="00FD11B1">
        <w:rPr>
          <w:b w:val="0"/>
          <w:szCs w:val="24"/>
        </w:rPr>
        <w:t xml:space="preserve"> (46.8 percent)</w:t>
      </w:r>
      <w:r w:rsidRPr="00FE1DDB">
        <w:rPr>
          <w:b w:val="0"/>
          <w:szCs w:val="24"/>
        </w:rPr>
        <w:t xml:space="preserve"> or “fair”</w:t>
      </w:r>
      <w:r w:rsidR="00FD11B1">
        <w:rPr>
          <w:b w:val="0"/>
          <w:szCs w:val="24"/>
        </w:rPr>
        <w:t xml:space="preserve"> (26.9 percent)</w:t>
      </w:r>
      <w:r w:rsidRPr="00FE1DDB">
        <w:rPr>
          <w:b w:val="0"/>
          <w:szCs w:val="24"/>
        </w:rPr>
        <w:t xml:space="preserve"> according to the Integrated Benthic Index</w:t>
      </w:r>
      <w:r w:rsidR="00160E69" w:rsidRPr="00FE1DDB">
        <w:rPr>
          <w:b w:val="0"/>
          <w:szCs w:val="24"/>
        </w:rPr>
        <w:t xml:space="preserve"> (Table</w:t>
      </w:r>
      <w:r w:rsidR="00FD11B1">
        <w:rPr>
          <w:b w:val="0"/>
          <w:szCs w:val="24"/>
        </w:rPr>
        <w:t xml:space="preserve"> 4.5-2</w:t>
      </w:r>
      <w:r w:rsidR="009606EC">
        <w:rPr>
          <w:b w:val="0"/>
          <w:szCs w:val="24"/>
        </w:rPr>
        <w:t>4</w:t>
      </w:r>
      <w:r w:rsidR="00160E69" w:rsidRPr="00FE1DDB">
        <w:rPr>
          <w:b w:val="0"/>
          <w:szCs w:val="24"/>
        </w:rPr>
        <w:t>)</w:t>
      </w:r>
      <w:r w:rsidRPr="00FE1DDB">
        <w:rPr>
          <w:b w:val="0"/>
          <w:szCs w:val="24"/>
        </w:rPr>
        <w:t>.</w:t>
      </w:r>
      <w:r w:rsidR="00E51F12" w:rsidRPr="00FE1DDB">
        <w:rPr>
          <w:b w:val="0"/>
          <w:szCs w:val="24"/>
        </w:rPr>
        <w:t xml:space="preserve"> Approximately </w:t>
      </w:r>
      <w:r w:rsidR="00FD11B1">
        <w:rPr>
          <w:b w:val="0"/>
          <w:szCs w:val="24"/>
        </w:rPr>
        <w:t>16.8</w:t>
      </w:r>
      <w:r w:rsidR="00E51F12" w:rsidRPr="00FE1DDB">
        <w:rPr>
          <w:b w:val="0"/>
          <w:szCs w:val="24"/>
        </w:rPr>
        <w:t xml:space="preserve"> percent of the sites were characterized as having degraded benthic communities</w:t>
      </w:r>
      <w:r w:rsidR="00FD11B1">
        <w:rPr>
          <w:b w:val="0"/>
          <w:szCs w:val="24"/>
        </w:rPr>
        <w:t xml:space="preserve"> with 9.4 percent classified as severely degraded</w:t>
      </w:r>
      <w:r w:rsidR="00E51F12" w:rsidRPr="00FE1DDB">
        <w:rPr>
          <w:b w:val="0"/>
          <w:szCs w:val="24"/>
        </w:rPr>
        <w:t>.</w:t>
      </w:r>
    </w:p>
    <w:p w14:paraId="407BFEC4" w14:textId="5F921BEF" w:rsidR="00FE1DE2" w:rsidRPr="00FE1DDB" w:rsidRDefault="00FE1DE2" w:rsidP="00FE1DDB">
      <w:pPr>
        <w:pStyle w:val="BodyText"/>
        <w:spacing w:after="0" w:line="240" w:lineRule="auto"/>
        <w:jc w:val="left"/>
        <w:rPr>
          <w:b w:val="0"/>
          <w:szCs w:val="24"/>
        </w:rPr>
      </w:pPr>
    </w:p>
    <w:p w14:paraId="22DB633D" w14:textId="76D3F45F" w:rsidR="00FE1DE2" w:rsidRPr="00FE1DDB" w:rsidRDefault="00FE1DE2" w:rsidP="00FE1DDB">
      <w:pPr>
        <w:spacing w:after="0" w:line="240" w:lineRule="auto"/>
        <w:rPr>
          <w:rFonts w:ascii="Times New Roman" w:hAnsi="Times New Roman" w:cs="Times New Roman"/>
          <w:sz w:val="24"/>
          <w:szCs w:val="24"/>
        </w:rPr>
      </w:pPr>
      <w:r w:rsidRPr="00FE1DDB">
        <w:rPr>
          <w:rFonts w:ascii="Times New Roman" w:hAnsi="Times New Roman" w:cs="Times New Roman"/>
          <w:sz w:val="24"/>
          <w:szCs w:val="24"/>
        </w:rPr>
        <w:t>Weight-of-Evidence (WOE) assessment</w:t>
      </w:r>
      <w:r w:rsidR="00E84AE3" w:rsidRPr="00FE1DDB">
        <w:rPr>
          <w:rFonts w:ascii="Times New Roman" w:hAnsi="Times New Roman" w:cs="Times New Roman"/>
          <w:sz w:val="24"/>
          <w:szCs w:val="24"/>
        </w:rPr>
        <w:t>s were</w:t>
      </w:r>
      <w:r w:rsidRPr="00FE1DDB">
        <w:rPr>
          <w:rFonts w:ascii="Times New Roman" w:hAnsi="Times New Roman" w:cs="Times New Roman"/>
          <w:sz w:val="24"/>
          <w:szCs w:val="24"/>
        </w:rPr>
        <w:t xml:space="preserve"> carried out on each probabilistic site. WOE assessments evaluate the effects of toxic chemical contaminants on the Aquatic Life designated Use (ALU), as indicated by chemical contaminants in the sediment, acute sediment toxicity, and benthic community condition. WOE </w:t>
      </w:r>
      <w:r w:rsidR="00FD4C5C" w:rsidRPr="00FE1DDB">
        <w:rPr>
          <w:rFonts w:ascii="Times New Roman" w:hAnsi="Times New Roman" w:cs="Times New Roman"/>
          <w:sz w:val="24"/>
          <w:szCs w:val="24"/>
        </w:rPr>
        <w:t xml:space="preserve">aquatic life </w:t>
      </w:r>
      <w:r w:rsidRPr="00FE1DDB">
        <w:rPr>
          <w:rFonts w:ascii="Times New Roman" w:hAnsi="Times New Roman" w:cs="Times New Roman"/>
          <w:sz w:val="24"/>
          <w:szCs w:val="24"/>
        </w:rPr>
        <w:t xml:space="preserve">assessments of 297 probabilistic estuarine sites </w:t>
      </w:r>
      <w:r w:rsidR="00E51F12" w:rsidRPr="00FE1DDB">
        <w:rPr>
          <w:rFonts w:ascii="Times New Roman" w:hAnsi="Times New Roman" w:cs="Times New Roman"/>
          <w:sz w:val="24"/>
          <w:szCs w:val="24"/>
        </w:rPr>
        <w:t xml:space="preserve">(Table 4.5-25) </w:t>
      </w:r>
      <w:r w:rsidRPr="00FE1DDB">
        <w:rPr>
          <w:rFonts w:ascii="Times New Roman" w:hAnsi="Times New Roman" w:cs="Times New Roman"/>
          <w:sz w:val="24"/>
          <w:szCs w:val="24"/>
        </w:rPr>
        <w:t xml:space="preserve">concluded that, based on these three characterizations, </w:t>
      </w:r>
      <w:r w:rsidR="00FD11B1">
        <w:rPr>
          <w:rFonts w:ascii="Times New Roman" w:hAnsi="Times New Roman" w:cs="Times New Roman"/>
          <w:sz w:val="24"/>
          <w:szCs w:val="24"/>
        </w:rPr>
        <w:t>32.3</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xml:space="preserve"> of probabilistic estuarine sites were fully supporting of ALU</w:t>
      </w:r>
      <w:r w:rsidR="002D26C7" w:rsidRPr="00FE1DDB">
        <w:rPr>
          <w:rFonts w:ascii="Times New Roman" w:hAnsi="Times New Roman" w:cs="Times New Roman"/>
          <w:sz w:val="24"/>
          <w:szCs w:val="24"/>
        </w:rPr>
        <w:t xml:space="preserve">. Approximately </w:t>
      </w:r>
      <w:r w:rsidR="00FD11B1">
        <w:rPr>
          <w:rFonts w:ascii="Times New Roman" w:hAnsi="Times New Roman" w:cs="Times New Roman"/>
          <w:sz w:val="24"/>
          <w:szCs w:val="24"/>
        </w:rPr>
        <w:t>5.4</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xml:space="preserve"> were of concern, either because of sediment toxicity without chemical and benthic community corroboration, or chemical contaminants exceeded screening values without significant toxicity or benthic degradation. About </w:t>
      </w:r>
      <w:r w:rsidR="00FD11B1">
        <w:rPr>
          <w:rFonts w:ascii="Times New Roman" w:hAnsi="Times New Roman" w:cs="Times New Roman"/>
          <w:sz w:val="24"/>
          <w:szCs w:val="24"/>
        </w:rPr>
        <w:t>51.5</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xml:space="preserve"> of the sites had observed effects based on chemical </w:t>
      </w:r>
      <w:r w:rsidRPr="00FE1DDB">
        <w:rPr>
          <w:rFonts w:ascii="Times New Roman" w:hAnsi="Times New Roman" w:cs="Times New Roman"/>
          <w:sz w:val="24"/>
          <w:szCs w:val="24"/>
        </w:rPr>
        <w:lastRenderedPageBreak/>
        <w:t xml:space="preserve">contaminant concentrations or benthic degradation, but not both. Only </w:t>
      </w:r>
      <w:r w:rsidR="009606EC">
        <w:rPr>
          <w:rFonts w:ascii="Times New Roman" w:hAnsi="Times New Roman" w:cs="Times New Roman"/>
          <w:sz w:val="24"/>
          <w:szCs w:val="24"/>
        </w:rPr>
        <w:t>10.8</w:t>
      </w:r>
      <w:r w:rsidR="002D26C7" w:rsidRPr="00FE1DDB">
        <w:rPr>
          <w:rFonts w:ascii="Times New Roman" w:hAnsi="Times New Roman" w:cs="Times New Roman"/>
          <w:sz w:val="24"/>
          <w:szCs w:val="24"/>
        </w:rPr>
        <w:t xml:space="preserve"> percent</w:t>
      </w:r>
      <w:r w:rsidRPr="00FE1DDB">
        <w:rPr>
          <w:rFonts w:ascii="Times New Roman" w:hAnsi="Times New Roman" w:cs="Times New Roman"/>
          <w:sz w:val="24"/>
          <w:szCs w:val="24"/>
        </w:rPr>
        <w:t xml:space="preserve"> of the sites were assessed as impaired by toxic contaminants, corroborated by multiple lines of evidence. </w:t>
      </w:r>
    </w:p>
    <w:p w14:paraId="71D373A0" w14:textId="77777777" w:rsidR="00347A33" w:rsidRPr="00FE1DDB" w:rsidRDefault="00347A33" w:rsidP="00FE1DDB">
      <w:pPr>
        <w:rPr>
          <w:rFonts w:ascii="Times New Roman" w:hAnsi="Times New Roman" w:cs="Times New Roman"/>
          <w:sz w:val="24"/>
          <w:szCs w:val="24"/>
        </w:rPr>
      </w:pPr>
      <w:r w:rsidRPr="00FE1DDB">
        <w:rPr>
          <w:rFonts w:ascii="Times New Roman" w:hAnsi="Times New Roman" w:cs="Times New Roman"/>
          <w:sz w:val="24"/>
          <w:szCs w:val="24"/>
        </w:rPr>
        <w:br w:type="page"/>
      </w:r>
    </w:p>
    <w:p w14:paraId="1A53DF66" w14:textId="0B5909A3" w:rsidR="00D85A1F" w:rsidRPr="00FE1DDB" w:rsidRDefault="00D85A1F" w:rsidP="00FE1DDB">
      <w:pPr>
        <w:spacing w:after="0" w:line="240" w:lineRule="auto"/>
        <w:jc w:val="both"/>
        <w:rPr>
          <w:rFonts w:ascii="Times New Roman" w:hAnsi="Times New Roman" w:cs="Times New Roman"/>
          <w:b/>
          <w:sz w:val="20"/>
          <w:szCs w:val="24"/>
        </w:rPr>
      </w:pPr>
      <w:r w:rsidRPr="00FE1DDB">
        <w:rPr>
          <w:rFonts w:ascii="Times New Roman" w:hAnsi="Times New Roman" w:cs="Times New Roman"/>
          <w:b/>
          <w:sz w:val="20"/>
          <w:szCs w:val="24"/>
        </w:rPr>
        <w:lastRenderedPageBreak/>
        <w:t>References</w:t>
      </w:r>
    </w:p>
    <w:p w14:paraId="09B64B21" w14:textId="77777777" w:rsidR="00893550" w:rsidRPr="00FE1DDB" w:rsidRDefault="00893550" w:rsidP="00FE1DDB">
      <w:pPr>
        <w:spacing w:after="0" w:line="240" w:lineRule="auto"/>
        <w:jc w:val="both"/>
        <w:rPr>
          <w:rFonts w:ascii="Times New Roman" w:hAnsi="Times New Roman" w:cs="Times New Roman"/>
          <w:sz w:val="20"/>
          <w:szCs w:val="24"/>
        </w:rPr>
      </w:pPr>
    </w:p>
    <w:p w14:paraId="50373926" w14:textId="179AB6DB" w:rsidR="00E433C9" w:rsidRPr="00FE1DDB" w:rsidRDefault="00E433C9"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Chapman, P.</w:t>
      </w:r>
      <w:r w:rsidR="00971F3D">
        <w:rPr>
          <w:rFonts w:ascii="Times New Roman" w:hAnsi="Times New Roman" w:cs="Times New Roman"/>
          <w:sz w:val="20"/>
          <w:szCs w:val="24"/>
        </w:rPr>
        <w:t xml:space="preserve">M., R.N. Dexter and E.R. Long. 1987. </w:t>
      </w:r>
      <w:r w:rsidRPr="00FE1DDB">
        <w:rPr>
          <w:rFonts w:ascii="Times New Roman" w:hAnsi="Times New Roman" w:cs="Times New Roman"/>
          <w:sz w:val="20"/>
          <w:szCs w:val="24"/>
        </w:rPr>
        <w:t>Synoptic measures of sediment contamination toxicity and infaunal community structure (the Sediment Quality Triad). Mar. Ecol. Prog. Ser. 37:75-96.</w:t>
      </w:r>
    </w:p>
    <w:p w14:paraId="6E9C5597" w14:textId="7E8C6DF9" w:rsidR="00F10A35" w:rsidRPr="00FE1DDB" w:rsidRDefault="00F10A35" w:rsidP="00FE1DDB">
      <w:pPr>
        <w:spacing w:after="0" w:line="240" w:lineRule="auto"/>
        <w:jc w:val="both"/>
        <w:rPr>
          <w:rFonts w:ascii="Times New Roman" w:hAnsi="Times New Roman" w:cs="Times New Roman"/>
          <w:sz w:val="20"/>
          <w:szCs w:val="24"/>
        </w:rPr>
      </w:pPr>
    </w:p>
    <w:p w14:paraId="152823A4" w14:textId="1E2E9778" w:rsidR="004469FE" w:rsidRPr="00FE1DDB" w:rsidRDefault="004469FE"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Chapman, P.M., R.N. Dexter, S.F. Cross and D.G. Mitchell. 1986. A field trial of the Sediment Quali</w:t>
      </w:r>
      <w:r w:rsidR="00971F3D">
        <w:rPr>
          <w:rFonts w:ascii="Times New Roman" w:hAnsi="Times New Roman" w:cs="Times New Roman"/>
          <w:sz w:val="20"/>
          <w:szCs w:val="24"/>
        </w:rPr>
        <w:t xml:space="preserve">ty Triad in San Francisco Bay. </w:t>
      </w:r>
      <w:r w:rsidRPr="00FE1DDB">
        <w:rPr>
          <w:rFonts w:ascii="Times New Roman" w:hAnsi="Times New Roman" w:cs="Times New Roman"/>
          <w:sz w:val="20"/>
          <w:szCs w:val="24"/>
        </w:rPr>
        <w:t>NOAA Te</w:t>
      </w:r>
      <w:r w:rsidR="00971F3D">
        <w:rPr>
          <w:rFonts w:ascii="Times New Roman" w:hAnsi="Times New Roman" w:cs="Times New Roman"/>
          <w:sz w:val="20"/>
          <w:szCs w:val="24"/>
        </w:rPr>
        <w:t xml:space="preserve">chnical Memorandum NOS OMA 25. </w:t>
      </w:r>
      <w:r w:rsidRPr="00FE1DDB">
        <w:rPr>
          <w:rFonts w:ascii="Times New Roman" w:hAnsi="Times New Roman" w:cs="Times New Roman"/>
          <w:sz w:val="20"/>
          <w:szCs w:val="24"/>
        </w:rPr>
        <w:t>National Oceanic and Atmospheric Administration, San Francisco, CA. 127 pp.</w:t>
      </w:r>
    </w:p>
    <w:p w14:paraId="3FEC1788" w14:textId="77777777" w:rsidR="004469FE" w:rsidRPr="00FE1DDB" w:rsidRDefault="004469FE" w:rsidP="00FE1DDB">
      <w:pPr>
        <w:spacing w:after="0" w:line="240" w:lineRule="auto"/>
        <w:jc w:val="both"/>
        <w:rPr>
          <w:rFonts w:ascii="Times New Roman" w:hAnsi="Times New Roman" w:cs="Times New Roman"/>
          <w:sz w:val="20"/>
          <w:szCs w:val="24"/>
        </w:rPr>
      </w:pPr>
    </w:p>
    <w:p w14:paraId="0E768B0C" w14:textId="4BD44224" w:rsidR="00D56207" w:rsidRPr="00FE1DDB" w:rsidRDefault="00D56207"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Conover, W.J. 1980. Pract</w:t>
      </w:r>
      <w:r w:rsidR="00971F3D">
        <w:rPr>
          <w:rFonts w:ascii="Times New Roman" w:hAnsi="Times New Roman" w:cs="Times New Roman"/>
          <w:sz w:val="20"/>
          <w:szCs w:val="24"/>
        </w:rPr>
        <w:t xml:space="preserve">ical Nonparametric Statistics. </w:t>
      </w:r>
      <w:r w:rsidRPr="00FE1DDB">
        <w:rPr>
          <w:rFonts w:ascii="Times New Roman" w:hAnsi="Times New Roman" w:cs="Times New Roman"/>
          <w:sz w:val="20"/>
          <w:szCs w:val="24"/>
        </w:rPr>
        <w:t>(2ed) John Wiley &amp; Sons, New York. xiv + 493 pp.</w:t>
      </w:r>
    </w:p>
    <w:p w14:paraId="77EDE236" w14:textId="598C897E" w:rsidR="006B6DCA" w:rsidRPr="00FE1DDB" w:rsidRDefault="006B6DCA" w:rsidP="00FE1DDB">
      <w:pPr>
        <w:spacing w:after="0" w:line="240" w:lineRule="auto"/>
        <w:jc w:val="both"/>
        <w:rPr>
          <w:rFonts w:ascii="Times New Roman" w:hAnsi="Times New Roman" w:cs="Times New Roman"/>
          <w:sz w:val="20"/>
          <w:szCs w:val="24"/>
        </w:rPr>
      </w:pPr>
    </w:p>
    <w:p w14:paraId="082568DD" w14:textId="181E025D" w:rsidR="007741A0" w:rsidRPr="00FE1DDB" w:rsidRDefault="006B6DCA"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Dauer, D.M</w:t>
      </w:r>
      <w:r w:rsidR="00665045" w:rsidRPr="00FE1DDB">
        <w:rPr>
          <w:rFonts w:ascii="Times New Roman" w:hAnsi="Times New Roman" w:cs="Times New Roman"/>
          <w:sz w:val="20"/>
          <w:szCs w:val="24"/>
        </w:rPr>
        <w:t>.</w:t>
      </w:r>
      <w:r w:rsidRPr="00FE1DDB">
        <w:rPr>
          <w:rFonts w:ascii="Times New Roman" w:hAnsi="Times New Roman" w:cs="Times New Roman"/>
          <w:sz w:val="20"/>
          <w:szCs w:val="24"/>
        </w:rPr>
        <w:t>, and M.F. Lane</w:t>
      </w:r>
      <w:r w:rsidR="00665045" w:rsidRPr="00FE1DDB">
        <w:rPr>
          <w:rFonts w:ascii="Times New Roman" w:hAnsi="Times New Roman" w:cs="Times New Roman"/>
          <w:sz w:val="20"/>
          <w:szCs w:val="24"/>
        </w:rPr>
        <w:t xml:space="preserve">. 2005. Side-by-Side Comparison of Young Grab and Composite Petite Ponar Grab Samples for the Calculation of the Benthic Index of Biological Integrity (B-IBI). </w:t>
      </w:r>
      <w:r w:rsidR="007741A0" w:rsidRPr="00FE1DDB">
        <w:rPr>
          <w:rFonts w:ascii="Times New Roman" w:hAnsi="Times New Roman" w:cs="Times New Roman"/>
          <w:sz w:val="20"/>
          <w:szCs w:val="24"/>
        </w:rPr>
        <w:t>Department of Biological Sciences,</w:t>
      </w:r>
    </w:p>
    <w:p w14:paraId="7F838627" w14:textId="243792A0" w:rsidR="006B6DCA" w:rsidRPr="00FE1DDB" w:rsidRDefault="007741A0"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 xml:space="preserve">Old Dominion University, Norfolk, Virginia. </w:t>
      </w:r>
      <w:r w:rsidR="00665045" w:rsidRPr="00FE1DDB">
        <w:rPr>
          <w:rFonts w:ascii="Times New Roman" w:hAnsi="Times New Roman" w:cs="Times New Roman"/>
          <w:sz w:val="20"/>
          <w:szCs w:val="24"/>
        </w:rPr>
        <w:t>Report submitted to Chesapeake Bay Program Office, Virginia Department of Environmental Quality.</w:t>
      </w:r>
    </w:p>
    <w:p w14:paraId="74C0FDB5" w14:textId="77777777" w:rsidR="00D56207" w:rsidRPr="00FE1DDB" w:rsidRDefault="00D56207" w:rsidP="00FE1DDB">
      <w:pPr>
        <w:spacing w:after="0" w:line="240" w:lineRule="auto"/>
        <w:jc w:val="both"/>
        <w:rPr>
          <w:rFonts w:ascii="Times New Roman" w:hAnsi="Times New Roman" w:cs="Times New Roman"/>
          <w:sz w:val="20"/>
          <w:szCs w:val="24"/>
        </w:rPr>
      </w:pPr>
    </w:p>
    <w:p w14:paraId="6C63EDDA" w14:textId="687F0948" w:rsidR="00F10A35" w:rsidRPr="00FE1DDB" w:rsidRDefault="00F10A35"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Field, L.J., D.D. MacDonald, S.B. Norton, C.G. Ingersoll, C.G. Severn, D. Smorong, and R. Lindskoog. 2002.</w:t>
      </w:r>
      <w:r w:rsidR="009D1F38" w:rsidRPr="00FE1DDB">
        <w:rPr>
          <w:rFonts w:ascii="Times New Roman" w:hAnsi="Times New Roman" w:cs="Times New Roman"/>
          <w:sz w:val="20"/>
          <w:szCs w:val="24"/>
        </w:rPr>
        <w:t xml:space="preserve"> </w:t>
      </w:r>
      <w:r w:rsidRPr="00FE1DDB">
        <w:rPr>
          <w:rFonts w:ascii="Times New Roman" w:hAnsi="Times New Roman" w:cs="Times New Roman"/>
          <w:sz w:val="20"/>
          <w:szCs w:val="24"/>
        </w:rPr>
        <w:t>Predicting amphipod toxicity from sediment chemistry using logistic regression models. Environ. Toxicol.</w:t>
      </w:r>
      <w:r w:rsidR="009D1F38" w:rsidRPr="00FE1DDB">
        <w:rPr>
          <w:rFonts w:ascii="Times New Roman" w:hAnsi="Times New Roman" w:cs="Times New Roman"/>
          <w:sz w:val="20"/>
          <w:szCs w:val="24"/>
        </w:rPr>
        <w:t xml:space="preserve"> </w:t>
      </w:r>
      <w:r w:rsidRPr="00FE1DDB">
        <w:rPr>
          <w:rFonts w:ascii="Times New Roman" w:hAnsi="Times New Roman" w:cs="Times New Roman"/>
          <w:sz w:val="20"/>
          <w:szCs w:val="24"/>
        </w:rPr>
        <w:t>Chem. 21: 1993-2005.</w:t>
      </w:r>
    </w:p>
    <w:p w14:paraId="1EAE08AD" w14:textId="77777777" w:rsidR="00D85A1F" w:rsidRPr="00FE1DDB" w:rsidRDefault="00D85A1F" w:rsidP="00FE1DDB">
      <w:pPr>
        <w:spacing w:after="0" w:line="240" w:lineRule="auto"/>
        <w:jc w:val="both"/>
        <w:rPr>
          <w:rFonts w:ascii="Times New Roman" w:hAnsi="Times New Roman" w:cs="Times New Roman"/>
          <w:sz w:val="20"/>
          <w:szCs w:val="24"/>
        </w:rPr>
      </w:pPr>
    </w:p>
    <w:p w14:paraId="4ADC546A" w14:textId="01AFE093" w:rsidR="00D9088F" w:rsidRPr="00FE1DDB" w:rsidRDefault="00D9088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Hyland, J., W.L. Balthis, V.D. Engle, E.R. Long, J.F. Paul, J.K. Summers, and R.F. Van Dolah. 2003. Incidence of stress in benthic communities along the U.S. Atlantic and Gulf of Mexico coasts within different ranges of sediment contamination from chemical mixtures. Environ Mon and Assess 81: 149–16.</w:t>
      </w:r>
    </w:p>
    <w:p w14:paraId="53470F43" w14:textId="77777777" w:rsidR="00D9088F" w:rsidRPr="00FE1DDB" w:rsidRDefault="00D9088F" w:rsidP="00FE1DDB">
      <w:pPr>
        <w:spacing w:after="0" w:line="240" w:lineRule="auto"/>
        <w:jc w:val="both"/>
        <w:rPr>
          <w:rFonts w:ascii="Times New Roman" w:hAnsi="Times New Roman" w:cs="Times New Roman"/>
          <w:sz w:val="20"/>
          <w:szCs w:val="24"/>
        </w:rPr>
      </w:pPr>
    </w:p>
    <w:p w14:paraId="21A8A5A4" w14:textId="35390E52" w:rsidR="000A2ECE" w:rsidRPr="00FE1DDB" w:rsidRDefault="000A2ECE"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Hyland, J, L. Balthis, I. Karakassis, P. Magni, A. Petrov, J. Shine, O. Vestergaard, R. Warwick. 2005. Organic carbon content of sediments as an indicator of stress in the marine benthos. Marine Ecology Progress</w:t>
      </w:r>
      <w:r w:rsidR="00EE7D1D" w:rsidRPr="00FE1DDB">
        <w:rPr>
          <w:rFonts w:ascii="Times New Roman" w:hAnsi="Times New Roman" w:cs="Times New Roman"/>
          <w:sz w:val="20"/>
          <w:szCs w:val="24"/>
        </w:rPr>
        <w:t xml:space="preserve"> Series Vol. 295: 91–103, 2005.</w:t>
      </w:r>
    </w:p>
    <w:p w14:paraId="0D8E9E08" w14:textId="77777777" w:rsidR="000A2ECE" w:rsidRPr="00FE1DDB" w:rsidRDefault="000A2ECE" w:rsidP="00FE1DDB">
      <w:pPr>
        <w:spacing w:after="0" w:line="240" w:lineRule="auto"/>
        <w:jc w:val="both"/>
        <w:rPr>
          <w:rFonts w:ascii="Times New Roman" w:hAnsi="Times New Roman" w:cs="Times New Roman"/>
          <w:sz w:val="20"/>
          <w:szCs w:val="24"/>
        </w:rPr>
      </w:pPr>
    </w:p>
    <w:p w14:paraId="209B1589" w14:textId="3BD70B39" w:rsidR="006D62DA" w:rsidRPr="00FE1DDB" w:rsidRDefault="006D62DA"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Hyland, J.L., R.F. Van Dolah, and T.R. Snoots. 1999. Predicting stress in benthic communities of southeastern U.S. estuaries in relation to chemical contamination of sediments. Environ Toxicol Chem 18(11): 2557-2564.</w:t>
      </w:r>
    </w:p>
    <w:p w14:paraId="7895F80A" w14:textId="77777777" w:rsidR="006D62DA" w:rsidRPr="00FE1DDB" w:rsidRDefault="006D62DA" w:rsidP="00FE1DDB">
      <w:pPr>
        <w:spacing w:after="0" w:line="240" w:lineRule="auto"/>
        <w:jc w:val="both"/>
        <w:rPr>
          <w:rFonts w:ascii="Times New Roman" w:hAnsi="Times New Roman" w:cs="Times New Roman"/>
          <w:sz w:val="20"/>
          <w:szCs w:val="24"/>
        </w:rPr>
      </w:pPr>
    </w:p>
    <w:p w14:paraId="5E244F69" w14:textId="5DE74D55" w:rsidR="00B62FC6" w:rsidRPr="00FE1DDB" w:rsidRDefault="00B62FC6"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Long, E.R., D.D. MacDonald, S.L. Smith, and F.D. Calder. 1995. Incidence of adverse biological effects within ranges of chemical concentrations in marine and estuarine sediments. Environmental Management 19(1):81–97.</w:t>
      </w:r>
    </w:p>
    <w:p w14:paraId="2BE852E6" w14:textId="77777777" w:rsidR="00893550" w:rsidRPr="00FE1DDB" w:rsidRDefault="00893550" w:rsidP="00FE1DDB">
      <w:pPr>
        <w:spacing w:after="0" w:line="240" w:lineRule="auto"/>
        <w:jc w:val="both"/>
        <w:rPr>
          <w:rFonts w:ascii="Times New Roman" w:hAnsi="Times New Roman" w:cs="Times New Roman"/>
          <w:sz w:val="20"/>
          <w:szCs w:val="24"/>
        </w:rPr>
      </w:pPr>
    </w:p>
    <w:p w14:paraId="0AC119C0" w14:textId="452724A9" w:rsidR="00893550" w:rsidRPr="00FE1DDB" w:rsidRDefault="00893550"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Long, E.R., and P.M. Chapman. 1985. A sediment quality triad: Measures of sediment contamination, toxicity and infaunal community composition in Puget Sound. Mar. Pollu. Bull. 16(10): 405-415.</w:t>
      </w:r>
    </w:p>
    <w:p w14:paraId="62F777B0" w14:textId="77777777" w:rsidR="004D0DBF" w:rsidRPr="00FE1DDB" w:rsidRDefault="004D0DBF" w:rsidP="00FE1DDB">
      <w:pPr>
        <w:spacing w:after="0" w:line="240" w:lineRule="auto"/>
        <w:jc w:val="both"/>
        <w:rPr>
          <w:rFonts w:ascii="Times New Roman" w:hAnsi="Times New Roman" w:cs="Times New Roman"/>
          <w:sz w:val="20"/>
          <w:szCs w:val="24"/>
        </w:rPr>
      </w:pPr>
    </w:p>
    <w:p w14:paraId="77EEFFD7" w14:textId="77777777" w:rsidR="004D0DBF" w:rsidRPr="00FE1DDB" w:rsidRDefault="004D0DB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Llansó, R.J., L.C. Scott, D.M. Dauer, J.L. Hyland and D.E. Russell. 2002a. An Estuarine Benthic Index of Biotic Integrity for the Mid-Atlantic Region of the United States. I. Classification of Assemblages and Habitat Definition. Estuaries Vol. 25, No. 6A, p. 1219–1230.</w:t>
      </w:r>
    </w:p>
    <w:p w14:paraId="26D9D7F0" w14:textId="77777777" w:rsidR="004D0DBF" w:rsidRPr="00FE1DDB" w:rsidRDefault="004D0DBF" w:rsidP="00FE1DDB">
      <w:pPr>
        <w:spacing w:after="0" w:line="240" w:lineRule="auto"/>
        <w:jc w:val="both"/>
        <w:rPr>
          <w:rFonts w:ascii="Times New Roman" w:hAnsi="Times New Roman" w:cs="Times New Roman"/>
          <w:sz w:val="20"/>
          <w:szCs w:val="24"/>
        </w:rPr>
      </w:pPr>
    </w:p>
    <w:p w14:paraId="4AB773F4" w14:textId="0E3DDD32" w:rsidR="004D0DBF" w:rsidRPr="00FE1DDB" w:rsidRDefault="004D0DB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Llansó, R.J., L.C. Scott, D.M. Dauer, J.L. Hyland, D.E. Russell and F.W. Kutz. 2002b. An Estuarine Benthic Index of Biotic Integrity for the Mid-Atlantic Region of the United States. II. Index Development. Estuaries Vol. 25, No. 6A, p. 1231–1242.</w:t>
      </w:r>
    </w:p>
    <w:p w14:paraId="32074F81" w14:textId="77777777" w:rsidR="00B62FC6" w:rsidRPr="00FE1DDB" w:rsidRDefault="00B62FC6" w:rsidP="00FE1DDB">
      <w:pPr>
        <w:spacing w:after="0" w:line="240" w:lineRule="auto"/>
        <w:jc w:val="both"/>
        <w:rPr>
          <w:rFonts w:ascii="Times New Roman" w:hAnsi="Times New Roman" w:cs="Times New Roman"/>
          <w:sz w:val="20"/>
          <w:szCs w:val="24"/>
        </w:rPr>
      </w:pPr>
    </w:p>
    <w:p w14:paraId="19D96DBF" w14:textId="77777777" w:rsidR="00341231" w:rsidRPr="00FE1DDB" w:rsidRDefault="00341231"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MacDonald, D.D., C.G. Ingersoll, T.A. Berger. 2000. Development and Evaluation of Consensus-Based Sediment Quality Guidelines for Freshwater Ecosystems. Arch. Environ. Contam. Toxicol. 39:20-31.</w:t>
      </w:r>
    </w:p>
    <w:p w14:paraId="47572B5B" w14:textId="77777777" w:rsidR="002C4FDC" w:rsidRPr="00FE1DDB" w:rsidRDefault="002C4FDC" w:rsidP="00FE1DDB">
      <w:pPr>
        <w:spacing w:after="0" w:line="240" w:lineRule="auto"/>
        <w:jc w:val="both"/>
        <w:rPr>
          <w:rFonts w:ascii="Times New Roman" w:hAnsi="Times New Roman" w:cs="Times New Roman"/>
          <w:sz w:val="20"/>
          <w:szCs w:val="24"/>
        </w:rPr>
      </w:pPr>
    </w:p>
    <w:p w14:paraId="76272470" w14:textId="314FBFBA" w:rsidR="002C4FDC" w:rsidRPr="00FE1DDB" w:rsidRDefault="002C4FDC"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Paul, J.F., K.J. Scott, D.E. Campbell, J.H. Gentile, C.S. Strobel, R.M. Valente, S.B. Weisberg, A.F. Holland, J.A. Ranasinghe. 2001. Developing and applying a benthic index of estuarine condition for the Virginian Biogeographic Province. Ecological Indicators 1 (2001) 83–99.</w:t>
      </w:r>
    </w:p>
    <w:p w14:paraId="404FC62A" w14:textId="77777777" w:rsidR="00341231" w:rsidRPr="00FE1DDB" w:rsidRDefault="00341231" w:rsidP="00FE1DDB">
      <w:pPr>
        <w:spacing w:after="0" w:line="240" w:lineRule="auto"/>
        <w:jc w:val="both"/>
        <w:rPr>
          <w:rFonts w:ascii="Times New Roman" w:hAnsi="Times New Roman" w:cs="Times New Roman"/>
          <w:sz w:val="20"/>
          <w:szCs w:val="24"/>
        </w:rPr>
      </w:pPr>
    </w:p>
    <w:p w14:paraId="47462952" w14:textId="7069CBB3" w:rsidR="0064196E" w:rsidRPr="00FE1DDB" w:rsidRDefault="0064196E"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Pelletier, M.C., D.J. Gillett, A. Hamilton, T. Grayson, V. Hansene, E.W. Leppo, S.B. Weisberg, and A. Borja. 201</w:t>
      </w:r>
      <w:r w:rsidR="00237BA5" w:rsidRPr="00FE1DDB">
        <w:rPr>
          <w:rFonts w:ascii="Times New Roman" w:hAnsi="Times New Roman" w:cs="Times New Roman"/>
          <w:sz w:val="20"/>
          <w:szCs w:val="24"/>
        </w:rPr>
        <w:t>8</w:t>
      </w:r>
      <w:r w:rsidRPr="00FE1DDB">
        <w:rPr>
          <w:rFonts w:ascii="Times New Roman" w:hAnsi="Times New Roman" w:cs="Times New Roman"/>
          <w:sz w:val="20"/>
          <w:szCs w:val="24"/>
        </w:rPr>
        <w:t>. Adaptation and application of multivariate AMBI (M-AMBI) in US coastal</w:t>
      </w:r>
      <w:r w:rsidR="00EE7D1D" w:rsidRPr="00FE1DDB">
        <w:rPr>
          <w:rFonts w:ascii="Times New Roman" w:hAnsi="Times New Roman" w:cs="Times New Roman"/>
          <w:sz w:val="20"/>
          <w:szCs w:val="24"/>
        </w:rPr>
        <w:t xml:space="preserve"> </w:t>
      </w:r>
      <w:r w:rsidRPr="00FE1DDB">
        <w:rPr>
          <w:rFonts w:ascii="Times New Roman" w:hAnsi="Times New Roman" w:cs="Times New Roman"/>
          <w:sz w:val="20"/>
          <w:szCs w:val="24"/>
        </w:rPr>
        <w:t>waters. Ecol</w:t>
      </w:r>
      <w:r w:rsidR="006A648B" w:rsidRPr="00FE1DDB">
        <w:rPr>
          <w:rFonts w:ascii="Times New Roman" w:hAnsi="Times New Roman" w:cs="Times New Roman"/>
          <w:sz w:val="20"/>
          <w:szCs w:val="24"/>
        </w:rPr>
        <w:t>ogical</w:t>
      </w:r>
      <w:r w:rsidRPr="00FE1DDB">
        <w:rPr>
          <w:rFonts w:ascii="Times New Roman" w:hAnsi="Times New Roman" w:cs="Times New Roman"/>
          <w:sz w:val="20"/>
          <w:szCs w:val="24"/>
        </w:rPr>
        <w:t xml:space="preserve"> Indic</w:t>
      </w:r>
      <w:r w:rsidR="006A648B" w:rsidRPr="00FE1DDB">
        <w:rPr>
          <w:rFonts w:ascii="Times New Roman" w:hAnsi="Times New Roman" w:cs="Times New Roman"/>
          <w:sz w:val="20"/>
          <w:szCs w:val="24"/>
        </w:rPr>
        <w:t>ators</w:t>
      </w:r>
      <w:r w:rsidR="00237BA5" w:rsidRPr="00FE1DDB">
        <w:rPr>
          <w:rFonts w:ascii="Times New Roman" w:hAnsi="Times New Roman" w:cs="Times New Roman"/>
          <w:sz w:val="20"/>
          <w:szCs w:val="24"/>
        </w:rPr>
        <w:t>, Volume 89, June 2018, Pages 818-827.</w:t>
      </w:r>
    </w:p>
    <w:p w14:paraId="76BD1E60" w14:textId="77777777" w:rsidR="0064196E" w:rsidRPr="00FE1DDB" w:rsidRDefault="0064196E" w:rsidP="00FE1DDB">
      <w:pPr>
        <w:spacing w:after="0" w:line="240" w:lineRule="auto"/>
        <w:jc w:val="both"/>
        <w:rPr>
          <w:rFonts w:ascii="Times New Roman" w:hAnsi="Times New Roman" w:cs="Times New Roman"/>
          <w:sz w:val="20"/>
          <w:szCs w:val="24"/>
        </w:rPr>
      </w:pPr>
    </w:p>
    <w:p w14:paraId="45D4BD38" w14:textId="6CF05FCC" w:rsidR="00D41312" w:rsidRPr="00FE1DDB" w:rsidRDefault="00D41312"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lastRenderedPageBreak/>
        <w:t>U.S. EPA (United States Environmental Protection Agency). 1996. Ecological Effects Test Guidelines: OPPTS 850:1740: Whole Sediment Acute Toxicity Invertebrates, Marine. Technical Report EPA 712 C-96-355. U.S. Environmental Protection Agency, Washington, DC.</w:t>
      </w:r>
    </w:p>
    <w:p w14:paraId="620174F2" w14:textId="77777777" w:rsidR="00D41312" w:rsidRPr="00FE1DDB" w:rsidRDefault="00D41312" w:rsidP="00FE1DDB">
      <w:pPr>
        <w:spacing w:after="0" w:line="240" w:lineRule="auto"/>
        <w:jc w:val="both"/>
        <w:rPr>
          <w:rFonts w:ascii="Times New Roman" w:hAnsi="Times New Roman" w:cs="Times New Roman"/>
          <w:sz w:val="20"/>
          <w:szCs w:val="24"/>
        </w:rPr>
      </w:pPr>
    </w:p>
    <w:p w14:paraId="1B5995B2" w14:textId="4553F0F5"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 xml:space="preserve">U.S. EPA (United States Environmental Protection Agency). 2001. National Coastal Condition Report. EPA-620/R-01/005. Office of Research and Development and Office of Water, Washington, DC. </w:t>
      </w:r>
    </w:p>
    <w:p w14:paraId="3E200D51" w14:textId="608ADF8F" w:rsidR="00D85A1F" w:rsidRPr="00FE1DDB" w:rsidRDefault="00D85A1F" w:rsidP="00FE1DDB">
      <w:pPr>
        <w:spacing w:after="0" w:line="240" w:lineRule="auto"/>
        <w:jc w:val="both"/>
        <w:rPr>
          <w:rStyle w:val="Hyperlink"/>
          <w:rFonts w:ascii="Times New Roman" w:hAnsi="Times New Roman" w:cs="Times New Roman"/>
          <w:sz w:val="20"/>
          <w:szCs w:val="24"/>
        </w:rPr>
      </w:pPr>
      <w:r w:rsidRPr="00FE1DDB">
        <w:rPr>
          <w:rFonts w:ascii="Times New Roman" w:hAnsi="Times New Roman" w:cs="Times New Roman"/>
          <w:sz w:val="20"/>
          <w:szCs w:val="24"/>
        </w:rPr>
        <w:tab/>
      </w:r>
      <w:hyperlink r:id="rId9" w:history="1">
        <w:r w:rsidRPr="00FE1DDB">
          <w:rPr>
            <w:rStyle w:val="Hyperlink"/>
            <w:rFonts w:ascii="Times New Roman" w:hAnsi="Times New Roman" w:cs="Times New Roman"/>
            <w:sz w:val="20"/>
            <w:szCs w:val="24"/>
          </w:rPr>
          <w:t>http://water.epa.gov/type/oceb/assessmonitor/nccr/downloads.cfm</w:t>
        </w:r>
      </w:hyperlink>
    </w:p>
    <w:p w14:paraId="4AAF5CEC" w14:textId="448C99C2" w:rsidR="00EE6C94" w:rsidRPr="00FE1DDB" w:rsidRDefault="00EE6C94" w:rsidP="00FE1DDB">
      <w:pPr>
        <w:spacing w:after="0" w:line="240" w:lineRule="auto"/>
        <w:jc w:val="both"/>
        <w:rPr>
          <w:rFonts w:ascii="Times New Roman" w:hAnsi="Times New Roman" w:cs="Times New Roman"/>
          <w:sz w:val="20"/>
          <w:szCs w:val="24"/>
        </w:rPr>
      </w:pPr>
    </w:p>
    <w:p w14:paraId="60F38104" w14:textId="4D5670B6" w:rsidR="00EE6C94" w:rsidRPr="00FE1DDB" w:rsidRDefault="00EE6C94"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2003. Procedures for the Derivation of Equilibrium Partitioning Sediment Benchmarks (ESBs) for the Protection of Benthic Organisms: PAH Mixtures. EPA-600-R-02-013. Office of Research and Development. Washington, DC 20460</w:t>
      </w:r>
    </w:p>
    <w:p w14:paraId="171C9D95" w14:textId="77777777" w:rsidR="00D85A1F" w:rsidRPr="00FE1DDB" w:rsidRDefault="00D85A1F" w:rsidP="00FE1DDB">
      <w:pPr>
        <w:spacing w:after="0" w:line="240" w:lineRule="auto"/>
        <w:jc w:val="both"/>
        <w:rPr>
          <w:rFonts w:ascii="Times New Roman" w:hAnsi="Times New Roman" w:cs="Times New Roman"/>
          <w:sz w:val="20"/>
          <w:szCs w:val="24"/>
        </w:rPr>
      </w:pPr>
    </w:p>
    <w:p w14:paraId="62E975BC" w14:textId="50F85F66"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(United States Environmental Protection Agency). 2004. National Coastal Condition Report II. EPA-620/R-03/002. Office of Research and Development and O</w:t>
      </w:r>
      <w:r w:rsidR="00EE7D1D" w:rsidRPr="00FE1DDB">
        <w:rPr>
          <w:rFonts w:ascii="Times New Roman" w:hAnsi="Times New Roman" w:cs="Times New Roman"/>
          <w:sz w:val="20"/>
          <w:szCs w:val="24"/>
        </w:rPr>
        <w:t>ffice of Water, Washington, DC.</w:t>
      </w:r>
    </w:p>
    <w:p w14:paraId="31569FCA" w14:textId="58FE20E3"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ab/>
      </w:r>
      <w:hyperlink r:id="rId10" w:history="1">
        <w:r w:rsidRPr="00FE1DDB">
          <w:rPr>
            <w:rStyle w:val="Hyperlink"/>
            <w:rFonts w:ascii="Times New Roman" w:hAnsi="Times New Roman" w:cs="Times New Roman"/>
            <w:sz w:val="20"/>
            <w:szCs w:val="24"/>
          </w:rPr>
          <w:t>http://water.epa.gov/type/oceb/assessmonitor/nccr/downloads.cfm</w:t>
        </w:r>
      </w:hyperlink>
      <w:r w:rsidRPr="00FE1DDB">
        <w:rPr>
          <w:rFonts w:ascii="Times New Roman" w:hAnsi="Times New Roman" w:cs="Times New Roman"/>
          <w:sz w:val="20"/>
          <w:szCs w:val="24"/>
        </w:rPr>
        <w:t xml:space="preserve">   </w:t>
      </w:r>
    </w:p>
    <w:p w14:paraId="06E1B728" w14:textId="77777777" w:rsidR="00D85A1F" w:rsidRPr="00FE1DDB" w:rsidRDefault="00D85A1F" w:rsidP="00FE1DDB">
      <w:pPr>
        <w:spacing w:after="0" w:line="240" w:lineRule="auto"/>
        <w:jc w:val="both"/>
        <w:rPr>
          <w:rFonts w:ascii="Times New Roman" w:hAnsi="Times New Roman" w:cs="Times New Roman"/>
          <w:sz w:val="20"/>
          <w:szCs w:val="24"/>
        </w:rPr>
      </w:pPr>
    </w:p>
    <w:p w14:paraId="70CEB3AD" w14:textId="2A80552A"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(United States Environmental Protection Agency). 2008. National Coastal Condition Report III. EPA/842-R-08-002. Office of Research and Development and O</w:t>
      </w:r>
      <w:r w:rsidR="00EE7D1D" w:rsidRPr="00FE1DDB">
        <w:rPr>
          <w:rFonts w:ascii="Times New Roman" w:hAnsi="Times New Roman" w:cs="Times New Roman"/>
          <w:sz w:val="20"/>
          <w:szCs w:val="24"/>
        </w:rPr>
        <w:t>ffice of Water, Washington, DC.</w:t>
      </w:r>
    </w:p>
    <w:p w14:paraId="633CD0D6" w14:textId="32FDEF43"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ab/>
      </w:r>
      <w:hyperlink r:id="rId11" w:history="1">
        <w:r w:rsidRPr="00FE1DDB">
          <w:rPr>
            <w:rStyle w:val="Hyperlink"/>
            <w:rFonts w:ascii="Times New Roman" w:hAnsi="Times New Roman" w:cs="Times New Roman"/>
            <w:sz w:val="20"/>
            <w:szCs w:val="24"/>
          </w:rPr>
          <w:t>http://water.epa.gov/type/oceb/assessmonitor/downloads.cfm</w:t>
        </w:r>
      </w:hyperlink>
    </w:p>
    <w:p w14:paraId="3B591B67" w14:textId="77777777" w:rsidR="00D85A1F" w:rsidRPr="00FE1DDB" w:rsidRDefault="00D85A1F" w:rsidP="00FE1DDB">
      <w:pPr>
        <w:spacing w:after="0" w:line="240" w:lineRule="auto"/>
        <w:jc w:val="both"/>
        <w:rPr>
          <w:rFonts w:ascii="Times New Roman" w:hAnsi="Times New Roman" w:cs="Times New Roman"/>
          <w:sz w:val="20"/>
          <w:szCs w:val="24"/>
        </w:rPr>
      </w:pPr>
    </w:p>
    <w:p w14:paraId="55DFAFF4" w14:textId="09AEC642"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(United States Environmental Protection Agency). 2012. National Coastal Condition Report IV. EPA-842-R-10-003. Office of Research and Development and O</w:t>
      </w:r>
      <w:r w:rsidR="00EE7D1D" w:rsidRPr="00FE1DDB">
        <w:rPr>
          <w:rFonts w:ascii="Times New Roman" w:hAnsi="Times New Roman" w:cs="Times New Roman"/>
          <w:sz w:val="20"/>
          <w:szCs w:val="24"/>
        </w:rPr>
        <w:t>ffice of Water, Washington, DC.</w:t>
      </w:r>
    </w:p>
    <w:p w14:paraId="52D09F5A" w14:textId="1080ECAE" w:rsidR="00D85A1F" w:rsidRPr="00FE1DDB" w:rsidRDefault="00D85A1F"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ab/>
      </w:r>
      <w:hyperlink r:id="rId12" w:history="1">
        <w:r w:rsidRPr="00FE1DDB">
          <w:rPr>
            <w:rStyle w:val="Hyperlink"/>
            <w:rFonts w:ascii="Times New Roman" w:hAnsi="Times New Roman" w:cs="Times New Roman"/>
            <w:sz w:val="20"/>
            <w:szCs w:val="24"/>
          </w:rPr>
          <w:t>http://water.epa.gov/type/oceb/assessmonitor/nccr/downloads.cfm</w:t>
        </w:r>
      </w:hyperlink>
    </w:p>
    <w:p w14:paraId="74671088" w14:textId="77777777" w:rsidR="00D85A1F" w:rsidRPr="00FE1DDB" w:rsidRDefault="00D85A1F" w:rsidP="00FE1DDB">
      <w:pPr>
        <w:spacing w:after="0" w:line="240" w:lineRule="auto"/>
        <w:jc w:val="both"/>
        <w:rPr>
          <w:rFonts w:ascii="Times New Roman" w:hAnsi="Times New Roman" w:cs="Times New Roman"/>
          <w:sz w:val="20"/>
          <w:szCs w:val="24"/>
        </w:rPr>
      </w:pPr>
    </w:p>
    <w:p w14:paraId="4DFE68CC" w14:textId="5C8833DA" w:rsidR="003D2659" w:rsidRPr="00FE1DDB" w:rsidRDefault="003D2659"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(United States Environmental Protection Agency). 2014</w:t>
      </w:r>
      <w:r w:rsidR="001575C7" w:rsidRPr="00FE1DDB">
        <w:rPr>
          <w:rFonts w:ascii="Times New Roman" w:hAnsi="Times New Roman" w:cs="Times New Roman"/>
          <w:sz w:val="20"/>
          <w:szCs w:val="24"/>
        </w:rPr>
        <w:t>a</w:t>
      </w:r>
      <w:r w:rsidRPr="00FE1DDB">
        <w:rPr>
          <w:rFonts w:ascii="Times New Roman" w:hAnsi="Times New Roman" w:cs="Times New Roman"/>
          <w:sz w:val="20"/>
          <w:szCs w:val="24"/>
        </w:rPr>
        <w:t xml:space="preserve">. National Coastal Condition Assessment Quality Assurance Project Plan. United States Environmental Protection Agency, Office of Water, Office of Wetlands, Oceans and Watersheds. Washington, D.C. EPA 841-R-14-005. 2014. </w:t>
      </w:r>
    </w:p>
    <w:p w14:paraId="230A640D" w14:textId="77FC7B99" w:rsidR="003D2659" w:rsidRPr="00FE1DDB" w:rsidRDefault="003D2659"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ab/>
      </w:r>
      <w:hyperlink r:id="rId13" w:history="1">
        <w:r w:rsidRPr="00FE1DDB">
          <w:rPr>
            <w:rStyle w:val="Hyperlink"/>
            <w:rFonts w:ascii="Times New Roman" w:hAnsi="Times New Roman" w:cs="Times New Roman"/>
            <w:sz w:val="20"/>
            <w:szCs w:val="24"/>
          </w:rPr>
          <w:t>https://www.epa.gov/sites/production/files/2016-05/documents/ncca_2015_qapp_version_2.1.pdf</w:t>
        </w:r>
      </w:hyperlink>
      <w:r w:rsidRPr="00FE1DDB">
        <w:rPr>
          <w:rFonts w:ascii="Times New Roman" w:hAnsi="Times New Roman" w:cs="Times New Roman"/>
          <w:sz w:val="20"/>
          <w:szCs w:val="24"/>
        </w:rPr>
        <w:t xml:space="preserve"> </w:t>
      </w:r>
    </w:p>
    <w:p w14:paraId="2D81FC58" w14:textId="4C4111DD" w:rsidR="003D2659" w:rsidRPr="00FE1DDB" w:rsidRDefault="003D2659" w:rsidP="00FE1DDB">
      <w:pPr>
        <w:spacing w:after="0" w:line="240" w:lineRule="auto"/>
        <w:jc w:val="both"/>
        <w:rPr>
          <w:rFonts w:ascii="Times New Roman" w:hAnsi="Times New Roman" w:cs="Times New Roman"/>
          <w:sz w:val="20"/>
          <w:szCs w:val="24"/>
        </w:rPr>
      </w:pPr>
    </w:p>
    <w:p w14:paraId="7757202D" w14:textId="67017C50" w:rsidR="001575C7" w:rsidRPr="00FE1DDB" w:rsidRDefault="001575C7"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2014b National Coastal Condition Assessment: Field Operations Manual. EPA-841-R-14-007. U.S. Environmental Protection Agency, Washington, DC.</w:t>
      </w:r>
    </w:p>
    <w:p w14:paraId="65CDCF05" w14:textId="4D0FAAD2" w:rsidR="001575C7" w:rsidRPr="00FE1DDB" w:rsidRDefault="00D142DE" w:rsidP="00FE1DDB">
      <w:pPr>
        <w:spacing w:after="0" w:line="240" w:lineRule="auto"/>
        <w:ind w:left="720"/>
        <w:jc w:val="both"/>
        <w:rPr>
          <w:rFonts w:ascii="Times New Roman" w:hAnsi="Times New Roman" w:cs="Times New Roman"/>
          <w:sz w:val="20"/>
          <w:szCs w:val="24"/>
        </w:rPr>
      </w:pPr>
      <w:hyperlink r:id="rId14" w:history="1">
        <w:r w:rsidR="001575C7" w:rsidRPr="00FE1DDB">
          <w:rPr>
            <w:rStyle w:val="Hyperlink"/>
            <w:rFonts w:ascii="Times New Roman" w:hAnsi="Times New Roman" w:cs="Times New Roman"/>
            <w:sz w:val="20"/>
            <w:szCs w:val="24"/>
          </w:rPr>
          <w:t>https://www.epa.gov/sites/production/files/2016-03/documents/national_coastal_condition_assessment_2015_field_operation_manual_version_1.0_1.pdf</w:t>
        </w:r>
      </w:hyperlink>
      <w:r w:rsidR="001575C7" w:rsidRPr="00FE1DDB">
        <w:rPr>
          <w:rFonts w:ascii="Times New Roman" w:hAnsi="Times New Roman" w:cs="Times New Roman"/>
          <w:sz w:val="20"/>
          <w:szCs w:val="24"/>
        </w:rPr>
        <w:tab/>
      </w:r>
    </w:p>
    <w:p w14:paraId="008C7326" w14:textId="77777777" w:rsidR="001575C7" w:rsidRPr="00FE1DDB" w:rsidRDefault="001575C7" w:rsidP="00FE1DDB">
      <w:pPr>
        <w:spacing w:after="0" w:line="240" w:lineRule="auto"/>
        <w:jc w:val="both"/>
        <w:rPr>
          <w:rFonts w:ascii="Times New Roman" w:hAnsi="Times New Roman" w:cs="Times New Roman"/>
          <w:sz w:val="20"/>
          <w:szCs w:val="24"/>
        </w:rPr>
      </w:pPr>
    </w:p>
    <w:p w14:paraId="507F7CF4" w14:textId="260BCB46" w:rsidR="003176E7" w:rsidRPr="00FE1DDB" w:rsidRDefault="003176E7"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(U.S. Environmental Protection Agency) 2015. National Coastal Condition Report V. Office of Water and Office of Research and Development. National Coastal Condition Assessment 2010 (EPA 841-R-15-006).</w:t>
      </w:r>
      <w:r w:rsidR="00EE7D1D" w:rsidRPr="00FE1DDB">
        <w:rPr>
          <w:rFonts w:ascii="Times New Roman" w:hAnsi="Times New Roman" w:cs="Times New Roman"/>
          <w:sz w:val="20"/>
          <w:szCs w:val="24"/>
        </w:rPr>
        <w:t xml:space="preserve"> Washington, DC. December 2015.</w:t>
      </w:r>
    </w:p>
    <w:p w14:paraId="2F23FDC6" w14:textId="2D29A7D0" w:rsidR="003176E7" w:rsidRPr="00FE1DDB" w:rsidRDefault="00D142DE" w:rsidP="00FE1DDB">
      <w:pPr>
        <w:spacing w:after="0" w:line="240" w:lineRule="auto"/>
        <w:ind w:left="720"/>
        <w:jc w:val="both"/>
        <w:rPr>
          <w:rFonts w:ascii="Times New Roman" w:hAnsi="Times New Roman" w:cs="Times New Roman"/>
          <w:sz w:val="20"/>
          <w:szCs w:val="24"/>
        </w:rPr>
      </w:pPr>
      <w:hyperlink r:id="rId15" w:history="1">
        <w:r w:rsidR="003176E7" w:rsidRPr="00FE1DDB">
          <w:rPr>
            <w:rStyle w:val="Hyperlink"/>
            <w:rFonts w:ascii="Times New Roman" w:hAnsi="Times New Roman" w:cs="Times New Roman"/>
            <w:sz w:val="20"/>
            <w:szCs w:val="24"/>
          </w:rPr>
          <w:t>https://www.epa.gov/national-aquatic-resource-surveys/national-coastal-condition-assessment-2010-report</w:t>
        </w:r>
      </w:hyperlink>
      <w:r w:rsidR="003176E7" w:rsidRPr="00FE1DDB">
        <w:rPr>
          <w:rFonts w:ascii="Times New Roman" w:hAnsi="Times New Roman" w:cs="Times New Roman"/>
          <w:sz w:val="20"/>
          <w:szCs w:val="24"/>
        </w:rPr>
        <w:t xml:space="preserve"> </w:t>
      </w:r>
    </w:p>
    <w:p w14:paraId="71D9661C" w14:textId="77777777" w:rsidR="003176E7" w:rsidRPr="00FE1DDB" w:rsidRDefault="003176E7" w:rsidP="00FE1DDB">
      <w:pPr>
        <w:spacing w:line="240" w:lineRule="auto"/>
        <w:jc w:val="both"/>
        <w:rPr>
          <w:rFonts w:ascii="Times New Roman" w:hAnsi="Times New Roman" w:cs="Times New Roman"/>
          <w:sz w:val="20"/>
          <w:szCs w:val="24"/>
        </w:rPr>
      </w:pPr>
    </w:p>
    <w:p w14:paraId="3CB23AB0" w14:textId="074267EE" w:rsidR="00311D08" w:rsidRPr="00FE1DDB" w:rsidRDefault="002410A7"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U.S. EPA (U.S. Environmental Protection Agency) 2016. NCCA 2010 Technical Report. Nation</w:t>
      </w:r>
      <w:r w:rsidR="003D2659" w:rsidRPr="00FE1DDB">
        <w:rPr>
          <w:rFonts w:ascii="Times New Roman" w:hAnsi="Times New Roman" w:cs="Times New Roman"/>
          <w:sz w:val="20"/>
          <w:szCs w:val="24"/>
        </w:rPr>
        <w:t xml:space="preserve">al Coastal Condition Assessment </w:t>
      </w:r>
      <w:r w:rsidRPr="00FE1DDB">
        <w:rPr>
          <w:rFonts w:ascii="Times New Roman" w:hAnsi="Times New Roman" w:cs="Times New Roman"/>
          <w:sz w:val="20"/>
          <w:szCs w:val="24"/>
        </w:rPr>
        <w:t xml:space="preserve">2010. </w:t>
      </w:r>
      <w:hyperlink r:id="rId16" w:history="1">
        <w:r w:rsidR="00311D08" w:rsidRPr="00FE1DDB">
          <w:rPr>
            <w:rStyle w:val="Hyperlink"/>
            <w:rFonts w:ascii="Times New Roman" w:hAnsi="Times New Roman" w:cs="Times New Roman"/>
            <w:sz w:val="20"/>
            <w:szCs w:val="24"/>
          </w:rPr>
          <w:t>https://www.epa.gov/sites/production/files/2016-01/documents/ncca_2010_technical_report_20160127.pdf</w:t>
        </w:r>
      </w:hyperlink>
      <w:r w:rsidR="00311D08" w:rsidRPr="00FE1DDB">
        <w:rPr>
          <w:rFonts w:ascii="Times New Roman" w:hAnsi="Times New Roman" w:cs="Times New Roman"/>
          <w:sz w:val="20"/>
          <w:szCs w:val="24"/>
        </w:rPr>
        <w:t>.</w:t>
      </w:r>
    </w:p>
    <w:p w14:paraId="4ACAA3AF" w14:textId="77777777" w:rsidR="00311D08" w:rsidRPr="00FE1DDB" w:rsidRDefault="00311D08" w:rsidP="00FE1DDB">
      <w:pPr>
        <w:spacing w:after="0" w:line="240" w:lineRule="auto"/>
        <w:jc w:val="both"/>
        <w:rPr>
          <w:rFonts w:ascii="Times New Roman" w:hAnsi="Times New Roman" w:cs="Times New Roman"/>
          <w:sz w:val="20"/>
          <w:szCs w:val="24"/>
        </w:rPr>
      </w:pPr>
    </w:p>
    <w:p w14:paraId="73358D44" w14:textId="7F0B47CF" w:rsidR="002410A7" w:rsidRPr="00FE1DDB" w:rsidRDefault="002410A7" w:rsidP="00FE1DDB">
      <w:pPr>
        <w:spacing w:after="0" w:line="240" w:lineRule="auto"/>
        <w:ind w:left="720"/>
        <w:jc w:val="both"/>
        <w:rPr>
          <w:rFonts w:ascii="Times New Roman" w:hAnsi="Times New Roman" w:cs="Times New Roman"/>
          <w:sz w:val="20"/>
          <w:szCs w:val="24"/>
        </w:rPr>
      </w:pPr>
      <w:r w:rsidRPr="00FE1DDB">
        <w:rPr>
          <w:rFonts w:ascii="Times New Roman" w:hAnsi="Times New Roman" w:cs="Times New Roman"/>
          <w:sz w:val="20"/>
          <w:szCs w:val="24"/>
        </w:rPr>
        <w:t>This document provides supplemental technical information on the background and development of</w:t>
      </w:r>
      <w:r w:rsidR="00311D08" w:rsidRPr="00FE1DDB">
        <w:rPr>
          <w:rFonts w:ascii="Times New Roman" w:hAnsi="Times New Roman" w:cs="Times New Roman"/>
          <w:sz w:val="20"/>
          <w:szCs w:val="24"/>
        </w:rPr>
        <w:t xml:space="preserve"> </w:t>
      </w:r>
      <w:r w:rsidRPr="00FE1DDB">
        <w:rPr>
          <w:rFonts w:ascii="Times New Roman" w:hAnsi="Times New Roman" w:cs="Times New Roman"/>
          <w:sz w:val="20"/>
          <w:szCs w:val="24"/>
        </w:rPr>
        <w:t>the Benthic Index, Water Quality Index, Sediment Quality Index, and Ecological Fish Tissue</w:t>
      </w:r>
      <w:r w:rsidR="00311D08" w:rsidRPr="00FE1DDB">
        <w:rPr>
          <w:rFonts w:ascii="Times New Roman" w:hAnsi="Times New Roman" w:cs="Times New Roman"/>
          <w:sz w:val="20"/>
          <w:szCs w:val="24"/>
        </w:rPr>
        <w:t xml:space="preserve"> </w:t>
      </w:r>
      <w:r w:rsidRPr="00FE1DDB">
        <w:rPr>
          <w:rFonts w:ascii="Times New Roman" w:hAnsi="Times New Roman" w:cs="Times New Roman"/>
          <w:sz w:val="20"/>
          <w:szCs w:val="24"/>
        </w:rPr>
        <w:t>Contaminants Index used in the National Coastal Condition (NCCA) 2010 Report. It was developed by</w:t>
      </w:r>
      <w:r w:rsidR="00311D08" w:rsidRPr="00FE1DDB">
        <w:rPr>
          <w:rFonts w:ascii="Times New Roman" w:hAnsi="Times New Roman" w:cs="Times New Roman"/>
          <w:sz w:val="20"/>
          <w:szCs w:val="24"/>
        </w:rPr>
        <w:t xml:space="preserve"> </w:t>
      </w:r>
      <w:r w:rsidRPr="00FE1DDB">
        <w:rPr>
          <w:rFonts w:ascii="Times New Roman" w:hAnsi="Times New Roman" w:cs="Times New Roman"/>
          <w:sz w:val="20"/>
          <w:szCs w:val="24"/>
        </w:rPr>
        <w:t>EPA to provide technical information to readers of the NCCA 2010</w:t>
      </w:r>
      <w:r w:rsidR="003D2659" w:rsidRPr="00FE1DDB">
        <w:rPr>
          <w:rFonts w:ascii="Times New Roman" w:hAnsi="Times New Roman" w:cs="Times New Roman"/>
          <w:sz w:val="20"/>
          <w:szCs w:val="24"/>
        </w:rPr>
        <w:t xml:space="preserve"> Report</w:t>
      </w:r>
      <w:r w:rsidRPr="00FE1DDB">
        <w:rPr>
          <w:rFonts w:ascii="Times New Roman" w:hAnsi="Times New Roman" w:cs="Times New Roman"/>
          <w:sz w:val="20"/>
          <w:szCs w:val="24"/>
        </w:rPr>
        <w:t>.</w:t>
      </w:r>
    </w:p>
    <w:p w14:paraId="47854454" w14:textId="7FF5FBA5" w:rsidR="007B7D6B" w:rsidRPr="00FE1DDB" w:rsidRDefault="0044315C"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 xml:space="preserve"> </w:t>
      </w:r>
    </w:p>
    <w:p w14:paraId="231FDDB9" w14:textId="1889C33F" w:rsidR="005A297A" w:rsidRPr="00FE1DDB" w:rsidRDefault="005A297A"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Van Sickle, J., J.L. Stoddard, S.G. Paulsen, and A.R. Olsen. 2006. Using Relative Risk to Compare the Effects of Aquatic Stressors at a Regional Level. Environ. Manage. 38:1020-1030.</w:t>
      </w:r>
    </w:p>
    <w:p w14:paraId="3E3F5A99" w14:textId="77777777" w:rsidR="00311D08" w:rsidRPr="00FE1DDB" w:rsidRDefault="00311D08" w:rsidP="00FE1DDB">
      <w:pPr>
        <w:spacing w:after="0" w:line="240" w:lineRule="auto"/>
        <w:jc w:val="both"/>
        <w:rPr>
          <w:rFonts w:ascii="Times New Roman" w:hAnsi="Times New Roman" w:cs="Times New Roman"/>
          <w:sz w:val="20"/>
          <w:szCs w:val="24"/>
        </w:rPr>
      </w:pPr>
    </w:p>
    <w:p w14:paraId="42D296D7" w14:textId="24467FBF" w:rsidR="003176E7" w:rsidRPr="00FE1DDB" w:rsidRDefault="00CB523D" w:rsidP="00FE1DDB">
      <w:pPr>
        <w:spacing w:line="240" w:lineRule="auto"/>
        <w:jc w:val="both"/>
        <w:rPr>
          <w:rFonts w:ascii="Times New Roman" w:hAnsi="Times New Roman" w:cs="Times New Roman"/>
          <w:sz w:val="20"/>
          <w:szCs w:val="24"/>
        </w:rPr>
      </w:pPr>
      <w:r w:rsidRPr="00FE1DDB">
        <w:rPr>
          <w:rFonts w:ascii="Times New Roman" w:hAnsi="Times New Roman" w:cs="Times New Roman"/>
          <w:sz w:val="20"/>
          <w:szCs w:val="24"/>
        </w:rPr>
        <w:t xml:space="preserve">Venice System. 1958. </w:t>
      </w:r>
      <w:r w:rsidR="001611F8" w:rsidRPr="00FE1DDB">
        <w:rPr>
          <w:rFonts w:ascii="Times New Roman" w:hAnsi="Times New Roman" w:cs="Times New Roman"/>
          <w:sz w:val="20"/>
          <w:szCs w:val="24"/>
        </w:rPr>
        <w:t>Symposium for the Classification of Brackish Waters</w:t>
      </w:r>
      <w:r w:rsidRPr="00FE1DDB">
        <w:rPr>
          <w:rFonts w:ascii="Times New Roman" w:hAnsi="Times New Roman" w:cs="Times New Roman"/>
          <w:sz w:val="20"/>
          <w:szCs w:val="24"/>
        </w:rPr>
        <w:t>. Venice, April 8 – 14, 1958.</w:t>
      </w:r>
      <w:r w:rsidR="00294150" w:rsidRPr="00FE1DDB">
        <w:rPr>
          <w:rFonts w:ascii="Times New Roman" w:hAnsi="Times New Roman" w:cs="Times New Roman"/>
          <w:sz w:val="20"/>
          <w:szCs w:val="24"/>
        </w:rPr>
        <w:t xml:space="preserve"> </w:t>
      </w:r>
      <w:r w:rsidRPr="00FE1DDB">
        <w:rPr>
          <w:rFonts w:ascii="Times New Roman" w:hAnsi="Times New Roman" w:cs="Times New Roman"/>
          <w:sz w:val="20"/>
          <w:szCs w:val="24"/>
        </w:rPr>
        <w:t>Arch. Ocea</w:t>
      </w:r>
      <w:r w:rsidR="001611F8" w:rsidRPr="00FE1DDB">
        <w:rPr>
          <w:rFonts w:ascii="Times New Roman" w:hAnsi="Times New Roman" w:cs="Times New Roman"/>
          <w:sz w:val="20"/>
          <w:szCs w:val="24"/>
        </w:rPr>
        <w:t>nogr. Limnol. 11 (Suppl), 1-248, a</w:t>
      </w:r>
      <w:r w:rsidR="00294150" w:rsidRPr="00FE1DDB">
        <w:rPr>
          <w:rFonts w:ascii="Times New Roman" w:hAnsi="Times New Roman" w:cs="Times New Roman"/>
          <w:sz w:val="20"/>
          <w:szCs w:val="24"/>
        </w:rPr>
        <w:t>nd</w:t>
      </w:r>
      <w:r w:rsidR="001611F8" w:rsidRPr="00FE1DDB">
        <w:rPr>
          <w:rFonts w:ascii="Times New Roman" w:hAnsi="Times New Roman" w:cs="Times New Roman"/>
          <w:sz w:val="20"/>
          <w:szCs w:val="24"/>
        </w:rPr>
        <w:t xml:space="preserve"> subsequently published in:</w:t>
      </w:r>
    </w:p>
    <w:p w14:paraId="2EFC2A4C" w14:textId="6EBA0265" w:rsidR="00215710" w:rsidRPr="00FE1DDB" w:rsidRDefault="00416A03" w:rsidP="00FE1DDB">
      <w:pPr>
        <w:spacing w:line="240" w:lineRule="auto"/>
        <w:ind w:left="720"/>
        <w:jc w:val="both"/>
        <w:rPr>
          <w:rFonts w:ascii="Times New Roman" w:hAnsi="Times New Roman" w:cs="Times New Roman"/>
          <w:sz w:val="20"/>
          <w:szCs w:val="24"/>
        </w:rPr>
      </w:pPr>
      <w:r w:rsidRPr="00FE1DDB">
        <w:rPr>
          <w:rFonts w:ascii="Times New Roman" w:hAnsi="Times New Roman" w:cs="Times New Roman"/>
          <w:sz w:val="20"/>
          <w:szCs w:val="24"/>
        </w:rPr>
        <w:lastRenderedPageBreak/>
        <w:t>(2003)</w:t>
      </w:r>
      <w:r w:rsidR="00215710" w:rsidRPr="00FE1DDB">
        <w:rPr>
          <w:rFonts w:ascii="Times New Roman" w:hAnsi="Times New Roman" w:cs="Times New Roman"/>
          <w:sz w:val="20"/>
          <w:szCs w:val="24"/>
        </w:rPr>
        <w:t xml:space="preserve"> The Venice System for the Classification of Marine Waters According to Salinity. Limnology and Oceanography, 3, doi: 10.4319/lo.1958.3.3.0346.</w:t>
      </w:r>
    </w:p>
    <w:p w14:paraId="3D049280" w14:textId="3911D705" w:rsidR="00D85A1F" w:rsidRPr="00FE1DDB" w:rsidRDefault="00C5464D" w:rsidP="00FE1DDB">
      <w:pPr>
        <w:spacing w:after="0" w:line="240" w:lineRule="auto"/>
        <w:jc w:val="both"/>
        <w:rPr>
          <w:rFonts w:ascii="Times New Roman" w:hAnsi="Times New Roman" w:cs="Times New Roman"/>
          <w:sz w:val="20"/>
          <w:szCs w:val="24"/>
        </w:rPr>
      </w:pPr>
      <w:r w:rsidRPr="00FE1DDB">
        <w:rPr>
          <w:rFonts w:ascii="Times New Roman" w:hAnsi="Times New Roman" w:cs="Times New Roman"/>
          <w:sz w:val="20"/>
          <w:szCs w:val="24"/>
        </w:rPr>
        <w:t>Virginia DEQ.20</w:t>
      </w:r>
      <w:r w:rsidR="004470AB" w:rsidRPr="00FE1DDB">
        <w:rPr>
          <w:rFonts w:ascii="Times New Roman" w:hAnsi="Times New Roman" w:cs="Times New Roman"/>
          <w:sz w:val="20"/>
          <w:szCs w:val="24"/>
        </w:rPr>
        <w:t>19</w:t>
      </w:r>
      <w:r w:rsidRPr="00FE1DDB">
        <w:rPr>
          <w:rFonts w:ascii="Times New Roman" w:hAnsi="Times New Roman" w:cs="Times New Roman"/>
          <w:sz w:val="20"/>
          <w:szCs w:val="24"/>
        </w:rPr>
        <w:t xml:space="preserve">. </w:t>
      </w:r>
      <w:hyperlink r:id="rId17" w:history="1">
        <w:r w:rsidRPr="00FE1DDB">
          <w:rPr>
            <w:rStyle w:val="Hyperlink"/>
            <w:rFonts w:ascii="Times New Roman" w:hAnsi="Times New Roman" w:cs="Times New Roman"/>
            <w:sz w:val="20"/>
            <w:szCs w:val="24"/>
          </w:rPr>
          <w:t>WATER QUALITY ASSESSMENT GUIDANCE MANUAL for 20</w:t>
        </w:r>
        <w:r w:rsidR="004470AB" w:rsidRPr="00FE1DDB">
          <w:rPr>
            <w:rStyle w:val="Hyperlink"/>
            <w:rFonts w:ascii="Times New Roman" w:hAnsi="Times New Roman" w:cs="Times New Roman"/>
            <w:sz w:val="20"/>
            <w:szCs w:val="24"/>
          </w:rPr>
          <w:t>20</w:t>
        </w:r>
        <w:r w:rsidRPr="00FE1DDB">
          <w:rPr>
            <w:rStyle w:val="Hyperlink"/>
            <w:rFonts w:ascii="Times New Roman" w:hAnsi="Times New Roman" w:cs="Times New Roman"/>
            <w:sz w:val="20"/>
            <w:szCs w:val="24"/>
          </w:rPr>
          <w:t xml:space="preserve"> 305(b)/303(d) Integrated Water Quality Report</w:t>
        </w:r>
      </w:hyperlink>
      <w:r w:rsidRPr="00FE1DDB">
        <w:rPr>
          <w:rFonts w:ascii="Times New Roman" w:hAnsi="Times New Roman" w:cs="Times New Roman"/>
          <w:sz w:val="20"/>
          <w:szCs w:val="24"/>
        </w:rPr>
        <w:t xml:space="preserve">. </w:t>
      </w:r>
      <w:r w:rsidR="004470AB" w:rsidRPr="00FE1DDB">
        <w:rPr>
          <w:rFonts w:ascii="Times New Roman" w:hAnsi="Times New Roman" w:cs="Times New Roman"/>
          <w:sz w:val="20"/>
          <w:szCs w:val="24"/>
        </w:rPr>
        <w:t>July</w:t>
      </w:r>
      <w:r w:rsidRPr="00FE1DDB">
        <w:rPr>
          <w:rFonts w:ascii="Times New Roman" w:hAnsi="Times New Roman" w:cs="Times New Roman"/>
          <w:sz w:val="20"/>
          <w:szCs w:val="24"/>
        </w:rPr>
        <w:t xml:space="preserve"> 201</w:t>
      </w:r>
      <w:r w:rsidR="004470AB" w:rsidRPr="00FE1DDB">
        <w:rPr>
          <w:rFonts w:ascii="Times New Roman" w:hAnsi="Times New Roman" w:cs="Times New Roman"/>
          <w:sz w:val="20"/>
          <w:szCs w:val="24"/>
        </w:rPr>
        <w:t>9</w:t>
      </w:r>
      <w:r w:rsidRPr="00FE1DDB">
        <w:rPr>
          <w:rFonts w:ascii="Times New Roman" w:hAnsi="Times New Roman" w:cs="Times New Roman"/>
          <w:sz w:val="20"/>
          <w:szCs w:val="24"/>
        </w:rPr>
        <w:t xml:space="preserve">. </w:t>
      </w:r>
    </w:p>
    <w:p w14:paraId="4A184BFA" w14:textId="77777777" w:rsidR="00C5464D" w:rsidRPr="00FE1DDB" w:rsidRDefault="00C5464D" w:rsidP="00FE1DDB">
      <w:pPr>
        <w:spacing w:after="0" w:line="240" w:lineRule="auto"/>
        <w:jc w:val="both"/>
        <w:rPr>
          <w:rFonts w:ascii="Times New Roman" w:hAnsi="Times New Roman" w:cs="Times New Roman"/>
          <w:sz w:val="20"/>
          <w:szCs w:val="24"/>
        </w:rPr>
      </w:pPr>
    </w:p>
    <w:p w14:paraId="551EA61D" w14:textId="1A16A9D0" w:rsidR="000A36E0" w:rsidRPr="00320A0E" w:rsidRDefault="002C4FDC" w:rsidP="00FE1DDB">
      <w:pPr>
        <w:spacing w:line="240" w:lineRule="auto"/>
        <w:jc w:val="both"/>
        <w:rPr>
          <w:rFonts w:ascii="Times New Roman" w:hAnsi="Times New Roman" w:cs="Times New Roman"/>
          <w:sz w:val="20"/>
          <w:szCs w:val="24"/>
        </w:rPr>
      </w:pPr>
      <w:r w:rsidRPr="00FE1DDB">
        <w:rPr>
          <w:rFonts w:ascii="Times New Roman" w:hAnsi="Times New Roman" w:cs="Times New Roman"/>
          <w:sz w:val="20"/>
          <w:szCs w:val="24"/>
        </w:rPr>
        <w:t>Weisberg, S.B., J.A. Ranasinghe, D.M. Dauer, L.C. Schaffner, R.J. Diaz, and J.B. Frithsen. 1997. An estuarine benthic index of biotic integrity (B</w:t>
      </w:r>
      <w:bookmarkStart w:id="2" w:name="_GoBack"/>
      <w:bookmarkEnd w:id="2"/>
      <w:r w:rsidRPr="00FE1DDB">
        <w:rPr>
          <w:rFonts w:ascii="Times New Roman" w:hAnsi="Times New Roman" w:cs="Times New Roman"/>
          <w:sz w:val="20"/>
          <w:szCs w:val="24"/>
        </w:rPr>
        <w:t>-IBI) for Chesapeake Bay. Estuaries 20:149-158.</w:t>
      </w:r>
    </w:p>
    <w:sectPr w:rsidR="000A36E0" w:rsidRPr="00320A0E" w:rsidSect="00447BF3">
      <w:footerReference w:type="default" r:id="rId18"/>
      <w:pgSz w:w="12240" w:h="15840"/>
      <w:pgMar w:top="1440" w:right="1440" w:bottom="1440" w:left="1440" w:header="720" w:footer="720" w:gutter="0"/>
      <w:pgNumType w:start="1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19DA" w14:textId="77777777" w:rsidR="00447BF3" w:rsidRDefault="00447BF3" w:rsidP="002A42ED">
      <w:pPr>
        <w:spacing w:after="0" w:line="240" w:lineRule="auto"/>
      </w:pPr>
      <w:r>
        <w:separator/>
      </w:r>
    </w:p>
  </w:endnote>
  <w:endnote w:type="continuationSeparator" w:id="0">
    <w:p w14:paraId="1823DA8F" w14:textId="77777777" w:rsidR="00447BF3" w:rsidRDefault="00447BF3" w:rsidP="002A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E664" w14:textId="6336F0EA" w:rsidR="00447BF3" w:rsidRPr="00532301" w:rsidRDefault="00D142DE" w:rsidP="00D22215">
    <w:pPr>
      <w:pStyle w:val="Footer"/>
      <w:tabs>
        <w:tab w:val="left" w:pos="0"/>
      </w:tabs>
      <w:rPr>
        <w:rFonts w:ascii="Times New Roman" w:hAnsi="Times New Roman" w:cs="Times New Roman"/>
        <w:sz w:val="20"/>
        <w:szCs w:val="20"/>
      </w:rPr>
    </w:pPr>
    <w:r>
      <w:rPr>
        <w:rFonts w:ascii="Times New Roman" w:hAnsi="Times New Roman" w:cs="Times New Roman"/>
        <w:sz w:val="20"/>
        <w:szCs w:val="20"/>
      </w:rPr>
      <w:t>Final</w:t>
    </w:r>
    <w:r w:rsidR="00447BF3">
      <w:rPr>
        <w:rFonts w:ascii="Times New Roman" w:hAnsi="Times New Roman" w:cs="Times New Roman"/>
        <w:sz w:val="20"/>
        <w:szCs w:val="20"/>
      </w:rPr>
      <w:t xml:space="preserve"> 2022</w:t>
    </w:r>
  </w:p>
  <w:p w14:paraId="26F638E6" w14:textId="18562D76" w:rsidR="00447BF3" w:rsidRPr="00532301" w:rsidRDefault="00447BF3" w:rsidP="00EE7D1D">
    <w:pPr>
      <w:pStyle w:val="Footer"/>
      <w:jc w:val="center"/>
      <w:rPr>
        <w:rFonts w:ascii="Times New Roman" w:hAnsi="Times New Roman" w:cs="Times New Roman"/>
      </w:rPr>
    </w:pPr>
    <w:r w:rsidRPr="00532301">
      <w:rPr>
        <w:rStyle w:val="PageNumber"/>
        <w:rFonts w:ascii="Times New Roman" w:hAnsi="Times New Roman" w:cs="Times New Roman"/>
        <w:sz w:val="20"/>
        <w:szCs w:val="20"/>
      </w:rPr>
      <w:fldChar w:fldCharType="begin"/>
    </w:r>
    <w:r w:rsidRPr="00532301">
      <w:rPr>
        <w:rStyle w:val="PageNumber"/>
        <w:rFonts w:ascii="Times New Roman" w:hAnsi="Times New Roman" w:cs="Times New Roman"/>
        <w:sz w:val="20"/>
        <w:szCs w:val="20"/>
      </w:rPr>
      <w:instrText xml:space="preserve"> PAGE </w:instrText>
    </w:r>
    <w:r w:rsidRPr="00532301">
      <w:rPr>
        <w:rStyle w:val="PageNumber"/>
        <w:rFonts w:ascii="Times New Roman" w:hAnsi="Times New Roman" w:cs="Times New Roman"/>
        <w:sz w:val="20"/>
        <w:szCs w:val="20"/>
      </w:rPr>
      <w:fldChar w:fldCharType="separate"/>
    </w:r>
    <w:r w:rsidR="00D142DE">
      <w:rPr>
        <w:rStyle w:val="PageNumber"/>
        <w:rFonts w:ascii="Times New Roman" w:hAnsi="Times New Roman" w:cs="Times New Roman"/>
        <w:noProof/>
        <w:sz w:val="20"/>
        <w:szCs w:val="20"/>
      </w:rPr>
      <w:t>170</w:t>
    </w:r>
    <w:r w:rsidRPr="00532301">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72BA" w14:textId="77777777" w:rsidR="00447BF3" w:rsidRDefault="00447BF3" w:rsidP="002A42ED">
      <w:pPr>
        <w:spacing w:after="0" w:line="240" w:lineRule="auto"/>
      </w:pPr>
      <w:r>
        <w:separator/>
      </w:r>
    </w:p>
  </w:footnote>
  <w:footnote w:type="continuationSeparator" w:id="0">
    <w:p w14:paraId="0101AA53" w14:textId="77777777" w:rsidR="00447BF3" w:rsidRDefault="00447BF3" w:rsidP="002A4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7D8"/>
    <w:multiLevelType w:val="hybridMultilevel"/>
    <w:tmpl w:val="1AA8E518"/>
    <w:lvl w:ilvl="0" w:tplc="98E64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1AD4"/>
    <w:multiLevelType w:val="hybridMultilevel"/>
    <w:tmpl w:val="6EEA8CE6"/>
    <w:lvl w:ilvl="0" w:tplc="0440560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3456B"/>
    <w:multiLevelType w:val="hybridMultilevel"/>
    <w:tmpl w:val="83B082E6"/>
    <w:lvl w:ilvl="0" w:tplc="C63694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710C1F"/>
    <w:multiLevelType w:val="hybridMultilevel"/>
    <w:tmpl w:val="F32EB7B4"/>
    <w:lvl w:ilvl="0" w:tplc="D58C051A">
      <w:start w:val="10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A62D1A"/>
    <w:multiLevelType w:val="hybridMultilevel"/>
    <w:tmpl w:val="7860782C"/>
    <w:lvl w:ilvl="0" w:tplc="5D46E4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F1B2E"/>
    <w:multiLevelType w:val="hybridMultilevel"/>
    <w:tmpl w:val="28301E4C"/>
    <w:lvl w:ilvl="0" w:tplc="D5B88F70">
      <w:start w:val="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F1E1A"/>
    <w:multiLevelType w:val="hybridMultilevel"/>
    <w:tmpl w:val="65667180"/>
    <w:lvl w:ilvl="0" w:tplc="90C691C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C3191C"/>
    <w:multiLevelType w:val="hybridMultilevel"/>
    <w:tmpl w:val="00F03BB0"/>
    <w:lvl w:ilvl="0" w:tplc="C2721F96">
      <w:start w:val="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43CA"/>
    <w:multiLevelType w:val="hybridMultilevel"/>
    <w:tmpl w:val="BECC1D0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 w15:restartNumberingAfterBreak="0">
    <w:nsid w:val="6DDC5DB7"/>
    <w:multiLevelType w:val="hybridMultilevel"/>
    <w:tmpl w:val="52FC0E2E"/>
    <w:lvl w:ilvl="0" w:tplc="0DE8C970">
      <w:start w:val="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2F91"/>
    <w:multiLevelType w:val="hybridMultilevel"/>
    <w:tmpl w:val="95124C18"/>
    <w:lvl w:ilvl="0" w:tplc="C7A8ED42">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9"/>
  </w:num>
  <w:num w:numId="6">
    <w:abstractNumId w:val="5"/>
  </w:num>
  <w:num w:numId="7">
    <w:abstractNumId w:val="4"/>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ED"/>
    <w:rsid w:val="00001260"/>
    <w:rsid w:val="00002C81"/>
    <w:rsid w:val="00007603"/>
    <w:rsid w:val="00010D9B"/>
    <w:rsid w:val="00012022"/>
    <w:rsid w:val="000123BC"/>
    <w:rsid w:val="00015630"/>
    <w:rsid w:val="000175BB"/>
    <w:rsid w:val="00023A51"/>
    <w:rsid w:val="00024207"/>
    <w:rsid w:val="000244CF"/>
    <w:rsid w:val="00024AAB"/>
    <w:rsid w:val="00027144"/>
    <w:rsid w:val="00027673"/>
    <w:rsid w:val="000279EF"/>
    <w:rsid w:val="00031872"/>
    <w:rsid w:val="000347A5"/>
    <w:rsid w:val="0003709F"/>
    <w:rsid w:val="0003721E"/>
    <w:rsid w:val="000373CC"/>
    <w:rsid w:val="00040D4E"/>
    <w:rsid w:val="00040F2B"/>
    <w:rsid w:val="0004386E"/>
    <w:rsid w:val="00043CB4"/>
    <w:rsid w:val="00043E81"/>
    <w:rsid w:val="0004539A"/>
    <w:rsid w:val="00045DD6"/>
    <w:rsid w:val="0005278E"/>
    <w:rsid w:val="00060E18"/>
    <w:rsid w:val="00062B54"/>
    <w:rsid w:val="00063117"/>
    <w:rsid w:val="00066696"/>
    <w:rsid w:val="00067C14"/>
    <w:rsid w:val="000701BB"/>
    <w:rsid w:val="00074114"/>
    <w:rsid w:val="0007429C"/>
    <w:rsid w:val="00076EBB"/>
    <w:rsid w:val="00076F30"/>
    <w:rsid w:val="00076FB5"/>
    <w:rsid w:val="0008007C"/>
    <w:rsid w:val="00081807"/>
    <w:rsid w:val="00083BE5"/>
    <w:rsid w:val="00086DC2"/>
    <w:rsid w:val="0009251C"/>
    <w:rsid w:val="000938BA"/>
    <w:rsid w:val="00094D94"/>
    <w:rsid w:val="000A0C3C"/>
    <w:rsid w:val="000A2ECE"/>
    <w:rsid w:val="000A36E0"/>
    <w:rsid w:val="000B059A"/>
    <w:rsid w:val="000B1BA5"/>
    <w:rsid w:val="000B229D"/>
    <w:rsid w:val="000B274A"/>
    <w:rsid w:val="000B30DC"/>
    <w:rsid w:val="000B47AB"/>
    <w:rsid w:val="000C16C8"/>
    <w:rsid w:val="000C65FF"/>
    <w:rsid w:val="000C6D1C"/>
    <w:rsid w:val="000D0DA9"/>
    <w:rsid w:val="000D1217"/>
    <w:rsid w:val="000D3601"/>
    <w:rsid w:val="000D6522"/>
    <w:rsid w:val="000E3D70"/>
    <w:rsid w:val="000E3F24"/>
    <w:rsid w:val="000E4BB6"/>
    <w:rsid w:val="000F2228"/>
    <w:rsid w:val="000F2F2F"/>
    <w:rsid w:val="000F40CF"/>
    <w:rsid w:val="000F42ED"/>
    <w:rsid w:val="000F459B"/>
    <w:rsid w:val="000F5CE3"/>
    <w:rsid w:val="00101420"/>
    <w:rsid w:val="00101CA6"/>
    <w:rsid w:val="00102B42"/>
    <w:rsid w:val="001039DE"/>
    <w:rsid w:val="00104276"/>
    <w:rsid w:val="001045D5"/>
    <w:rsid w:val="00104DFA"/>
    <w:rsid w:val="001050BB"/>
    <w:rsid w:val="00105B23"/>
    <w:rsid w:val="00107FB4"/>
    <w:rsid w:val="00111629"/>
    <w:rsid w:val="00116323"/>
    <w:rsid w:val="001164DC"/>
    <w:rsid w:val="0011733D"/>
    <w:rsid w:val="001216AC"/>
    <w:rsid w:val="00123688"/>
    <w:rsid w:val="00125099"/>
    <w:rsid w:val="00127213"/>
    <w:rsid w:val="001274D9"/>
    <w:rsid w:val="00131EB1"/>
    <w:rsid w:val="001323E9"/>
    <w:rsid w:val="0013424E"/>
    <w:rsid w:val="00136A24"/>
    <w:rsid w:val="00137207"/>
    <w:rsid w:val="001377C3"/>
    <w:rsid w:val="00137937"/>
    <w:rsid w:val="00141D56"/>
    <w:rsid w:val="00145E08"/>
    <w:rsid w:val="001478DB"/>
    <w:rsid w:val="00151D63"/>
    <w:rsid w:val="001525EE"/>
    <w:rsid w:val="0015285D"/>
    <w:rsid w:val="00152C19"/>
    <w:rsid w:val="001549A1"/>
    <w:rsid w:val="00155861"/>
    <w:rsid w:val="001570DA"/>
    <w:rsid w:val="001575C7"/>
    <w:rsid w:val="00160A40"/>
    <w:rsid w:val="00160E69"/>
    <w:rsid w:val="001611F8"/>
    <w:rsid w:val="0016169E"/>
    <w:rsid w:val="00163450"/>
    <w:rsid w:val="00165554"/>
    <w:rsid w:val="001706EF"/>
    <w:rsid w:val="00172C08"/>
    <w:rsid w:val="00175388"/>
    <w:rsid w:val="0017576D"/>
    <w:rsid w:val="001762F3"/>
    <w:rsid w:val="00191B7A"/>
    <w:rsid w:val="00191F34"/>
    <w:rsid w:val="00193FF4"/>
    <w:rsid w:val="001964E7"/>
    <w:rsid w:val="00196787"/>
    <w:rsid w:val="00197021"/>
    <w:rsid w:val="001A2DD5"/>
    <w:rsid w:val="001A6EEA"/>
    <w:rsid w:val="001B10BF"/>
    <w:rsid w:val="001B2B9D"/>
    <w:rsid w:val="001B6E0A"/>
    <w:rsid w:val="001B7DD0"/>
    <w:rsid w:val="001C093F"/>
    <w:rsid w:val="001C1EBA"/>
    <w:rsid w:val="001C4AC7"/>
    <w:rsid w:val="001D035A"/>
    <w:rsid w:val="001D3D55"/>
    <w:rsid w:val="001D3DE6"/>
    <w:rsid w:val="001D41C9"/>
    <w:rsid w:val="001D4BEC"/>
    <w:rsid w:val="001E03B2"/>
    <w:rsid w:val="001E0B8E"/>
    <w:rsid w:val="001E1068"/>
    <w:rsid w:val="001E2CDC"/>
    <w:rsid w:val="001E4F22"/>
    <w:rsid w:val="001E55D3"/>
    <w:rsid w:val="001E5706"/>
    <w:rsid w:val="001E6E13"/>
    <w:rsid w:val="001E79B0"/>
    <w:rsid w:val="001F0780"/>
    <w:rsid w:val="001F2695"/>
    <w:rsid w:val="001F36FA"/>
    <w:rsid w:val="001F419E"/>
    <w:rsid w:val="001F53D5"/>
    <w:rsid w:val="00200343"/>
    <w:rsid w:val="00200681"/>
    <w:rsid w:val="00202E9D"/>
    <w:rsid w:val="00210C13"/>
    <w:rsid w:val="00210C62"/>
    <w:rsid w:val="00212F97"/>
    <w:rsid w:val="002134A7"/>
    <w:rsid w:val="00215710"/>
    <w:rsid w:val="00220205"/>
    <w:rsid w:val="00221702"/>
    <w:rsid w:val="00222D4A"/>
    <w:rsid w:val="00225532"/>
    <w:rsid w:val="00230645"/>
    <w:rsid w:val="002329A5"/>
    <w:rsid w:val="00236084"/>
    <w:rsid w:val="00236854"/>
    <w:rsid w:val="00237BA5"/>
    <w:rsid w:val="002408F1"/>
    <w:rsid w:val="002410A7"/>
    <w:rsid w:val="002430FA"/>
    <w:rsid w:val="00247379"/>
    <w:rsid w:val="002528E6"/>
    <w:rsid w:val="00255650"/>
    <w:rsid w:val="00260D6A"/>
    <w:rsid w:val="0026324F"/>
    <w:rsid w:val="0026727D"/>
    <w:rsid w:val="002705F7"/>
    <w:rsid w:val="0027075D"/>
    <w:rsid w:val="00270845"/>
    <w:rsid w:val="00273D06"/>
    <w:rsid w:val="00275694"/>
    <w:rsid w:val="0027584E"/>
    <w:rsid w:val="00276EF5"/>
    <w:rsid w:val="00282A55"/>
    <w:rsid w:val="002847D7"/>
    <w:rsid w:val="00284E3F"/>
    <w:rsid w:val="00290B22"/>
    <w:rsid w:val="0029140A"/>
    <w:rsid w:val="002936A7"/>
    <w:rsid w:val="00294150"/>
    <w:rsid w:val="00296EA4"/>
    <w:rsid w:val="002A01FA"/>
    <w:rsid w:val="002A1A09"/>
    <w:rsid w:val="002A42ED"/>
    <w:rsid w:val="002A4959"/>
    <w:rsid w:val="002A5DFA"/>
    <w:rsid w:val="002A74DE"/>
    <w:rsid w:val="002B130B"/>
    <w:rsid w:val="002B1C92"/>
    <w:rsid w:val="002B6569"/>
    <w:rsid w:val="002B69F5"/>
    <w:rsid w:val="002B7D88"/>
    <w:rsid w:val="002C13A4"/>
    <w:rsid w:val="002C4CBB"/>
    <w:rsid w:val="002C4FDC"/>
    <w:rsid w:val="002C5018"/>
    <w:rsid w:val="002D26C7"/>
    <w:rsid w:val="002D461A"/>
    <w:rsid w:val="002D7C98"/>
    <w:rsid w:val="002E037A"/>
    <w:rsid w:val="002E0C44"/>
    <w:rsid w:val="002E102B"/>
    <w:rsid w:val="002E3675"/>
    <w:rsid w:val="002E6E40"/>
    <w:rsid w:val="002E7AE4"/>
    <w:rsid w:val="002F015F"/>
    <w:rsid w:val="002F031F"/>
    <w:rsid w:val="002F05DA"/>
    <w:rsid w:val="002F07F9"/>
    <w:rsid w:val="002F12C7"/>
    <w:rsid w:val="002F21F2"/>
    <w:rsid w:val="002F28F3"/>
    <w:rsid w:val="00300F0C"/>
    <w:rsid w:val="003012D4"/>
    <w:rsid w:val="0030215E"/>
    <w:rsid w:val="00304EFC"/>
    <w:rsid w:val="00306153"/>
    <w:rsid w:val="00307007"/>
    <w:rsid w:val="00307651"/>
    <w:rsid w:val="00307B77"/>
    <w:rsid w:val="00307B7A"/>
    <w:rsid w:val="003109B1"/>
    <w:rsid w:val="00311D08"/>
    <w:rsid w:val="003127C6"/>
    <w:rsid w:val="003142E0"/>
    <w:rsid w:val="00314B11"/>
    <w:rsid w:val="003152D3"/>
    <w:rsid w:val="003159C6"/>
    <w:rsid w:val="003176E7"/>
    <w:rsid w:val="00320A0E"/>
    <w:rsid w:val="0032263C"/>
    <w:rsid w:val="00325E5C"/>
    <w:rsid w:val="00330140"/>
    <w:rsid w:val="00333DB5"/>
    <w:rsid w:val="00336F78"/>
    <w:rsid w:val="00336FBC"/>
    <w:rsid w:val="00337C7E"/>
    <w:rsid w:val="00340128"/>
    <w:rsid w:val="003403C0"/>
    <w:rsid w:val="0034081B"/>
    <w:rsid w:val="00341231"/>
    <w:rsid w:val="00342B66"/>
    <w:rsid w:val="00347A33"/>
    <w:rsid w:val="00350D42"/>
    <w:rsid w:val="00351706"/>
    <w:rsid w:val="003523D4"/>
    <w:rsid w:val="00352EFE"/>
    <w:rsid w:val="003531F8"/>
    <w:rsid w:val="00353FE1"/>
    <w:rsid w:val="00354BAA"/>
    <w:rsid w:val="0035660B"/>
    <w:rsid w:val="0035676A"/>
    <w:rsid w:val="0035707C"/>
    <w:rsid w:val="00362721"/>
    <w:rsid w:val="00362DD5"/>
    <w:rsid w:val="003635A8"/>
    <w:rsid w:val="003656FF"/>
    <w:rsid w:val="003658F1"/>
    <w:rsid w:val="0036617D"/>
    <w:rsid w:val="00374300"/>
    <w:rsid w:val="00380D2F"/>
    <w:rsid w:val="003833AF"/>
    <w:rsid w:val="00383B8C"/>
    <w:rsid w:val="003848DF"/>
    <w:rsid w:val="0038529D"/>
    <w:rsid w:val="00385CCC"/>
    <w:rsid w:val="00386C11"/>
    <w:rsid w:val="003875E1"/>
    <w:rsid w:val="00387A5C"/>
    <w:rsid w:val="0039036A"/>
    <w:rsid w:val="00390DF3"/>
    <w:rsid w:val="00391FC5"/>
    <w:rsid w:val="0039254F"/>
    <w:rsid w:val="00393324"/>
    <w:rsid w:val="00395DDA"/>
    <w:rsid w:val="003962DF"/>
    <w:rsid w:val="00397290"/>
    <w:rsid w:val="003A19DF"/>
    <w:rsid w:val="003A4FCB"/>
    <w:rsid w:val="003A6664"/>
    <w:rsid w:val="003A6D01"/>
    <w:rsid w:val="003A7009"/>
    <w:rsid w:val="003A706B"/>
    <w:rsid w:val="003A73DA"/>
    <w:rsid w:val="003B0576"/>
    <w:rsid w:val="003B09A0"/>
    <w:rsid w:val="003B0DD3"/>
    <w:rsid w:val="003B0FDF"/>
    <w:rsid w:val="003B1A51"/>
    <w:rsid w:val="003B2441"/>
    <w:rsid w:val="003B7C1F"/>
    <w:rsid w:val="003B7C73"/>
    <w:rsid w:val="003C2A7A"/>
    <w:rsid w:val="003C3520"/>
    <w:rsid w:val="003C7980"/>
    <w:rsid w:val="003C79ED"/>
    <w:rsid w:val="003D2659"/>
    <w:rsid w:val="003D57DC"/>
    <w:rsid w:val="003D77EC"/>
    <w:rsid w:val="003D7A56"/>
    <w:rsid w:val="003E0FDB"/>
    <w:rsid w:val="003E3F98"/>
    <w:rsid w:val="003E548B"/>
    <w:rsid w:val="003E5AA6"/>
    <w:rsid w:val="003E74F0"/>
    <w:rsid w:val="003F42EA"/>
    <w:rsid w:val="003F58D2"/>
    <w:rsid w:val="003F6911"/>
    <w:rsid w:val="00401E63"/>
    <w:rsid w:val="00402A37"/>
    <w:rsid w:val="00403F83"/>
    <w:rsid w:val="0040485A"/>
    <w:rsid w:val="00405198"/>
    <w:rsid w:val="00406C8F"/>
    <w:rsid w:val="00407B49"/>
    <w:rsid w:val="004111A1"/>
    <w:rsid w:val="004118BB"/>
    <w:rsid w:val="004133CF"/>
    <w:rsid w:val="00415DB2"/>
    <w:rsid w:val="004163F2"/>
    <w:rsid w:val="0041657E"/>
    <w:rsid w:val="00416A03"/>
    <w:rsid w:val="004208C1"/>
    <w:rsid w:val="00420946"/>
    <w:rsid w:val="00421B02"/>
    <w:rsid w:val="00426BE2"/>
    <w:rsid w:val="00430DD4"/>
    <w:rsid w:val="00432CC6"/>
    <w:rsid w:val="00433C40"/>
    <w:rsid w:val="00433D68"/>
    <w:rsid w:val="004346AF"/>
    <w:rsid w:val="004401F8"/>
    <w:rsid w:val="00442A81"/>
    <w:rsid w:val="0044315C"/>
    <w:rsid w:val="004460EB"/>
    <w:rsid w:val="004469FE"/>
    <w:rsid w:val="004470AB"/>
    <w:rsid w:val="00447BF3"/>
    <w:rsid w:val="00451163"/>
    <w:rsid w:val="00452ED9"/>
    <w:rsid w:val="00453938"/>
    <w:rsid w:val="00453C3D"/>
    <w:rsid w:val="00453D2B"/>
    <w:rsid w:val="00455685"/>
    <w:rsid w:val="00460707"/>
    <w:rsid w:val="004608C2"/>
    <w:rsid w:val="00461C0F"/>
    <w:rsid w:val="00463E56"/>
    <w:rsid w:val="00467B46"/>
    <w:rsid w:val="00467E4B"/>
    <w:rsid w:val="0047078F"/>
    <w:rsid w:val="00470974"/>
    <w:rsid w:val="004718A2"/>
    <w:rsid w:val="00472804"/>
    <w:rsid w:val="004821E8"/>
    <w:rsid w:val="004826D9"/>
    <w:rsid w:val="00483336"/>
    <w:rsid w:val="004836AE"/>
    <w:rsid w:val="00492EF3"/>
    <w:rsid w:val="00493DFF"/>
    <w:rsid w:val="0049433C"/>
    <w:rsid w:val="00494709"/>
    <w:rsid w:val="0049651E"/>
    <w:rsid w:val="004A2A1E"/>
    <w:rsid w:val="004A552C"/>
    <w:rsid w:val="004A6A3D"/>
    <w:rsid w:val="004A7945"/>
    <w:rsid w:val="004B0812"/>
    <w:rsid w:val="004B0EE0"/>
    <w:rsid w:val="004B3F6F"/>
    <w:rsid w:val="004C21CF"/>
    <w:rsid w:val="004C2609"/>
    <w:rsid w:val="004C3AB9"/>
    <w:rsid w:val="004C5A98"/>
    <w:rsid w:val="004C5FE9"/>
    <w:rsid w:val="004C78BE"/>
    <w:rsid w:val="004D0DBF"/>
    <w:rsid w:val="004D292D"/>
    <w:rsid w:val="004D2D17"/>
    <w:rsid w:val="004D358A"/>
    <w:rsid w:val="004E0E8C"/>
    <w:rsid w:val="004E1F26"/>
    <w:rsid w:val="004E2941"/>
    <w:rsid w:val="004E2949"/>
    <w:rsid w:val="004E2ACD"/>
    <w:rsid w:val="004E4682"/>
    <w:rsid w:val="004E4AEF"/>
    <w:rsid w:val="004F0B7C"/>
    <w:rsid w:val="004F1220"/>
    <w:rsid w:val="004F180B"/>
    <w:rsid w:val="004F7288"/>
    <w:rsid w:val="004F76A3"/>
    <w:rsid w:val="00505C72"/>
    <w:rsid w:val="005105DA"/>
    <w:rsid w:val="005132F9"/>
    <w:rsid w:val="00513998"/>
    <w:rsid w:val="0051428A"/>
    <w:rsid w:val="005149C4"/>
    <w:rsid w:val="00522EA4"/>
    <w:rsid w:val="005238B2"/>
    <w:rsid w:val="00527245"/>
    <w:rsid w:val="0053200B"/>
    <w:rsid w:val="005321F2"/>
    <w:rsid w:val="00532301"/>
    <w:rsid w:val="005329D5"/>
    <w:rsid w:val="00532DEA"/>
    <w:rsid w:val="00532E58"/>
    <w:rsid w:val="005330BB"/>
    <w:rsid w:val="00533CEE"/>
    <w:rsid w:val="0053789F"/>
    <w:rsid w:val="005427D2"/>
    <w:rsid w:val="00542BA7"/>
    <w:rsid w:val="00542C55"/>
    <w:rsid w:val="00543388"/>
    <w:rsid w:val="005434B5"/>
    <w:rsid w:val="00543A86"/>
    <w:rsid w:val="00543CB7"/>
    <w:rsid w:val="00544E58"/>
    <w:rsid w:val="00545A3B"/>
    <w:rsid w:val="0054734A"/>
    <w:rsid w:val="00547DEB"/>
    <w:rsid w:val="00547F0F"/>
    <w:rsid w:val="00550829"/>
    <w:rsid w:val="00552B62"/>
    <w:rsid w:val="00552E0B"/>
    <w:rsid w:val="00555A66"/>
    <w:rsid w:val="005563DB"/>
    <w:rsid w:val="005622AA"/>
    <w:rsid w:val="00566D3F"/>
    <w:rsid w:val="00567631"/>
    <w:rsid w:val="00571039"/>
    <w:rsid w:val="005722B4"/>
    <w:rsid w:val="0057255A"/>
    <w:rsid w:val="00574995"/>
    <w:rsid w:val="005755DA"/>
    <w:rsid w:val="00577DE5"/>
    <w:rsid w:val="005827EE"/>
    <w:rsid w:val="0058388B"/>
    <w:rsid w:val="00585E1C"/>
    <w:rsid w:val="005861C0"/>
    <w:rsid w:val="005865D8"/>
    <w:rsid w:val="00586F15"/>
    <w:rsid w:val="00587176"/>
    <w:rsid w:val="0058726F"/>
    <w:rsid w:val="00587790"/>
    <w:rsid w:val="00587E3F"/>
    <w:rsid w:val="0059033C"/>
    <w:rsid w:val="00590487"/>
    <w:rsid w:val="00590BE3"/>
    <w:rsid w:val="0059370A"/>
    <w:rsid w:val="0059494B"/>
    <w:rsid w:val="00594A7D"/>
    <w:rsid w:val="005955E7"/>
    <w:rsid w:val="0059561A"/>
    <w:rsid w:val="0059678C"/>
    <w:rsid w:val="005972B8"/>
    <w:rsid w:val="005A193D"/>
    <w:rsid w:val="005A2182"/>
    <w:rsid w:val="005A297A"/>
    <w:rsid w:val="005A34E9"/>
    <w:rsid w:val="005A5007"/>
    <w:rsid w:val="005B10C0"/>
    <w:rsid w:val="005B1459"/>
    <w:rsid w:val="005B1E62"/>
    <w:rsid w:val="005B2EE9"/>
    <w:rsid w:val="005B3B11"/>
    <w:rsid w:val="005C042E"/>
    <w:rsid w:val="005C0B2C"/>
    <w:rsid w:val="005C293D"/>
    <w:rsid w:val="005C373A"/>
    <w:rsid w:val="005C3C18"/>
    <w:rsid w:val="005C44CC"/>
    <w:rsid w:val="005C44E5"/>
    <w:rsid w:val="005C56C0"/>
    <w:rsid w:val="005C5F29"/>
    <w:rsid w:val="005D09D5"/>
    <w:rsid w:val="005D12C4"/>
    <w:rsid w:val="005E1FFB"/>
    <w:rsid w:val="005E216E"/>
    <w:rsid w:val="005F0967"/>
    <w:rsid w:val="005F47F3"/>
    <w:rsid w:val="005F5C36"/>
    <w:rsid w:val="00604ACD"/>
    <w:rsid w:val="00604E59"/>
    <w:rsid w:val="00610119"/>
    <w:rsid w:val="006232E2"/>
    <w:rsid w:val="00624AE9"/>
    <w:rsid w:val="0062576A"/>
    <w:rsid w:val="00625CCA"/>
    <w:rsid w:val="00626C6E"/>
    <w:rsid w:val="00630B96"/>
    <w:rsid w:val="00631805"/>
    <w:rsid w:val="006318BC"/>
    <w:rsid w:val="006345BA"/>
    <w:rsid w:val="0063492D"/>
    <w:rsid w:val="00634C0F"/>
    <w:rsid w:val="006374B0"/>
    <w:rsid w:val="00637DDB"/>
    <w:rsid w:val="00641591"/>
    <w:rsid w:val="006417FA"/>
    <w:rsid w:val="0064196E"/>
    <w:rsid w:val="006425F6"/>
    <w:rsid w:val="00644D31"/>
    <w:rsid w:val="006511A4"/>
    <w:rsid w:val="00651681"/>
    <w:rsid w:val="00653EC6"/>
    <w:rsid w:val="0065457A"/>
    <w:rsid w:val="00656DFB"/>
    <w:rsid w:val="00661527"/>
    <w:rsid w:val="00661967"/>
    <w:rsid w:val="006623E4"/>
    <w:rsid w:val="00662EE6"/>
    <w:rsid w:val="00664EC3"/>
    <w:rsid w:val="00665045"/>
    <w:rsid w:val="006653B0"/>
    <w:rsid w:val="006661C3"/>
    <w:rsid w:val="00666B6A"/>
    <w:rsid w:val="00672D4B"/>
    <w:rsid w:val="00681AF0"/>
    <w:rsid w:val="00682A20"/>
    <w:rsid w:val="00686472"/>
    <w:rsid w:val="00687C80"/>
    <w:rsid w:val="00687D49"/>
    <w:rsid w:val="00690823"/>
    <w:rsid w:val="006914A0"/>
    <w:rsid w:val="0069312E"/>
    <w:rsid w:val="00695F5F"/>
    <w:rsid w:val="006966CF"/>
    <w:rsid w:val="00696754"/>
    <w:rsid w:val="006A0F9A"/>
    <w:rsid w:val="006A4479"/>
    <w:rsid w:val="006A4C63"/>
    <w:rsid w:val="006A648B"/>
    <w:rsid w:val="006A6A6E"/>
    <w:rsid w:val="006B2BD5"/>
    <w:rsid w:val="006B3CAF"/>
    <w:rsid w:val="006B4060"/>
    <w:rsid w:val="006B5AA5"/>
    <w:rsid w:val="006B6DCA"/>
    <w:rsid w:val="006B74F4"/>
    <w:rsid w:val="006C2E2C"/>
    <w:rsid w:val="006C4884"/>
    <w:rsid w:val="006C68A4"/>
    <w:rsid w:val="006C780C"/>
    <w:rsid w:val="006D1CB5"/>
    <w:rsid w:val="006D342D"/>
    <w:rsid w:val="006D34A2"/>
    <w:rsid w:val="006D3DE5"/>
    <w:rsid w:val="006D4419"/>
    <w:rsid w:val="006D4F0C"/>
    <w:rsid w:val="006D62DA"/>
    <w:rsid w:val="006D6EAE"/>
    <w:rsid w:val="006D7A03"/>
    <w:rsid w:val="006D7E63"/>
    <w:rsid w:val="006E214C"/>
    <w:rsid w:val="006E2A7F"/>
    <w:rsid w:val="006E35D9"/>
    <w:rsid w:val="006E374C"/>
    <w:rsid w:val="006E5864"/>
    <w:rsid w:val="006F0F59"/>
    <w:rsid w:val="006F1D43"/>
    <w:rsid w:val="006F2768"/>
    <w:rsid w:val="006F4AA9"/>
    <w:rsid w:val="007013C6"/>
    <w:rsid w:val="00702443"/>
    <w:rsid w:val="0070530C"/>
    <w:rsid w:val="00706217"/>
    <w:rsid w:val="00713A9B"/>
    <w:rsid w:val="007144BD"/>
    <w:rsid w:val="00714C33"/>
    <w:rsid w:val="00716558"/>
    <w:rsid w:val="00720446"/>
    <w:rsid w:val="00720F66"/>
    <w:rsid w:val="0072285A"/>
    <w:rsid w:val="0072586B"/>
    <w:rsid w:val="00727055"/>
    <w:rsid w:val="007316B8"/>
    <w:rsid w:val="007319CC"/>
    <w:rsid w:val="007365A9"/>
    <w:rsid w:val="00736877"/>
    <w:rsid w:val="007369B7"/>
    <w:rsid w:val="00737A4B"/>
    <w:rsid w:val="00740FDF"/>
    <w:rsid w:val="00742EF4"/>
    <w:rsid w:val="0074678B"/>
    <w:rsid w:val="00746F15"/>
    <w:rsid w:val="00750A88"/>
    <w:rsid w:val="00751696"/>
    <w:rsid w:val="00751801"/>
    <w:rsid w:val="00752D4A"/>
    <w:rsid w:val="0075357B"/>
    <w:rsid w:val="00756999"/>
    <w:rsid w:val="007609F8"/>
    <w:rsid w:val="007628DE"/>
    <w:rsid w:val="00762A96"/>
    <w:rsid w:val="00762E1A"/>
    <w:rsid w:val="00763332"/>
    <w:rsid w:val="0076396B"/>
    <w:rsid w:val="00766F54"/>
    <w:rsid w:val="00767FA2"/>
    <w:rsid w:val="007720C3"/>
    <w:rsid w:val="00772657"/>
    <w:rsid w:val="007741A0"/>
    <w:rsid w:val="00774C16"/>
    <w:rsid w:val="00775091"/>
    <w:rsid w:val="00775263"/>
    <w:rsid w:val="00776C19"/>
    <w:rsid w:val="00776D96"/>
    <w:rsid w:val="007772A1"/>
    <w:rsid w:val="007777E4"/>
    <w:rsid w:val="00780D0A"/>
    <w:rsid w:val="00781FCB"/>
    <w:rsid w:val="007832C2"/>
    <w:rsid w:val="0078338C"/>
    <w:rsid w:val="00787DC8"/>
    <w:rsid w:val="00790331"/>
    <w:rsid w:val="007949C2"/>
    <w:rsid w:val="00794A22"/>
    <w:rsid w:val="00795B3F"/>
    <w:rsid w:val="007A0E0D"/>
    <w:rsid w:val="007A2240"/>
    <w:rsid w:val="007A66E3"/>
    <w:rsid w:val="007A6A11"/>
    <w:rsid w:val="007A6C5B"/>
    <w:rsid w:val="007A7CDD"/>
    <w:rsid w:val="007A7FED"/>
    <w:rsid w:val="007B0BAD"/>
    <w:rsid w:val="007B38E7"/>
    <w:rsid w:val="007B7D6B"/>
    <w:rsid w:val="007C03AF"/>
    <w:rsid w:val="007C069D"/>
    <w:rsid w:val="007C7E66"/>
    <w:rsid w:val="007D2437"/>
    <w:rsid w:val="007D3C58"/>
    <w:rsid w:val="007D58A2"/>
    <w:rsid w:val="007D7FE8"/>
    <w:rsid w:val="007E13E8"/>
    <w:rsid w:val="007E6A1F"/>
    <w:rsid w:val="007E6CF0"/>
    <w:rsid w:val="007E7912"/>
    <w:rsid w:val="007F00E1"/>
    <w:rsid w:val="007F048D"/>
    <w:rsid w:val="007F1DBF"/>
    <w:rsid w:val="007F1FBE"/>
    <w:rsid w:val="007F3CBB"/>
    <w:rsid w:val="007F4149"/>
    <w:rsid w:val="007F4386"/>
    <w:rsid w:val="007F47E8"/>
    <w:rsid w:val="007F59D8"/>
    <w:rsid w:val="00804695"/>
    <w:rsid w:val="00805C6A"/>
    <w:rsid w:val="00805E8D"/>
    <w:rsid w:val="00806136"/>
    <w:rsid w:val="008126C1"/>
    <w:rsid w:val="00814195"/>
    <w:rsid w:val="008174C1"/>
    <w:rsid w:val="0081759D"/>
    <w:rsid w:val="00820EF6"/>
    <w:rsid w:val="00820F22"/>
    <w:rsid w:val="00821D11"/>
    <w:rsid w:val="0082377B"/>
    <w:rsid w:val="00823E43"/>
    <w:rsid w:val="008245E5"/>
    <w:rsid w:val="008257DC"/>
    <w:rsid w:val="0082585B"/>
    <w:rsid w:val="00831E6A"/>
    <w:rsid w:val="008320C7"/>
    <w:rsid w:val="00836803"/>
    <w:rsid w:val="008375A7"/>
    <w:rsid w:val="00837A14"/>
    <w:rsid w:val="00843AC2"/>
    <w:rsid w:val="0085088E"/>
    <w:rsid w:val="00851251"/>
    <w:rsid w:val="0085272B"/>
    <w:rsid w:val="00852EBE"/>
    <w:rsid w:val="008549F8"/>
    <w:rsid w:val="00855E93"/>
    <w:rsid w:val="008564D7"/>
    <w:rsid w:val="00860FC4"/>
    <w:rsid w:val="008627B3"/>
    <w:rsid w:val="008644BA"/>
    <w:rsid w:val="00864E2D"/>
    <w:rsid w:val="00867F1E"/>
    <w:rsid w:val="00875C57"/>
    <w:rsid w:val="0087797D"/>
    <w:rsid w:val="00877F06"/>
    <w:rsid w:val="00880CD1"/>
    <w:rsid w:val="00886206"/>
    <w:rsid w:val="008903CC"/>
    <w:rsid w:val="00890963"/>
    <w:rsid w:val="008915D5"/>
    <w:rsid w:val="00893550"/>
    <w:rsid w:val="00893A65"/>
    <w:rsid w:val="0089521E"/>
    <w:rsid w:val="00896DF8"/>
    <w:rsid w:val="008A04E1"/>
    <w:rsid w:val="008A53DB"/>
    <w:rsid w:val="008A7F97"/>
    <w:rsid w:val="008B0194"/>
    <w:rsid w:val="008B17C7"/>
    <w:rsid w:val="008B1960"/>
    <w:rsid w:val="008B4114"/>
    <w:rsid w:val="008B41BA"/>
    <w:rsid w:val="008B6217"/>
    <w:rsid w:val="008C0EDC"/>
    <w:rsid w:val="008C15E7"/>
    <w:rsid w:val="008C3644"/>
    <w:rsid w:val="008C5552"/>
    <w:rsid w:val="008D23AD"/>
    <w:rsid w:val="008D2C15"/>
    <w:rsid w:val="008D4A77"/>
    <w:rsid w:val="008D517B"/>
    <w:rsid w:val="008D6D1B"/>
    <w:rsid w:val="008E52A9"/>
    <w:rsid w:val="008E5CC6"/>
    <w:rsid w:val="008E6067"/>
    <w:rsid w:val="008F198D"/>
    <w:rsid w:val="008F330D"/>
    <w:rsid w:val="008F625E"/>
    <w:rsid w:val="009025DE"/>
    <w:rsid w:val="009035B7"/>
    <w:rsid w:val="00910103"/>
    <w:rsid w:val="0091095F"/>
    <w:rsid w:val="00913DCE"/>
    <w:rsid w:val="00914143"/>
    <w:rsid w:val="0091746B"/>
    <w:rsid w:val="009225B7"/>
    <w:rsid w:val="00926CC3"/>
    <w:rsid w:val="00930F9E"/>
    <w:rsid w:val="009319A8"/>
    <w:rsid w:val="00931DD0"/>
    <w:rsid w:val="0093327B"/>
    <w:rsid w:val="009334EE"/>
    <w:rsid w:val="00933E83"/>
    <w:rsid w:val="009352C6"/>
    <w:rsid w:val="009418BB"/>
    <w:rsid w:val="009448B1"/>
    <w:rsid w:val="00945A83"/>
    <w:rsid w:val="00946FE8"/>
    <w:rsid w:val="00947C41"/>
    <w:rsid w:val="009510AF"/>
    <w:rsid w:val="00954A54"/>
    <w:rsid w:val="00956250"/>
    <w:rsid w:val="0095678C"/>
    <w:rsid w:val="00957160"/>
    <w:rsid w:val="0095740C"/>
    <w:rsid w:val="00957F63"/>
    <w:rsid w:val="009601FD"/>
    <w:rsid w:val="009606EC"/>
    <w:rsid w:val="00961141"/>
    <w:rsid w:val="009613A7"/>
    <w:rsid w:val="009614BB"/>
    <w:rsid w:val="009634EE"/>
    <w:rsid w:val="00964DE7"/>
    <w:rsid w:val="00970252"/>
    <w:rsid w:val="0097179A"/>
    <w:rsid w:val="00971CB7"/>
    <w:rsid w:val="00971F3D"/>
    <w:rsid w:val="0097244E"/>
    <w:rsid w:val="009731AB"/>
    <w:rsid w:val="00973C27"/>
    <w:rsid w:val="009745DC"/>
    <w:rsid w:val="009772B9"/>
    <w:rsid w:val="00980824"/>
    <w:rsid w:val="0098102D"/>
    <w:rsid w:val="00984EF6"/>
    <w:rsid w:val="00986CBA"/>
    <w:rsid w:val="00987753"/>
    <w:rsid w:val="00987ED5"/>
    <w:rsid w:val="00992990"/>
    <w:rsid w:val="00993146"/>
    <w:rsid w:val="00993ED4"/>
    <w:rsid w:val="00996836"/>
    <w:rsid w:val="00997521"/>
    <w:rsid w:val="009A0C6F"/>
    <w:rsid w:val="009A1A87"/>
    <w:rsid w:val="009A22C4"/>
    <w:rsid w:val="009A41D4"/>
    <w:rsid w:val="009A5D49"/>
    <w:rsid w:val="009B272A"/>
    <w:rsid w:val="009B434E"/>
    <w:rsid w:val="009B515F"/>
    <w:rsid w:val="009B6B77"/>
    <w:rsid w:val="009B7EE4"/>
    <w:rsid w:val="009C0613"/>
    <w:rsid w:val="009C2FA1"/>
    <w:rsid w:val="009C3985"/>
    <w:rsid w:val="009C4F3D"/>
    <w:rsid w:val="009C6BE1"/>
    <w:rsid w:val="009D10BB"/>
    <w:rsid w:val="009D1F38"/>
    <w:rsid w:val="009D5A9B"/>
    <w:rsid w:val="009E25D9"/>
    <w:rsid w:val="009E29FD"/>
    <w:rsid w:val="009E47F9"/>
    <w:rsid w:val="009E5D55"/>
    <w:rsid w:val="009E65A7"/>
    <w:rsid w:val="009F239D"/>
    <w:rsid w:val="009F3A5C"/>
    <w:rsid w:val="009F3DCA"/>
    <w:rsid w:val="009F48EE"/>
    <w:rsid w:val="009F596B"/>
    <w:rsid w:val="009F741D"/>
    <w:rsid w:val="00A00310"/>
    <w:rsid w:val="00A017AA"/>
    <w:rsid w:val="00A02720"/>
    <w:rsid w:val="00A04395"/>
    <w:rsid w:val="00A060DA"/>
    <w:rsid w:val="00A20905"/>
    <w:rsid w:val="00A22840"/>
    <w:rsid w:val="00A229C3"/>
    <w:rsid w:val="00A23937"/>
    <w:rsid w:val="00A261FF"/>
    <w:rsid w:val="00A26E04"/>
    <w:rsid w:val="00A27C1E"/>
    <w:rsid w:val="00A3029D"/>
    <w:rsid w:val="00A35165"/>
    <w:rsid w:val="00A35FB3"/>
    <w:rsid w:val="00A365BE"/>
    <w:rsid w:val="00A44740"/>
    <w:rsid w:val="00A47719"/>
    <w:rsid w:val="00A47935"/>
    <w:rsid w:val="00A5235E"/>
    <w:rsid w:val="00A52F3A"/>
    <w:rsid w:val="00A54370"/>
    <w:rsid w:val="00A5586D"/>
    <w:rsid w:val="00A62DD6"/>
    <w:rsid w:val="00A63F99"/>
    <w:rsid w:val="00A67048"/>
    <w:rsid w:val="00A711F6"/>
    <w:rsid w:val="00A72576"/>
    <w:rsid w:val="00A7365C"/>
    <w:rsid w:val="00A7573A"/>
    <w:rsid w:val="00A81965"/>
    <w:rsid w:val="00A81F5A"/>
    <w:rsid w:val="00A83882"/>
    <w:rsid w:val="00A85369"/>
    <w:rsid w:val="00A85B6A"/>
    <w:rsid w:val="00A86C53"/>
    <w:rsid w:val="00A87B86"/>
    <w:rsid w:val="00A92605"/>
    <w:rsid w:val="00A94241"/>
    <w:rsid w:val="00A95FD5"/>
    <w:rsid w:val="00A9693C"/>
    <w:rsid w:val="00A972DF"/>
    <w:rsid w:val="00AA18C1"/>
    <w:rsid w:val="00AB08E0"/>
    <w:rsid w:val="00AB0A97"/>
    <w:rsid w:val="00AB1305"/>
    <w:rsid w:val="00AB1446"/>
    <w:rsid w:val="00AB2739"/>
    <w:rsid w:val="00AB38BF"/>
    <w:rsid w:val="00AB4D35"/>
    <w:rsid w:val="00AB63D2"/>
    <w:rsid w:val="00AB6905"/>
    <w:rsid w:val="00AB69EC"/>
    <w:rsid w:val="00AB7997"/>
    <w:rsid w:val="00AC04ED"/>
    <w:rsid w:val="00AC0C2C"/>
    <w:rsid w:val="00AC138B"/>
    <w:rsid w:val="00AC492D"/>
    <w:rsid w:val="00AC6C70"/>
    <w:rsid w:val="00AC6E38"/>
    <w:rsid w:val="00AD080A"/>
    <w:rsid w:val="00AD292D"/>
    <w:rsid w:val="00AD3790"/>
    <w:rsid w:val="00AD5822"/>
    <w:rsid w:val="00AD58FF"/>
    <w:rsid w:val="00AD6162"/>
    <w:rsid w:val="00AD66B2"/>
    <w:rsid w:val="00AE2282"/>
    <w:rsid w:val="00AE2DEA"/>
    <w:rsid w:val="00AE2FD6"/>
    <w:rsid w:val="00AE3DC1"/>
    <w:rsid w:val="00AE43D3"/>
    <w:rsid w:val="00AE6B3A"/>
    <w:rsid w:val="00AF0604"/>
    <w:rsid w:val="00AF0ED7"/>
    <w:rsid w:val="00AF6008"/>
    <w:rsid w:val="00B0111A"/>
    <w:rsid w:val="00B012B7"/>
    <w:rsid w:val="00B017B6"/>
    <w:rsid w:val="00B02EB1"/>
    <w:rsid w:val="00B05EC9"/>
    <w:rsid w:val="00B06721"/>
    <w:rsid w:val="00B0680C"/>
    <w:rsid w:val="00B115DF"/>
    <w:rsid w:val="00B11D18"/>
    <w:rsid w:val="00B142EA"/>
    <w:rsid w:val="00B14429"/>
    <w:rsid w:val="00B1458F"/>
    <w:rsid w:val="00B14DAE"/>
    <w:rsid w:val="00B200DC"/>
    <w:rsid w:val="00B23928"/>
    <w:rsid w:val="00B27CFD"/>
    <w:rsid w:val="00B27EBD"/>
    <w:rsid w:val="00B33D61"/>
    <w:rsid w:val="00B342AC"/>
    <w:rsid w:val="00B3535F"/>
    <w:rsid w:val="00B357AD"/>
    <w:rsid w:val="00B3739D"/>
    <w:rsid w:val="00B37670"/>
    <w:rsid w:val="00B37C49"/>
    <w:rsid w:val="00B4119C"/>
    <w:rsid w:val="00B412D4"/>
    <w:rsid w:val="00B42E6F"/>
    <w:rsid w:val="00B45A40"/>
    <w:rsid w:val="00B46DC8"/>
    <w:rsid w:val="00B46EE3"/>
    <w:rsid w:val="00B56CAB"/>
    <w:rsid w:val="00B57C8C"/>
    <w:rsid w:val="00B62B8E"/>
    <w:rsid w:val="00B62FC6"/>
    <w:rsid w:val="00B632EA"/>
    <w:rsid w:val="00B632EE"/>
    <w:rsid w:val="00B6419F"/>
    <w:rsid w:val="00B66725"/>
    <w:rsid w:val="00B70075"/>
    <w:rsid w:val="00B71975"/>
    <w:rsid w:val="00B71FDA"/>
    <w:rsid w:val="00B731C2"/>
    <w:rsid w:val="00B731FC"/>
    <w:rsid w:val="00B755FD"/>
    <w:rsid w:val="00B77491"/>
    <w:rsid w:val="00B8054C"/>
    <w:rsid w:val="00B82F91"/>
    <w:rsid w:val="00B83184"/>
    <w:rsid w:val="00B84620"/>
    <w:rsid w:val="00B910E5"/>
    <w:rsid w:val="00B951B7"/>
    <w:rsid w:val="00BA1E08"/>
    <w:rsid w:val="00BA2B36"/>
    <w:rsid w:val="00BA5E17"/>
    <w:rsid w:val="00BA674F"/>
    <w:rsid w:val="00BA690C"/>
    <w:rsid w:val="00BA6D51"/>
    <w:rsid w:val="00BB01BD"/>
    <w:rsid w:val="00BB39B6"/>
    <w:rsid w:val="00BB6145"/>
    <w:rsid w:val="00BB6619"/>
    <w:rsid w:val="00BB69D4"/>
    <w:rsid w:val="00BC0038"/>
    <w:rsid w:val="00BC12C3"/>
    <w:rsid w:val="00BC6DF6"/>
    <w:rsid w:val="00BC7AE7"/>
    <w:rsid w:val="00BD2727"/>
    <w:rsid w:val="00BD2DC2"/>
    <w:rsid w:val="00BD2E34"/>
    <w:rsid w:val="00BD2E3A"/>
    <w:rsid w:val="00BD4860"/>
    <w:rsid w:val="00BD52EA"/>
    <w:rsid w:val="00BD6F2B"/>
    <w:rsid w:val="00BE27BA"/>
    <w:rsid w:val="00BE2AD1"/>
    <w:rsid w:val="00BE4861"/>
    <w:rsid w:val="00BE4E45"/>
    <w:rsid w:val="00BE74EA"/>
    <w:rsid w:val="00BF2541"/>
    <w:rsid w:val="00BF317E"/>
    <w:rsid w:val="00BF3606"/>
    <w:rsid w:val="00BF57E4"/>
    <w:rsid w:val="00BF5A7E"/>
    <w:rsid w:val="00BF5D38"/>
    <w:rsid w:val="00BF644A"/>
    <w:rsid w:val="00C02CF9"/>
    <w:rsid w:val="00C06D94"/>
    <w:rsid w:val="00C11AAA"/>
    <w:rsid w:val="00C14602"/>
    <w:rsid w:val="00C153A3"/>
    <w:rsid w:val="00C15B7F"/>
    <w:rsid w:val="00C174DE"/>
    <w:rsid w:val="00C21E3C"/>
    <w:rsid w:val="00C22B95"/>
    <w:rsid w:val="00C2404D"/>
    <w:rsid w:val="00C251DA"/>
    <w:rsid w:val="00C26879"/>
    <w:rsid w:val="00C270E6"/>
    <w:rsid w:val="00C279FE"/>
    <w:rsid w:val="00C30D32"/>
    <w:rsid w:val="00C31ACF"/>
    <w:rsid w:val="00C3262E"/>
    <w:rsid w:val="00C35093"/>
    <w:rsid w:val="00C42BE4"/>
    <w:rsid w:val="00C441F0"/>
    <w:rsid w:val="00C44AA0"/>
    <w:rsid w:val="00C4620B"/>
    <w:rsid w:val="00C46A6B"/>
    <w:rsid w:val="00C47A96"/>
    <w:rsid w:val="00C521B7"/>
    <w:rsid w:val="00C53EE4"/>
    <w:rsid w:val="00C5464D"/>
    <w:rsid w:val="00C556DE"/>
    <w:rsid w:val="00C57A37"/>
    <w:rsid w:val="00C616CA"/>
    <w:rsid w:val="00C64B73"/>
    <w:rsid w:val="00C6759B"/>
    <w:rsid w:val="00C74F73"/>
    <w:rsid w:val="00C755A6"/>
    <w:rsid w:val="00C765D6"/>
    <w:rsid w:val="00C7721B"/>
    <w:rsid w:val="00C80072"/>
    <w:rsid w:val="00C8021D"/>
    <w:rsid w:val="00C81893"/>
    <w:rsid w:val="00C821C1"/>
    <w:rsid w:val="00C85630"/>
    <w:rsid w:val="00C90CEE"/>
    <w:rsid w:val="00C93017"/>
    <w:rsid w:val="00C95936"/>
    <w:rsid w:val="00CA2BC6"/>
    <w:rsid w:val="00CA77CD"/>
    <w:rsid w:val="00CB10B6"/>
    <w:rsid w:val="00CB4128"/>
    <w:rsid w:val="00CB523D"/>
    <w:rsid w:val="00CB55C9"/>
    <w:rsid w:val="00CB5813"/>
    <w:rsid w:val="00CB6445"/>
    <w:rsid w:val="00CC108F"/>
    <w:rsid w:val="00CC13BE"/>
    <w:rsid w:val="00CC1505"/>
    <w:rsid w:val="00CC29E0"/>
    <w:rsid w:val="00CC4ED0"/>
    <w:rsid w:val="00CD1466"/>
    <w:rsid w:val="00CD22F2"/>
    <w:rsid w:val="00CD5418"/>
    <w:rsid w:val="00CD6440"/>
    <w:rsid w:val="00CD71DF"/>
    <w:rsid w:val="00CE1029"/>
    <w:rsid w:val="00CE5395"/>
    <w:rsid w:val="00CF1F35"/>
    <w:rsid w:val="00CF4E50"/>
    <w:rsid w:val="00CF56B8"/>
    <w:rsid w:val="00CF7AB4"/>
    <w:rsid w:val="00D00766"/>
    <w:rsid w:val="00D03BCA"/>
    <w:rsid w:val="00D11C1F"/>
    <w:rsid w:val="00D142DE"/>
    <w:rsid w:val="00D14C80"/>
    <w:rsid w:val="00D14F9C"/>
    <w:rsid w:val="00D151D6"/>
    <w:rsid w:val="00D164D1"/>
    <w:rsid w:val="00D20E31"/>
    <w:rsid w:val="00D211DD"/>
    <w:rsid w:val="00D2193E"/>
    <w:rsid w:val="00D21F3A"/>
    <w:rsid w:val="00D22215"/>
    <w:rsid w:val="00D25BFC"/>
    <w:rsid w:val="00D25E86"/>
    <w:rsid w:val="00D2698C"/>
    <w:rsid w:val="00D327C2"/>
    <w:rsid w:val="00D330C1"/>
    <w:rsid w:val="00D34218"/>
    <w:rsid w:val="00D35CB0"/>
    <w:rsid w:val="00D40B03"/>
    <w:rsid w:val="00D41312"/>
    <w:rsid w:val="00D41795"/>
    <w:rsid w:val="00D41BD4"/>
    <w:rsid w:val="00D42565"/>
    <w:rsid w:val="00D42E96"/>
    <w:rsid w:val="00D43D51"/>
    <w:rsid w:val="00D45FE6"/>
    <w:rsid w:val="00D47C57"/>
    <w:rsid w:val="00D47C7E"/>
    <w:rsid w:val="00D53ABF"/>
    <w:rsid w:val="00D55B48"/>
    <w:rsid w:val="00D56207"/>
    <w:rsid w:val="00D63743"/>
    <w:rsid w:val="00D63C99"/>
    <w:rsid w:val="00D63D77"/>
    <w:rsid w:val="00D651CC"/>
    <w:rsid w:val="00D65687"/>
    <w:rsid w:val="00D660A5"/>
    <w:rsid w:val="00D66470"/>
    <w:rsid w:val="00D66590"/>
    <w:rsid w:val="00D66B46"/>
    <w:rsid w:val="00D67488"/>
    <w:rsid w:val="00D6765E"/>
    <w:rsid w:val="00D67922"/>
    <w:rsid w:val="00D679C4"/>
    <w:rsid w:val="00D74E5F"/>
    <w:rsid w:val="00D77949"/>
    <w:rsid w:val="00D8067C"/>
    <w:rsid w:val="00D80E65"/>
    <w:rsid w:val="00D84C51"/>
    <w:rsid w:val="00D85448"/>
    <w:rsid w:val="00D85A1F"/>
    <w:rsid w:val="00D87360"/>
    <w:rsid w:val="00D8782C"/>
    <w:rsid w:val="00D87E3A"/>
    <w:rsid w:val="00D9088F"/>
    <w:rsid w:val="00D92FC7"/>
    <w:rsid w:val="00D93415"/>
    <w:rsid w:val="00D93B2F"/>
    <w:rsid w:val="00D9557F"/>
    <w:rsid w:val="00DA03CC"/>
    <w:rsid w:val="00DA41F3"/>
    <w:rsid w:val="00DB353A"/>
    <w:rsid w:val="00DB3DF1"/>
    <w:rsid w:val="00DB4BAB"/>
    <w:rsid w:val="00DB5050"/>
    <w:rsid w:val="00DC0B60"/>
    <w:rsid w:val="00DC3F18"/>
    <w:rsid w:val="00DC5AF1"/>
    <w:rsid w:val="00DC6C0F"/>
    <w:rsid w:val="00DC772C"/>
    <w:rsid w:val="00DD1C30"/>
    <w:rsid w:val="00DD293C"/>
    <w:rsid w:val="00DD75FB"/>
    <w:rsid w:val="00DE0BC9"/>
    <w:rsid w:val="00DE1301"/>
    <w:rsid w:val="00DE1C2B"/>
    <w:rsid w:val="00DE226E"/>
    <w:rsid w:val="00DE3A64"/>
    <w:rsid w:val="00DE43E4"/>
    <w:rsid w:val="00DE5170"/>
    <w:rsid w:val="00DF159D"/>
    <w:rsid w:val="00DF2AF4"/>
    <w:rsid w:val="00DF41C7"/>
    <w:rsid w:val="00DF4AC3"/>
    <w:rsid w:val="00DF51A5"/>
    <w:rsid w:val="00DF5BA8"/>
    <w:rsid w:val="00E0680A"/>
    <w:rsid w:val="00E1596F"/>
    <w:rsid w:val="00E200B4"/>
    <w:rsid w:val="00E225A5"/>
    <w:rsid w:val="00E23C0F"/>
    <w:rsid w:val="00E25C86"/>
    <w:rsid w:val="00E265CB"/>
    <w:rsid w:val="00E265D3"/>
    <w:rsid w:val="00E27718"/>
    <w:rsid w:val="00E325BA"/>
    <w:rsid w:val="00E4252C"/>
    <w:rsid w:val="00E433C9"/>
    <w:rsid w:val="00E44BB6"/>
    <w:rsid w:val="00E455FD"/>
    <w:rsid w:val="00E469BE"/>
    <w:rsid w:val="00E51F12"/>
    <w:rsid w:val="00E53384"/>
    <w:rsid w:val="00E539CA"/>
    <w:rsid w:val="00E5455D"/>
    <w:rsid w:val="00E60781"/>
    <w:rsid w:val="00E60CD6"/>
    <w:rsid w:val="00E610E0"/>
    <w:rsid w:val="00E623CA"/>
    <w:rsid w:val="00E630C9"/>
    <w:rsid w:val="00E6339D"/>
    <w:rsid w:val="00E7107B"/>
    <w:rsid w:val="00E742FC"/>
    <w:rsid w:val="00E75404"/>
    <w:rsid w:val="00E76444"/>
    <w:rsid w:val="00E80C9D"/>
    <w:rsid w:val="00E83868"/>
    <w:rsid w:val="00E8465F"/>
    <w:rsid w:val="00E84AE3"/>
    <w:rsid w:val="00E87484"/>
    <w:rsid w:val="00E9074E"/>
    <w:rsid w:val="00E912E1"/>
    <w:rsid w:val="00E91C97"/>
    <w:rsid w:val="00E93BC1"/>
    <w:rsid w:val="00EA1DF8"/>
    <w:rsid w:val="00EA3805"/>
    <w:rsid w:val="00EA6733"/>
    <w:rsid w:val="00EA751F"/>
    <w:rsid w:val="00EB2BE8"/>
    <w:rsid w:val="00EB6143"/>
    <w:rsid w:val="00EB68BC"/>
    <w:rsid w:val="00EC0088"/>
    <w:rsid w:val="00EC23F1"/>
    <w:rsid w:val="00EC2C2D"/>
    <w:rsid w:val="00EC3B22"/>
    <w:rsid w:val="00EC4BB0"/>
    <w:rsid w:val="00EC4E53"/>
    <w:rsid w:val="00EC67ED"/>
    <w:rsid w:val="00ED1415"/>
    <w:rsid w:val="00ED161F"/>
    <w:rsid w:val="00ED30AB"/>
    <w:rsid w:val="00ED3188"/>
    <w:rsid w:val="00ED3EEB"/>
    <w:rsid w:val="00ED52DE"/>
    <w:rsid w:val="00ED5C3F"/>
    <w:rsid w:val="00ED7CE5"/>
    <w:rsid w:val="00EE0A4D"/>
    <w:rsid w:val="00EE49F1"/>
    <w:rsid w:val="00EE5310"/>
    <w:rsid w:val="00EE67CB"/>
    <w:rsid w:val="00EE6C94"/>
    <w:rsid w:val="00EE755B"/>
    <w:rsid w:val="00EE7D1D"/>
    <w:rsid w:val="00EF116C"/>
    <w:rsid w:val="00EF226D"/>
    <w:rsid w:val="00EF23DE"/>
    <w:rsid w:val="00EF2B44"/>
    <w:rsid w:val="00EF6970"/>
    <w:rsid w:val="00EF6BD0"/>
    <w:rsid w:val="00EF7110"/>
    <w:rsid w:val="00F00329"/>
    <w:rsid w:val="00F01215"/>
    <w:rsid w:val="00F0315C"/>
    <w:rsid w:val="00F042FA"/>
    <w:rsid w:val="00F07497"/>
    <w:rsid w:val="00F10A35"/>
    <w:rsid w:val="00F125C6"/>
    <w:rsid w:val="00F13EAE"/>
    <w:rsid w:val="00F1447E"/>
    <w:rsid w:val="00F17628"/>
    <w:rsid w:val="00F23559"/>
    <w:rsid w:val="00F2681C"/>
    <w:rsid w:val="00F30795"/>
    <w:rsid w:val="00F30FF5"/>
    <w:rsid w:val="00F31428"/>
    <w:rsid w:val="00F31648"/>
    <w:rsid w:val="00F32232"/>
    <w:rsid w:val="00F32E75"/>
    <w:rsid w:val="00F33397"/>
    <w:rsid w:val="00F3346F"/>
    <w:rsid w:val="00F336C6"/>
    <w:rsid w:val="00F34936"/>
    <w:rsid w:val="00F3501C"/>
    <w:rsid w:val="00F35410"/>
    <w:rsid w:val="00F35BD9"/>
    <w:rsid w:val="00F35D41"/>
    <w:rsid w:val="00F411EE"/>
    <w:rsid w:val="00F41430"/>
    <w:rsid w:val="00F42045"/>
    <w:rsid w:val="00F46D6C"/>
    <w:rsid w:val="00F50E3F"/>
    <w:rsid w:val="00F5282C"/>
    <w:rsid w:val="00F550CA"/>
    <w:rsid w:val="00F57424"/>
    <w:rsid w:val="00F57A41"/>
    <w:rsid w:val="00F60DAA"/>
    <w:rsid w:val="00F61A28"/>
    <w:rsid w:val="00F628C5"/>
    <w:rsid w:val="00F648D6"/>
    <w:rsid w:val="00F651BB"/>
    <w:rsid w:val="00F656EA"/>
    <w:rsid w:val="00F658C6"/>
    <w:rsid w:val="00F66DAB"/>
    <w:rsid w:val="00F70EC5"/>
    <w:rsid w:val="00F714A9"/>
    <w:rsid w:val="00F73B84"/>
    <w:rsid w:val="00F761F2"/>
    <w:rsid w:val="00F81AE5"/>
    <w:rsid w:val="00F82E4E"/>
    <w:rsid w:val="00F85703"/>
    <w:rsid w:val="00F964E4"/>
    <w:rsid w:val="00F97D63"/>
    <w:rsid w:val="00FA0B92"/>
    <w:rsid w:val="00FA0CF5"/>
    <w:rsid w:val="00FA12BF"/>
    <w:rsid w:val="00FA1AAE"/>
    <w:rsid w:val="00FA1EB0"/>
    <w:rsid w:val="00FA2033"/>
    <w:rsid w:val="00FA26F0"/>
    <w:rsid w:val="00FA61C8"/>
    <w:rsid w:val="00FA64B3"/>
    <w:rsid w:val="00FA6F01"/>
    <w:rsid w:val="00FA7580"/>
    <w:rsid w:val="00FB0A2E"/>
    <w:rsid w:val="00FB1FB9"/>
    <w:rsid w:val="00FB27C8"/>
    <w:rsid w:val="00FB2C9E"/>
    <w:rsid w:val="00FB475D"/>
    <w:rsid w:val="00FB5AFC"/>
    <w:rsid w:val="00FB6099"/>
    <w:rsid w:val="00FB68D6"/>
    <w:rsid w:val="00FC024C"/>
    <w:rsid w:val="00FC0947"/>
    <w:rsid w:val="00FC2203"/>
    <w:rsid w:val="00FC3C95"/>
    <w:rsid w:val="00FC443D"/>
    <w:rsid w:val="00FC4538"/>
    <w:rsid w:val="00FC7CE1"/>
    <w:rsid w:val="00FD11B1"/>
    <w:rsid w:val="00FD397A"/>
    <w:rsid w:val="00FD4229"/>
    <w:rsid w:val="00FD4C4F"/>
    <w:rsid w:val="00FD4C5C"/>
    <w:rsid w:val="00FD5763"/>
    <w:rsid w:val="00FD66C9"/>
    <w:rsid w:val="00FD7B9B"/>
    <w:rsid w:val="00FE14D3"/>
    <w:rsid w:val="00FE1DDB"/>
    <w:rsid w:val="00FE1DE2"/>
    <w:rsid w:val="00FE2034"/>
    <w:rsid w:val="00FE3D89"/>
    <w:rsid w:val="00FE7513"/>
    <w:rsid w:val="00FE77A7"/>
    <w:rsid w:val="00FE7968"/>
    <w:rsid w:val="00FF478D"/>
    <w:rsid w:val="00FF503E"/>
    <w:rsid w:val="00FF56B4"/>
    <w:rsid w:val="00FF6A13"/>
    <w:rsid w:val="00FF6E90"/>
    <w:rsid w:val="00FF70F1"/>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E074"/>
  <w15:docId w15:val="{00D00215-90DB-4546-8ED2-60FBC9A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81"/>
  </w:style>
  <w:style w:type="paragraph" w:styleId="Heading1">
    <w:name w:val="heading 1"/>
    <w:basedOn w:val="Normal"/>
    <w:next w:val="Normal"/>
    <w:link w:val="Heading1Char"/>
    <w:uiPriority w:val="9"/>
    <w:qFormat/>
    <w:rsid w:val="00452ED9"/>
    <w:pPr>
      <w:spacing w:after="0" w:line="240" w:lineRule="auto"/>
      <w:jc w:val="both"/>
      <w:outlineLvl w:val="0"/>
    </w:pPr>
    <w:rPr>
      <w:rFonts w:ascii="Arial" w:hAnsi="Arial" w:cs="Arial"/>
      <w:i/>
    </w:rPr>
  </w:style>
  <w:style w:type="paragraph" w:styleId="Heading2">
    <w:name w:val="heading 2"/>
    <w:basedOn w:val="Normal"/>
    <w:next w:val="Normal"/>
    <w:link w:val="Heading2Char"/>
    <w:uiPriority w:val="9"/>
    <w:semiHidden/>
    <w:unhideWhenUsed/>
    <w:qFormat/>
    <w:rsid w:val="003E5A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119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2ED"/>
  </w:style>
  <w:style w:type="paragraph" w:styleId="Footer">
    <w:name w:val="footer"/>
    <w:basedOn w:val="Normal"/>
    <w:link w:val="FooterChar"/>
    <w:unhideWhenUsed/>
    <w:rsid w:val="002A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ED"/>
  </w:style>
  <w:style w:type="paragraph" w:styleId="BalloonText">
    <w:name w:val="Balloon Text"/>
    <w:basedOn w:val="Normal"/>
    <w:link w:val="BalloonTextChar"/>
    <w:uiPriority w:val="99"/>
    <w:semiHidden/>
    <w:unhideWhenUsed/>
    <w:rsid w:val="00102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42"/>
    <w:rPr>
      <w:rFonts w:ascii="Tahoma" w:hAnsi="Tahoma" w:cs="Tahoma"/>
      <w:sz w:val="16"/>
      <w:szCs w:val="16"/>
    </w:rPr>
  </w:style>
  <w:style w:type="paragraph" w:styleId="FootnoteText">
    <w:name w:val="footnote text"/>
    <w:basedOn w:val="Normal"/>
    <w:link w:val="FootnoteTextChar"/>
    <w:uiPriority w:val="99"/>
    <w:semiHidden/>
    <w:unhideWhenUsed/>
    <w:rsid w:val="00393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324"/>
    <w:rPr>
      <w:sz w:val="20"/>
      <w:szCs w:val="20"/>
    </w:rPr>
  </w:style>
  <w:style w:type="character" w:styleId="FootnoteReference">
    <w:name w:val="footnote reference"/>
    <w:basedOn w:val="DefaultParagraphFont"/>
    <w:uiPriority w:val="99"/>
    <w:semiHidden/>
    <w:unhideWhenUsed/>
    <w:rsid w:val="00393324"/>
    <w:rPr>
      <w:vertAlign w:val="superscript"/>
    </w:rPr>
  </w:style>
  <w:style w:type="character" w:styleId="Hyperlink">
    <w:name w:val="Hyperlink"/>
    <w:basedOn w:val="DefaultParagraphFont"/>
    <w:uiPriority w:val="99"/>
    <w:unhideWhenUsed/>
    <w:rsid w:val="00393324"/>
    <w:rPr>
      <w:color w:val="0000FF" w:themeColor="hyperlink"/>
      <w:u w:val="single"/>
    </w:rPr>
  </w:style>
  <w:style w:type="character" w:styleId="FollowedHyperlink">
    <w:name w:val="FollowedHyperlink"/>
    <w:basedOn w:val="DefaultParagraphFont"/>
    <w:uiPriority w:val="99"/>
    <w:semiHidden/>
    <w:unhideWhenUsed/>
    <w:rsid w:val="003176E7"/>
    <w:rPr>
      <w:color w:val="800080" w:themeColor="followedHyperlink"/>
      <w:u w:val="single"/>
    </w:rPr>
  </w:style>
  <w:style w:type="paragraph" w:styleId="ListParagraph">
    <w:name w:val="List Paragraph"/>
    <w:basedOn w:val="Normal"/>
    <w:uiPriority w:val="34"/>
    <w:qFormat/>
    <w:rsid w:val="003531F8"/>
    <w:pPr>
      <w:ind w:left="720"/>
      <w:contextualSpacing/>
    </w:pPr>
  </w:style>
  <w:style w:type="table" w:styleId="TableGrid">
    <w:name w:val="Table Grid"/>
    <w:basedOn w:val="TableNormal"/>
    <w:uiPriority w:val="39"/>
    <w:rsid w:val="0013424E"/>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22215"/>
  </w:style>
  <w:style w:type="character" w:styleId="CommentReference">
    <w:name w:val="annotation reference"/>
    <w:basedOn w:val="DefaultParagraphFont"/>
    <w:uiPriority w:val="99"/>
    <w:semiHidden/>
    <w:unhideWhenUsed/>
    <w:rsid w:val="00467E4B"/>
    <w:rPr>
      <w:sz w:val="16"/>
      <w:szCs w:val="16"/>
    </w:rPr>
  </w:style>
  <w:style w:type="paragraph" w:styleId="CommentText">
    <w:name w:val="annotation text"/>
    <w:basedOn w:val="Normal"/>
    <w:link w:val="CommentTextChar"/>
    <w:uiPriority w:val="99"/>
    <w:semiHidden/>
    <w:unhideWhenUsed/>
    <w:rsid w:val="00467E4B"/>
    <w:pPr>
      <w:spacing w:line="240" w:lineRule="auto"/>
    </w:pPr>
    <w:rPr>
      <w:sz w:val="20"/>
      <w:szCs w:val="20"/>
    </w:rPr>
  </w:style>
  <w:style w:type="character" w:customStyle="1" w:styleId="CommentTextChar">
    <w:name w:val="Comment Text Char"/>
    <w:basedOn w:val="DefaultParagraphFont"/>
    <w:link w:val="CommentText"/>
    <w:uiPriority w:val="99"/>
    <w:semiHidden/>
    <w:rsid w:val="00467E4B"/>
    <w:rPr>
      <w:sz w:val="20"/>
      <w:szCs w:val="20"/>
    </w:rPr>
  </w:style>
  <w:style w:type="paragraph" w:styleId="CommentSubject">
    <w:name w:val="annotation subject"/>
    <w:basedOn w:val="CommentText"/>
    <w:next w:val="CommentText"/>
    <w:link w:val="CommentSubjectChar"/>
    <w:uiPriority w:val="99"/>
    <w:semiHidden/>
    <w:unhideWhenUsed/>
    <w:rsid w:val="00467E4B"/>
    <w:rPr>
      <w:b/>
      <w:bCs/>
    </w:rPr>
  </w:style>
  <w:style w:type="character" w:customStyle="1" w:styleId="CommentSubjectChar">
    <w:name w:val="Comment Subject Char"/>
    <w:basedOn w:val="CommentTextChar"/>
    <w:link w:val="CommentSubject"/>
    <w:uiPriority w:val="99"/>
    <w:semiHidden/>
    <w:rsid w:val="00467E4B"/>
    <w:rPr>
      <w:b/>
      <w:bCs/>
      <w:sz w:val="20"/>
      <w:szCs w:val="20"/>
    </w:rPr>
  </w:style>
  <w:style w:type="character" w:customStyle="1" w:styleId="Heading3Char">
    <w:name w:val="Heading 3 Char"/>
    <w:basedOn w:val="DefaultParagraphFont"/>
    <w:link w:val="Heading3"/>
    <w:uiPriority w:val="9"/>
    <w:semiHidden/>
    <w:rsid w:val="00B4119C"/>
    <w:rPr>
      <w:rFonts w:ascii="Cambria" w:eastAsia="Times New Roman" w:hAnsi="Cambria" w:cs="Times New Roman"/>
      <w:b/>
      <w:bCs/>
      <w:sz w:val="26"/>
      <w:szCs w:val="26"/>
    </w:rPr>
  </w:style>
  <w:style w:type="paragraph" w:styleId="BodyText">
    <w:name w:val="Body Text"/>
    <w:basedOn w:val="Normal"/>
    <w:link w:val="BodyTextChar"/>
    <w:semiHidden/>
    <w:rsid w:val="007A7FED"/>
    <w:pPr>
      <w:jc w:val="center"/>
    </w:pPr>
    <w:rPr>
      <w:rFonts w:ascii="Times New Roman" w:eastAsia="Calibri" w:hAnsi="Times New Roman" w:cs="Times New Roman"/>
      <w:b/>
      <w:bCs/>
      <w:sz w:val="24"/>
    </w:rPr>
  </w:style>
  <w:style w:type="character" w:customStyle="1" w:styleId="BodyTextChar">
    <w:name w:val="Body Text Char"/>
    <w:basedOn w:val="DefaultParagraphFont"/>
    <w:link w:val="BodyText"/>
    <w:semiHidden/>
    <w:rsid w:val="007A7FED"/>
    <w:rPr>
      <w:rFonts w:ascii="Times New Roman" w:eastAsia="Calibri" w:hAnsi="Times New Roman" w:cs="Times New Roman"/>
      <w:b/>
      <w:bCs/>
      <w:sz w:val="24"/>
    </w:rPr>
  </w:style>
  <w:style w:type="character" w:customStyle="1" w:styleId="Heading2Char">
    <w:name w:val="Heading 2 Char"/>
    <w:basedOn w:val="DefaultParagraphFont"/>
    <w:link w:val="Heading2"/>
    <w:uiPriority w:val="9"/>
    <w:rsid w:val="003E5AA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52ED9"/>
    <w:pPr>
      <w:spacing w:after="0" w:line="240" w:lineRule="auto"/>
      <w:jc w:val="both"/>
    </w:pPr>
    <w:rPr>
      <w:rFonts w:ascii="Arial" w:hAnsi="Arial" w:cs="Arial"/>
      <w:b/>
      <w:sz w:val="24"/>
    </w:rPr>
  </w:style>
  <w:style w:type="character" w:customStyle="1" w:styleId="TitleChar">
    <w:name w:val="Title Char"/>
    <w:basedOn w:val="DefaultParagraphFont"/>
    <w:link w:val="Title"/>
    <w:uiPriority w:val="10"/>
    <w:rsid w:val="00452ED9"/>
    <w:rPr>
      <w:rFonts w:ascii="Arial" w:hAnsi="Arial" w:cs="Arial"/>
      <w:b/>
      <w:sz w:val="24"/>
    </w:rPr>
  </w:style>
  <w:style w:type="character" w:customStyle="1" w:styleId="Heading1Char">
    <w:name w:val="Heading 1 Char"/>
    <w:basedOn w:val="DefaultParagraphFont"/>
    <w:link w:val="Heading1"/>
    <w:uiPriority w:val="9"/>
    <w:rsid w:val="00452ED9"/>
    <w:rPr>
      <w:rFonts w:ascii="Arial" w:hAnsi="Arial" w:cs="Arial"/>
      <w:i/>
    </w:rPr>
  </w:style>
  <w:style w:type="paragraph" w:styleId="Caption">
    <w:name w:val="caption"/>
    <w:basedOn w:val="Normal"/>
    <w:next w:val="Normal"/>
    <w:uiPriority w:val="35"/>
    <w:unhideWhenUsed/>
    <w:qFormat/>
    <w:rsid w:val="00247379"/>
    <w:pPr>
      <w:spacing w:line="240" w:lineRule="auto"/>
    </w:pPr>
    <w:rPr>
      <w:i/>
      <w:iCs/>
      <w:color w:val="1F497D" w:themeColor="text2"/>
      <w:sz w:val="18"/>
      <w:szCs w:val="18"/>
    </w:rPr>
  </w:style>
  <w:style w:type="table" w:styleId="TableGridLight">
    <w:name w:val="Grid Table Light"/>
    <w:basedOn w:val="TableNormal"/>
    <w:uiPriority w:val="40"/>
    <w:rsid w:val="002473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B1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nd">
    <w:name w:val="sectind"/>
    <w:basedOn w:val="Normal"/>
    <w:rsid w:val="000B1B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539">
      <w:bodyDiv w:val="1"/>
      <w:marLeft w:val="0"/>
      <w:marRight w:val="0"/>
      <w:marTop w:val="0"/>
      <w:marBottom w:val="0"/>
      <w:divBdr>
        <w:top w:val="none" w:sz="0" w:space="0" w:color="auto"/>
        <w:left w:val="none" w:sz="0" w:space="0" w:color="auto"/>
        <w:bottom w:val="none" w:sz="0" w:space="0" w:color="auto"/>
        <w:right w:val="none" w:sz="0" w:space="0" w:color="auto"/>
      </w:divBdr>
    </w:div>
    <w:div w:id="4478636">
      <w:bodyDiv w:val="1"/>
      <w:marLeft w:val="0"/>
      <w:marRight w:val="0"/>
      <w:marTop w:val="0"/>
      <w:marBottom w:val="0"/>
      <w:divBdr>
        <w:top w:val="none" w:sz="0" w:space="0" w:color="auto"/>
        <w:left w:val="none" w:sz="0" w:space="0" w:color="auto"/>
        <w:bottom w:val="none" w:sz="0" w:space="0" w:color="auto"/>
        <w:right w:val="none" w:sz="0" w:space="0" w:color="auto"/>
      </w:divBdr>
    </w:div>
    <w:div w:id="7218014">
      <w:bodyDiv w:val="1"/>
      <w:marLeft w:val="0"/>
      <w:marRight w:val="0"/>
      <w:marTop w:val="0"/>
      <w:marBottom w:val="0"/>
      <w:divBdr>
        <w:top w:val="none" w:sz="0" w:space="0" w:color="auto"/>
        <w:left w:val="none" w:sz="0" w:space="0" w:color="auto"/>
        <w:bottom w:val="none" w:sz="0" w:space="0" w:color="auto"/>
        <w:right w:val="none" w:sz="0" w:space="0" w:color="auto"/>
      </w:divBdr>
    </w:div>
    <w:div w:id="8726405">
      <w:bodyDiv w:val="1"/>
      <w:marLeft w:val="0"/>
      <w:marRight w:val="0"/>
      <w:marTop w:val="0"/>
      <w:marBottom w:val="0"/>
      <w:divBdr>
        <w:top w:val="none" w:sz="0" w:space="0" w:color="auto"/>
        <w:left w:val="none" w:sz="0" w:space="0" w:color="auto"/>
        <w:bottom w:val="none" w:sz="0" w:space="0" w:color="auto"/>
        <w:right w:val="none" w:sz="0" w:space="0" w:color="auto"/>
      </w:divBdr>
    </w:div>
    <w:div w:id="51583515">
      <w:bodyDiv w:val="1"/>
      <w:marLeft w:val="0"/>
      <w:marRight w:val="0"/>
      <w:marTop w:val="0"/>
      <w:marBottom w:val="0"/>
      <w:divBdr>
        <w:top w:val="none" w:sz="0" w:space="0" w:color="auto"/>
        <w:left w:val="none" w:sz="0" w:space="0" w:color="auto"/>
        <w:bottom w:val="none" w:sz="0" w:space="0" w:color="auto"/>
        <w:right w:val="none" w:sz="0" w:space="0" w:color="auto"/>
      </w:divBdr>
    </w:div>
    <w:div w:id="101606697">
      <w:bodyDiv w:val="1"/>
      <w:marLeft w:val="0"/>
      <w:marRight w:val="0"/>
      <w:marTop w:val="0"/>
      <w:marBottom w:val="0"/>
      <w:divBdr>
        <w:top w:val="none" w:sz="0" w:space="0" w:color="auto"/>
        <w:left w:val="none" w:sz="0" w:space="0" w:color="auto"/>
        <w:bottom w:val="none" w:sz="0" w:space="0" w:color="auto"/>
        <w:right w:val="none" w:sz="0" w:space="0" w:color="auto"/>
      </w:divBdr>
    </w:div>
    <w:div w:id="131219358">
      <w:bodyDiv w:val="1"/>
      <w:marLeft w:val="0"/>
      <w:marRight w:val="0"/>
      <w:marTop w:val="0"/>
      <w:marBottom w:val="0"/>
      <w:divBdr>
        <w:top w:val="none" w:sz="0" w:space="0" w:color="auto"/>
        <w:left w:val="none" w:sz="0" w:space="0" w:color="auto"/>
        <w:bottom w:val="none" w:sz="0" w:space="0" w:color="auto"/>
        <w:right w:val="none" w:sz="0" w:space="0" w:color="auto"/>
      </w:divBdr>
    </w:div>
    <w:div w:id="132842927">
      <w:bodyDiv w:val="1"/>
      <w:marLeft w:val="0"/>
      <w:marRight w:val="0"/>
      <w:marTop w:val="0"/>
      <w:marBottom w:val="0"/>
      <w:divBdr>
        <w:top w:val="none" w:sz="0" w:space="0" w:color="auto"/>
        <w:left w:val="none" w:sz="0" w:space="0" w:color="auto"/>
        <w:bottom w:val="none" w:sz="0" w:space="0" w:color="auto"/>
        <w:right w:val="none" w:sz="0" w:space="0" w:color="auto"/>
      </w:divBdr>
    </w:div>
    <w:div w:id="137232908">
      <w:bodyDiv w:val="1"/>
      <w:marLeft w:val="0"/>
      <w:marRight w:val="0"/>
      <w:marTop w:val="0"/>
      <w:marBottom w:val="0"/>
      <w:divBdr>
        <w:top w:val="none" w:sz="0" w:space="0" w:color="auto"/>
        <w:left w:val="none" w:sz="0" w:space="0" w:color="auto"/>
        <w:bottom w:val="none" w:sz="0" w:space="0" w:color="auto"/>
        <w:right w:val="none" w:sz="0" w:space="0" w:color="auto"/>
      </w:divBdr>
    </w:div>
    <w:div w:id="204684137">
      <w:bodyDiv w:val="1"/>
      <w:marLeft w:val="0"/>
      <w:marRight w:val="0"/>
      <w:marTop w:val="0"/>
      <w:marBottom w:val="0"/>
      <w:divBdr>
        <w:top w:val="none" w:sz="0" w:space="0" w:color="auto"/>
        <w:left w:val="none" w:sz="0" w:space="0" w:color="auto"/>
        <w:bottom w:val="none" w:sz="0" w:space="0" w:color="auto"/>
        <w:right w:val="none" w:sz="0" w:space="0" w:color="auto"/>
      </w:divBdr>
    </w:div>
    <w:div w:id="215169982">
      <w:bodyDiv w:val="1"/>
      <w:marLeft w:val="0"/>
      <w:marRight w:val="0"/>
      <w:marTop w:val="0"/>
      <w:marBottom w:val="0"/>
      <w:divBdr>
        <w:top w:val="none" w:sz="0" w:space="0" w:color="auto"/>
        <w:left w:val="none" w:sz="0" w:space="0" w:color="auto"/>
        <w:bottom w:val="none" w:sz="0" w:space="0" w:color="auto"/>
        <w:right w:val="none" w:sz="0" w:space="0" w:color="auto"/>
      </w:divBdr>
    </w:div>
    <w:div w:id="223878286">
      <w:bodyDiv w:val="1"/>
      <w:marLeft w:val="0"/>
      <w:marRight w:val="0"/>
      <w:marTop w:val="0"/>
      <w:marBottom w:val="0"/>
      <w:divBdr>
        <w:top w:val="none" w:sz="0" w:space="0" w:color="auto"/>
        <w:left w:val="none" w:sz="0" w:space="0" w:color="auto"/>
        <w:bottom w:val="none" w:sz="0" w:space="0" w:color="auto"/>
        <w:right w:val="none" w:sz="0" w:space="0" w:color="auto"/>
      </w:divBdr>
    </w:div>
    <w:div w:id="227763293">
      <w:bodyDiv w:val="1"/>
      <w:marLeft w:val="0"/>
      <w:marRight w:val="0"/>
      <w:marTop w:val="0"/>
      <w:marBottom w:val="0"/>
      <w:divBdr>
        <w:top w:val="none" w:sz="0" w:space="0" w:color="auto"/>
        <w:left w:val="none" w:sz="0" w:space="0" w:color="auto"/>
        <w:bottom w:val="none" w:sz="0" w:space="0" w:color="auto"/>
        <w:right w:val="none" w:sz="0" w:space="0" w:color="auto"/>
      </w:divBdr>
    </w:div>
    <w:div w:id="254552753">
      <w:bodyDiv w:val="1"/>
      <w:marLeft w:val="0"/>
      <w:marRight w:val="0"/>
      <w:marTop w:val="0"/>
      <w:marBottom w:val="0"/>
      <w:divBdr>
        <w:top w:val="none" w:sz="0" w:space="0" w:color="auto"/>
        <w:left w:val="none" w:sz="0" w:space="0" w:color="auto"/>
        <w:bottom w:val="none" w:sz="0" w:space="0" w:color="auto"/>
        <w:right w:val="none" w:sz="0" w:space="0" w:color="auto"/>
      </w:divBdr>
    </w:div>
    <w:div w:id="271204420">
      <w:bodyDiv w:val="1"/>
      <w:marLeft w:val="0"/>
      <w:marRight w:val="0"/>
      <w:marTop w:val="0"/>
      <w:marBottom w:val="0"/>
      <w:divBdr>
        <w:top w:val="none" w:sz="0" w:space="0" w:color="auto"/>
        <w:left w:val="none" w:sz="0" w:space="0" w:color="auto"/>
        <w:bottom w:val="none" w:sz="0" w:space="0" w:color="auto"/>
        <w:right w:val="none" w:sz="0" w:space="0" w:color="auto"/>
      </w:divBdr>
      <w:divsChild>
        <w:div w:id="872882131">
          <w:marLeft w:val="0"/>
          <w:marRight w:val="0"/>
          <w:marTop w:val="0"/>
          <w:marBottom w:val="0"/>
          <w:divBdr>
            <w:top w:val="none" w:sz="0" w:space="0" w:color="auto"/>
            <w:left w:val="none" w:sz="0" w:space="0" w:color="auto"/>
            <w:bottom w:val="none" w:sz="0" w:space="0" w:color="auto"/>
            <w:right w:val="none" w:sz="0" w:space="0" w:color="auto"/>
          </w:divBdr>
        </w:div>
        <w:div w:id="93017365">
          <w:marLeft w:val="0"/>
          <w:marRight w:val="0"/>
          <w:marTop w:val="0"/>
          <w:marBottom w:val="0"/>
          <w:divBdr>
            <w:top w:val="none" w:sz="0" w:space="0" w:color="auto"/>
            <w:left w:val="none" w:sz="0" w:space="0" w:color="auto"/>
            <w:bottom w:val="none" w:sz="0" w:space="0" w:color="auto"/>
            <w:right w:val="none" w:sz="0" w:space="0" w:color="auto"/>
          </w:divBdr>
        </w:div>
      </w:divsChild>
    </w:div>
    <w:div w:id="272060387">
      <w:bodyDiv w:val="1"/>
      <w:marLeft w:val="0"/>
      <w:marRight w:val="0"/>
      <w:marTop w:val="0"/>
      <w:marBottom w:val="0"/>
      <w:divBdr>
        <w:top w:val="none" w:sz="0" w:space="0" w:color="auto"/>
        <w:left w:val="none" w:sz="0" w:space="0" w:color="auto"/>
        <w:bottom w:val="none" w:sz="0" w:space="0" w:color="auto"/>
        <w:right w:val="none" w:sz="0" w:space="0" w:color="auto"/>
      </w:divBdr>
    </w:div>
    <w:div w:id="388462231">
      <w:bodyDiv w:val="1"/>
      <w:marLeft w:val="0"/>
      <w:marRight w:val="0"/>
      <w:marTop w:val="0"/>
      <w:marBottom w:val="0"/>
      <w:divBdr>
        <w:top w:val="none" w:sz="0" w:space="0" w:color="auto"/>
        <w:left w:val="none" w:sz="0" w:space="0" w:color="auto"/>
        <w:bottom w:val="none" w:sz="0" w:space="0" w:color="auto"/>
        <w:right w:val="none" w:sz="0" w:space="0" w:color="auto"/>
      </w:divBdr>
    </w:div>
    <w:div w:id="402071010">
      <w:bodyDiv w:val="1"/>
      <w:marLeft w:val="0"/>
      <w:marRight w:val="0"/>
      <w:marTop w:val="0"/>
      <w:marBottom w:val="0"/>
      <w:divBdr>
        <w:top w:val="none" w:sz="0" w:space="0" w:color="auto"/>
        <w:left w:val="none" w:sz="0" w:space="0" w:color="auto"/>
        <w:bottom w:val="none" w:sz="0" w:space="0" w:color="auto"/>
        <w:right w:val="none" w:sz="0" w:space="0" w:color="auto"/>
      </w:divBdr>
    </w:div>
    <w:div w:id="435641549">
      <w:bodyDiv w:val="1"/>
      <w:marLeft w:val="0"/>
      <w:marRight w:val="0"/>
      <w:marTop w:val="0"/>
      <w:marBottom w:val="0"/>
      <w:divBdr>
        <w:top w:val="none" w:sz="0" w:space="0" w:color="auto"/>
        <w:left w:val="none" w:sz="0" w:space="0" w:color="auto"/>
        <w:bottom w:val="none" w:sz="0" w:space="0" w:color="auto"/>
        <w:right w:val="none" w:sz="0" w:space="0" w:color="auto"/>
      </w:divBdr>
    </w:div>
    <w:div w:id="525170536">
      <w:bodyDiv w:val="1"/>
      <w:marLeft w:val="0"/>
      <w:marRight w:val="0"/>
      <w:marTop w:val="0"/>
      <w:marBottom w:val="0"/>
      <w:divBdr>
        <w:top w:val="none" w:sz="0" w:space="0" w:color="auto"/>
        <w:left w:val="none" w:sz="0" w:space="0" w:color="auto"/>
        <w:bottom w:val="none" w:sz="0" w:space="0" w:color="auto"/>
        <w:right w:val="none" w:sz="0" w:space="0" w:color="auto"/>
      </w:divBdr>
    </w:div>
    <w:div w:id="588344408">
      <w:bodyDiv w:val="1"/>
      <w:marLeft w:val="0"/>
      <w:marRight w:val="0"/>
      <w:marTop w:val="0"/>
      <w:marBottom w:val="0"/>
      <w:divBdr>
        <w:top w:val="none" w:sz="0" w:space="0" w:color="auto"/>
        <w:left w:val="none" w:sz="0" w:space="0" w:color="auto"/>
        <w:bottom w:val="none" w:sz="0" w:space="0" w:color="auto"/>
        <w:right w:val="none" w:sz="0" w:space="0" w:color="auto"/>
      </w:divBdr>
    </w:div>
    <w:div w:id="609320042">
      <w:bodyDiv w:val="1"/>
      <w:marLeft w:val="0"/>
      <w:marRight w:val="0"/>
      <w:marTop w:val="0"/>
      <w:marBottom w:val="0"/>
      <w:divBdr>
        <w:top w:val="none" w:sz="0" w:space="0" w:color="auto"/>
        <w:left w:val="none" w:sz="0" w:space="0" w:color="auto"/>
        <w:bottom w:val="none" w:sz="0" w:space="0" w:color="auto"/>
        <w:right w:val="none" w:sz="0" w:space="0" w:color="auto"/>
      </w:divBdr>
    </w:div>
    <w:div w:id="647443193">
      <w:bodyDiv w:val="1"/>
      <w:marLeft w:val="0"/>
      <w:marRight w:val="0"/>
      <w:marTop w:val="0"/>
      <w:marBottom w:val="0"/>
      <w:divBdr>
        <w:top w:val="none" w:sz="0" w:space="0" w:color="auto"/>
        <w:left w:val="none" w:sz="0" w:space="0" w:color="auto"/>
        <w:bottom w:val="none" w:sz="0" w:space="0" w:color="auto"/>
        <w:right w:val="none" w:sz="0" w:space="0" w:color="auto"/>
      </w:divBdr>
    </w:div>
    <w:div w:id="692269040">
      <w:bodyDiv w:val="1"/>
      <w:marLeft w:val="0"/>
      <w:marRight w:val="0"/>
      <w:marTop w:val="0"/>
      <w:marBottom w:val="0"/>
      <w:divBdr>
        <w:top w:val="none" w:sz="0" w:space="0" w:color="auto"/>
        <w:left w:val="none" w:sz="0" w:space="0" w:color="auto"/>
        <w:bottom w:val="none" w:sz="0" w:space="0" w:color="auto"/>
        <w:right w:val="none" w:sz="0" w:space="0" w:color="auto"/>
      </w:divBdr>
    </w:div>
    <w:div w:id="730075164">
      <w:bodyDiv w:val="1"/>
      <w:marLeft w:val="0"/>
      <w:marRight w:val="0"/>
      <w:marTop w:val="0"/>
      <w:marBottom w:val="0"/>
      <w:divBdr>
        <w:top w:val="none" w:sz="0" w:space="0" w:color="auto"/>
        <w:left w:val="none" w:sz="0" w:space="0" w:color="auto"/>
        <w:bottom w:val="none" w:sz="0" w:space="0" w:color="auto"/>
        <w:right w:val="none" w:sz="0" w:space="0" w:color="auto"/>
      </w:divBdr>
    </w:div>
    <w:div w:id="767701919">
      <w:bodyDiv w:val="1"/>
      <w:marLeft w:val="0"/>
      <w:marRight w:val="0"/>
      <w:marTop w:val="0"/>
      <w:marBottom w:val="0"/>
      <w:divBdr>
        <w:top w:val="none" w:sz="0" w:space="0" w:color="auto"/>
        <w:left w:val="none" w:sz="0" w:space="0" w:color="auto"/>
        <w:bottom w:val="none" w:sz="0" w:space="0" w:color="auto"/>
        <w:right w:val="none" w:sz="0" w:space="0" w:color="auto"/>
      </w:divBdr>
    </w:div>
    <w:div w:id="841243091">
      <w:bodyDiv w:val="1"/>
      <w:marLeft w:val="0"/>
      <w:marRight w:val="0"/>
      <w:marTop w:val="0"/>
      <w:marBottom w:val="0"/>
      <w:divBdr>
        <w:top w:val="none" w:sz="0" w:space="0" w:color="auto"/>
        <w:left w:val="none" w:sz="0" w:space="0" w:color="auto"/>
        <w:bottom w:val="none" w:sz="0" w:space="0" w:color="auto"/>
        <w:right w:val="none" w:sz="0" w:space="0" w:color="auto"/>
      </w:divBdr>
    </w:div>
    <w:div w:id="931861425">
      <w:bodyDiv w:val="1"/>
      <w:marLeft w:val="0"/>
      <w:marRight w:val="0"/>
      <w:marTop w:val="0"/>
      <w:marBottom w:val="0"/>
      <w:divBdr>
        <w:top w:val="none" w:sz="0" w:space="0" w:color="auto"/>
        <w:left w:val="none" w:sz="0" w:space="0" w:color="auto"/>
        <w:bottom w:val="none" w:sz="0" w:space="0" w:color="auto"/>
        <w:right w:val="none" w:sz="0" w:space="0" w:color="auto"/>
      </w:divBdr>
    </w:div>
    <w:div w:id="933440841">
      <w:bodyDiv w:val="1"/>
      <w:marLeft w:val="0"/>
      <w:marRight w:val="0"/>
      <w:marTop w:val="0"/>
      <w:marBottom w:val="0"/>
      <w:divBdr>
        <w:top w:val="none" w:sz="0" w:space="0" w:color="auto"/>
        <w:left w:val="none" w:sz="0" w:space="0" w:color="auto"/>
        <w:bottom w:val="none" w:sz="0" w:space="0" w:color="auto"/>
        <w:right w:val="none" w:sz="0" w:space="0" w:color="auto"/>
      </w:divBdr>
    </w:div>
    <w:div w:id="965698578">
      <w:bodyDiv w:val="1"/>
      <w:marLeft w:val="0"/>
      <w:marRight w:val="0"/>
      <w:marTop w:val="0"/>
      <w:marBottom w:val="0"/>
      <w:divBdr>
        <w:top w:val="none" w:sz="0" w:space="0" w:color="auto"/>
        <w:left w:val="none" w:sz="0" w:space="0" w:color="auto"/>
        <w:bottom w:val="none" w:sz="0" w:space="0" w:color="auto"/>
        <w:right w:val="none" w:sz="0" w:space="0" w:color="auto"/>
      </w:divBdr>
    </w:div>
    <w:div w:id="967516423">
      <w:bodyDiv w:val="1"/>
      <w:marLeft w:val="0"/>
      <w:marRight w:val="0"/>
      <w:marTop w:val="0"/>
      <w:marBottom w:val="0"/>
      <w:divBdr>
        <w:top w:val="none" w:sz="0" w:space="0" w:color="auto"/>
        <w:left w:val="none" w:sz="0" w:space="0" w:color="auto"/>
        <w:bottom w:val="none" w:sz="0" w:space="0" w:color="auto"/>
        <w:right w:val="none" w:sz="0" w:space="0" w:color="auto"/>
      </w:divBdr>
    </w:div>
    <w:div w:id="968776838">
      <w:bodyDiv w:val="1"/>
      <w:marLeft w:val="0"/>
      <w:marRight w:val="0"/>
      <w:marTop w:val="0"/>
      <w:marBottom w:val="0"/>
      <w:divBdr>
        <w:top w:val="none" w:sz="0" w:space="0" w:color="auto"/>
        <w:left w:val="none" w:sz="0" w:space="0" w:color="auto"/>
        <w:bottom w:val="none" w:sz="0" w:space="0" w:color="auto"/>
        <w:right w:val="none" w:sz="0" w:space="0" w:color="auto"/>
      </w:divBdr>
    </w:div>
    <w:div w:id="993683590">
      <w:bodyDiv w:val="1"/>
      <w:marLeft w:val="0"/>
      <w:marRight w:val="0"/>
      <w:marTop w:val="0"/>
      <w:marBottom w:val="0"/>
      <w:divBdr>
        <w:top w:val="none" w:sz="0" w:space="0" w:color="auto"/>
        <w:left w:val="none" w:sz="0" w:space="0" w:color="auto"/>
        <w:bottom w:val="none" w:sz="0" w:space="0" w:color="auto"/>
        <w:right w:val="none" w:sz="0" w:space="0" w:color="auto"/>
      </w:divBdr>
    </w:div>
    <w:div w:id="1021005162">
      <w:bodyDiv w:val="1"/>
      <w:marLeft w:val="0"/>
      <w:marRight w:val="0"/>
      <w:marTop w:val="0"/>
      <w:marBottom w:val="0"/>
      <w:divBdr>
        <w:top w:val="none" w:sz="0" w:space="0" w:color="auto"/>
        <w:left w:val="none" w:sz="0" w:space="0" w:color="auto"/>
        <w:bottom w:val="none" w:sz="0" w:space="0" w:color="auto"/>
        <w:right w:val="none" w:sz="0" w:space="0" w:color="auto"/>
      </w:divBdr>
    </w:div>
    <w:div w:id="1114861142">
      <w:bodyDiv w:val="1"/>
      <w:marLeft w:val="0"/>
      <w:marRight w:val="0"/>
      <w:marTop w:val="0"/>
      <w:marBottom w:val="0"/>
      <w:divBdr>
        <w:top w:val="none" w:sz="0" w:space="0" w:color="auto"/>
        <w:left w:val="none" w:sz="0" w:space="0" w:color="auto"/>
        <w:bottom w:val="none" w:sz="0" w:space="0" w:color="auto"/>
        <w:right w:val="none" w:sz="0" w:space="0" w:color="auto"/>
      </w:divBdr>
    </w:div>
    <w:div w:id="1229613315">
      <w:bodyDiv w:val="1"/>
      <w:marLeft w:val="0"/>
      <w:marRight w:val="0"/>
      <w:marTop w:val="0"/>
      <w:marBottom w:val="0"/>
      <w:divBdr>
        <w:top w:val="none" w:sz="0" w:space="0" w:color="auto"/>
        <w:left w:val="none" w:sz="0" w:space="0" w:color="auto"/>
        <w:bottom w:val="none" w:sz="0" w:space="0" w:color="auto"/>
        <w:right w:val="none" w:sz="0" w:space="0" w:color="auto"/>
      </w:divBdr>
    </w:div>
    <w:div w:id="1253121339">
      <w:bodyDiv w:val="1"/>
      <w:marLeft w:val="0"/>
      <w:marRight w:val="0"/>
      <w:marTop w:val="0"/>
      <w:marBottom w:val="0"/>
      <w:divBdr>
        <w:top w:val="none" w:sz="0" w:space="0" w:color="auto"/>
        <w:left w:val="none" w:sz="0" w:space="0" w:color="auto"/>
        <w:bottom w:val="none" w:sz="0" w:space="0" w:color="auto"/>
        <w:right w:val="none" w:sz="0" w:space="0" w:color="auto"/>
      </w:divBdr>
    </w:div>
    <w:div w:id="1278633904">
      <w:bodyDiv w:val="1"/>
      <w:marLeft w:val="0"/>
      <w:marRight w:val="0"/>
      <w:marTop w:val="0"/>
      <w:marBottom w:val="0"/>
      <w:divBdr>
        <w:top w:val="none" w:sz="0" w:space="0" w:color="auto"/>
        <w:left w:val="none" w:sz="0" w:space="0" w:color="auto"/>
        <w:bottom w:val="none" w:sz="0" w:space="0" w:color="auto"/>
        <w:right w:val="none" w:sz="0" w:space="0" w:color="auto"/>
      </w:divBdr>
    </w:div>
    <w:div w:id="1279071086">
      <w:bodyDiv w:val="1"/>
      <w:marLeft w:val="0"/>
      <w:marRight w:val="0"/>
      <w:marTop w:val="0"/>
      <w:marBottom w:val="0"/>
      <w:divBdr>
        <w:top w:val="none" w:sz="0" w:space="0" w:color="auto"/>
        <w:left w:val="none" w:sz="0" w:space="0" w:color="auto"/>
        <w:bottom w:val="none" w:sz="0" w:space="0" w:color="auto"/>
        <w:right w:val="none" w:sz="0" w:space="0" w:color="auto"/>
      </w:divBdr>
    </w:div>
    <w:div w:id="1281842505">
      <w:bodyDiv w:val="1"/>
      <w:marLeft w:val="0"/>
      <w:marRight w:val="0"/>
      <w:marTop w:val="0"/>
      <w:marBottom w:val="0"/>
      <w:divBdr>
        <w:top w:val="none" w:sz="0" w:space="0" w:color="auto"/>
        <w:left w:val="none" w:sz="0" w:space="0" w:color="auto"/>
        <w:bottom w:val="none" w:sz="0" w:space="0" w:color="auto"/>
        <w:right w:val="none" w:sz="0" w:space="0" w:color="auto"/>
      </w:divBdr>
    </w:div>
    <w:div w:id="1316031394">
      <w:bodyDiv w:val="1"/>
      <w:marLeft w:val="0"/>
      <w:marRight w:val="0"/>
      <w:marTop w:val="0"/>
      <w:marBottom w:val="0"/>
      <w:divBdr>
        <w:top w:val="none" w:sz="0" w:space="0" w:color="auto"/>
        <w:left w:val="none" w:sz="0" w:space="0" w:color="auto"/>
        <w:bottom w:val="none" w:sz="0" w:space="0" w:color="auto"/>
        <w:right w:val="none" w:sz="0" w:space="0" w:color="auto"/>
      </w:divBdr>
    </w:div>
    <w:div w:id="1334407928">
      <w:bodyDiv w:val="1"/>
      <w:marLeft w:val="0"/>
      <w:marRight w:val="0"/>
      <w:marTop w:val="0"/>
      <w:marBottom w:val="0"/>
      <w:divBdr>
        <w:top w:val="none" w:sz="0" w:space="0" w:color="auto"/>
        <w:left w:val="none" w:sz="0" w:space="0" w:color="auto"/>
        <w:bottom w:val="none" w:sz="0" w:space="0" w:color="auto"/>
        <w:right w:val="none" w:sz="0" w:space="0" w:color="auto"/>
      </w:divBdr>
    </w:div>
    <w:div w:id="1345743318">
      <w:bodyDiv w:val="1"/>
      <w:marLeft w:val="0"/>
      <w:marRight w:val="0"/>
      <w:marTop w:val="0"/>
      <w:marBottom w:val="0"/>
      <w:divBdr>
        <w:top w:val="none" w:sz="0" w:space="0" w:color="auto"/>
        <w:left w:val="none" w:sz="0" w:space="0" w:color="auto"/>
        <w:bottom w:val="none" w:sz="0" w:space="0" w:color="auto"/>
        <w:right w:val="none" w:sz="0" w:space="0" w:color="auto"/>
      </w:divBdr>
    </w:div>
    <w:div w:id="1410152051">
      <w:bodyDiv w:val="1"/>
      <w:marLeft w:val="0"/>
      <w:marRight w:val="0"/>
      <w:marTop w:val="0"/>
      <w:marBottom w:val="0"/>
      <w:divBdr>
        <w:top w:val="none" w:sz="0" w:space="0" w:color="auto"/>
        <w:left w:val="none" w:sz="0" w:space="0" w:color="auto"/>
        <w:bottom w:val="none" w:sz="0" w:space="0" w:color="auto"/>
        <w:right w:val="none" w:sz="0" w:space="0" w:color="auto"/>
      </w:divBdr>
    </w:div>
    <w:div w:id="1546092061">
      <w:bodyDiv w:val="1"/>
      <w:marLeft w:val="0"/>
      <w:marRight w:val="0"/>
      <w:marTop w:val="0"/>
      <w:marBottom w:val="0"/>
      <w:divBdr>
        <w:top w:val="none" w:sz="0" w:space="0" w:color="auto"/>
        <w:left w:val="none" w:sz="0" w:space="0" w:color="auto"/>
        <w:bottom w:val="none" w:sz="0" w:space="0" w:color="auto"/>
        <w:right w:val="none" w:sz="0" w:space="0" w:color="auto"/>
      </w:divBdr>
    </w:div>
    <w:div w:id="1573156699">
      <w:bodyDiv w:val="1"/>
      <w:marLeft w:val="0"/>
      <w:marRight w:val="0"/>
      <w:marTop w:val="0"/>
      <w:marBottom w:val="0"/>
      <w:divBdr>
        <w:top w:val="none" w:sz="0" w:space="0" w:color="auto"/>
        <w:left w:val="none" w:sz="0" w:space="0" w:color="auto"/>
        <w:bottom w:val="none" w:sz="0" w:space="0" w:color="auto"/>
        <w:right w:val="none" w:sz="0" w:space="0" w:color="auto"/>
      </w:divBdr>
    </w:div>
    <w:div w:id="1676151693">
      <w:bodyDiv w:val="1"/>
      <w:marLeft w:val="0"/>
      <w:marRight w:val="0"/>
      <w:marTop w:val="0"/>
      <w:marBottom w:val="0"/>
      <w:divBdr>
        <w:top w:val="none" w:sz="0" w:space="0" w:color="auto"/>
        <w:left w:val="none" w:sz="0" w:space="0" w:color="auto"/>
        <w:bottom w:val="none" w:sz="0" w:space="0" w:color="auto"/>
        <w:right w:val="none" w:sz="0" w:space="0" w:color="auto"/>
      </w:divBdr>
    </w:div>
    <w:div w:id="1687513971">
      <w:bodyDiv w:val="1"/>
      <w:marLeft w:val="0"/>
      <w:marRight w:val="0"/>
      <w:marTop w:val="0"/>
      <w:marBottom w:val="0"/>
      <w:divBdr>
        <w:top w:val="none" w:sz="0" w:space="0" w:color="auto"/>
        <w:left w:val="none" w:sz="0" w:space="0" w:color="auto"/>
        <w:bottom w:val="none" w:sz="0" w:space="0" w:color="auto"/>
        <w:right w:val="none" w:sz="0" w:space="0" w:color="auto"/>
      </w:divBdr>
    </w:div>
    <w:div w:id="1834183304">
      <w:bodyDiv w:val="1"/>
      <w:marLeft w:val="0"/>
      <w:marRight w:val="0"/>
      <w:marTop w:val="0"/>
      <w:marBottom w:val="0"/>
      <w:divBdr>
        <w:top w:val="none" w:sz="0" w:space="0" w:color="auto"/>
        <w:left w:val="none" w:sz="0" w:space="0" w:color="auto"/>
        <w:bottom w:val="none" w:sz="0" w:space="0" w:color="auto"/>
        <w:right w:val="none" w:sz="0" w:space="0" w:color="auto"/>
      </w:divBdr>
    </w:div>
    <w:div w:id="21152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virginia.gov/L/ViewGDoc.cfm?gdid=6997" TargetMode="External"/><Relationship Id="rId13" Type="http://schemas.openxmlformats.org/officeDocument/2006/relationships/hyperlink" Target="https://www.epa.gov/sites/production/files/2016-05/documents/ncca_2015_qapp_version_2.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epa.gov/type/oceb/assessmonitor/nccr/downloads.cfm" TargetMode="External"/><Relationship Id="rId17" Type="http://schemas.openxmlformats.org/officeDocument/2006/relationships/hyperlink" Target="https://www.deq.virginia.gov/Programs/Water/WaterQualityInformationTMDLs/WaterQualityAssessments/2020WQAGuidanceManual.aspx" TargetMode="External"/><Relationship Id="rId2" Type="http://schemas.openxmlformats.org/officeDocument/2006/relationships/numbering" Target="numbering.xml"/><Relationship Id="rId16" Type="http://schemas.openxmlformats.org/officeDocument/2006/relationships/hyperlink" Target="https://www.epa.gov/sites/production/files/2016-01/documents/ncca_2010_technical_report_2016012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epa.gov/type/oceb/assessmonitor/downloads.cfm" TargetMode="External"/><Relationship Id="rId5" Type="http://schemas.openxmlformats.org/officeDocument/2006/relationships/webSettings" Target="webSettings.xml"/><Relationship Id="rId15" Type="http://schemas.openxmlformats.org/officeDocument/2006/relationships/hyperlink" Target="https://www.epa.gov/national-aquatic-resource-surveys/national-coastal-condition-assessment-2010-report" TargetMode="External"/><Relationship Id="rId10" Type="http://schemas.openxmlformats.org/officeDocument/2006/relationships/hyperlink" Target="http://water.epa.gov/type/oceb/assessmonitor/nccr/downloads.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ater.epa.gov/type/oceb/assessmonitor/nccr/downloads.cfm" TargetMode="External"/><Relationship Id="rId14" Type="http://schemas.openxmlformats.org/officeDocument/2006/relationships/hyperlink" Target="https://www.epa.gov/sites/production/files/2016-03/documents/national_coastal_condition_assessment_2015_field_operation_manual_version_1.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F2F2-DEC0-4904-B971-2B407505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8402</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Chapter 4.5 Estuarine Probabilistic Monitoring Results</vt:lpstr>
    </vt:vector>
  </TitlesOfParts>
  <Company>Virginia IT Infrastructure Partnership</Company>
  <LinksUpToDate>false</LinksUpToDate>
  <CharactersWithSpaces>56182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Estuarine Probabilistic Monitoring Results</dc:title>
  <dc:creator>Donald H. Smith</dc:creator>
  <cp:lastModifiedBy>Shaver, Amanda (DEQ)</cp:lastModifiedBy>
  <cp:revision>2</cp:revision>
  <cp:lastPrinted>2018-03-19T19:33:00Z</cp:lastPrinted>
  <dcterms:created xsi:type="dcterms:W3CDTF">2022-09-20T12:54:00Z</dcterms:created>
  <dcterms:modified xsi:type="dcterms:W3CDTF">2022-09-20T12:54:00Z</dcterms:modified>
</cp:coreProperties>
</file>