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9919" w14:textId="02494E61" w:rsidR="004D726B" w:rsidRDefault="004D726B" w:rsidP="00ED5693">
      <w:pPr>
        <w:pStyle w:val="Heading1"/>
        <w:ind w:left="-540" w:right="-450"/>
        <w:rPr>
          <w:rFonts w:ascii="Arial" w:hAnsi="Arial" w:cs="Arial"/>
          <w:sz w:val="28"/>
        </w:rPr>
      </w:pPr>
      <w:r>
        <w:rPr>
          <w:noProof/>
        </w:rPr>
        <w:drawing>
          <wp:inline distT="0" distB="0" distL="0" distR="0" wp14:anchorId="03252AE1" wp14:editId="3A1753F3">
            <wp:extent cx="1428750" cy="584627"/>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584627"/>
                    </a:xfrm>
                    <a:prstGeom prst="rect">
                      <a:avLst/>
                    </a:prstGeom>
                  </pic:spPr>
                </pic:pic>
              </a:graphicData>
            </a:graphic>
          </wp:inline>
        </w:drawing>
      </w:r>
      <w:r>
        <w:tab/>
      </w:r>
      <w:r>
        <w:tab/>
      </w:r>
      <w:r>
        <w:tab/>
      </w:r>
      <w:r>
        <w:tab/>
      </w:r>
      <w:r>
        <w:tab/>
      </w:r>
      <w:r>
        <w:tab/>
      </w:r>
      <w:r>
        <w:tab/>
      </w:r>
      <w:r w:rsidR="0019143E">
        <w:rPr>
          <w:noProof/>
        </w:rPr>
        <w:drawing>
          <wp:inline distT="0" distB="0" distL="0" distR="0" wp14:anchorId="2D826DFB" wp14:editId="48D2AB39">
            <wp:extent cx="1828800" cy="6096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5DBABD20" w14:textId="5289BD0B" w:rsidR="6804A6AB" w:rsidRDefault="6804A6AB" w:rsidP="6804A6AB">
      <w:pPr>
        <w:pStyle w:val="Heading1"/>
        <w:ind w:left="-540"/>
        <w:jc w:val="center"/>
        <w:rPr>
          <w:rFonts w:ascii="Arial" w:hAnsi="Arial" w:cs="Arial"/>
          <w:sz w:val="28"/>
          <w:szCs w:val="28"/>
        </w:rPr>
      </w:pPr>
    </w:p>
    <w:p w14:paraId="5722744E" w14:textId="2DB556F8" w:rsidR="0019143E" w:rsidRDefault="0019143E" w:rsidP="0019143E">
      <w:pPr>
        <w:pStyle w:val="Heading1"/>
        <w:ind w:left="-540"/>
        <w:jc w:val="center"/>
        <w:rPr>
          <w:rFonts w:ascii="Arial" w:hAnsi="Arial" w:cs="Arial"/>
          <w:sz w:val="28"/>
          <w:szCs w:val="28"/>
        </w:rPr>
      </w:pPr>
      <w:r w:rsidRPr="7F2A9B98">
        <w:rPr>
          <w:rFonts w:ascii="Arial" w:hAnsi="Arial" w:cs="Arial"/>
          <w:sz w:val="28"/>
          <w:szCs w:val="28"/>
        </w:rPr>
        <w:t xml:space="preserve">State Programmatic General Permit </w:t>
      </w:r>
    </w:p>
    <w:p w14:paraId="314CC193" w14:textId="2FB1E81D" w:rsidR="0019143E" w:rsidRPr="0019143E" w:rsidRDefault="0019143E" w:rsidP="7C011861">
      <w:pPr>
        <w:pStyle w:val="Heading1"/>
        <w:ind w:left="-540"/>
        <w:jc w:val="center"/>
        <w:rPr>
          <w:rFonts w:ascii="Arial" w:hAnsi="Arial" w:cs="Arial"/>
          <w:bCs/>
          <w:sz w:val="28"/>
          <w:szCs w:val="28"/>
        </w:rPr>
      </w:pPr>
      <w:r w:rsidRPr="7C011861">
        <w:rPr>
          <w:rFonts w:ascii="Arial" w:hAnsi="Arial" w:cs="Arial"/>
          <w:bCs/>
          <w:sz w:val="28"/>
          <w:szCs w:val="28"/>
        </w:rPr>
        <w:t>22-SPGP-RCIR and 22-SPGP-LT</w:t>
      </w:r>
    </w:p>
    <w:p w14:paraId="78C5EBF7" w14:textId="6BCFB6EC" w:rsidR="005D5CA8" w:rsidRPr="00CE1D53" w:rsidRDefault="002973B8" w:rsidP="7C011861">
      <w:pPr>
        <w:pStyle w:val="Heading1"/>
        <w:ind w:left="-540"/>
        <w:jc w:val="center"/>
        <w:rPr>
          <w:rFonts w:ascii="Arial" w:hAnsi="Arial" w:cs="Arial"/>
          <w:sz w:val="28"/>
          <w:szCs w:val="28"/>
        </w:rPr>
      </w:pPr>
      <w:r w:rsidRPr="7C011861">
        <w:rPr>
          <w:rFonts w:ascii="Arial" w:hAnsi="Arial" w:cs="Arial"/>
          <w:sz w:val="28"/>
          <w:szCs w:val="28"/>
        </w:rPr>
        <w:t xml:space="preserve">Complete </w:t>
      </w:r>
      <w:r w:rsidR="005D5CA8" w:rsidRPr="7C011861">
        <w:rPr>
          <w:rFonts w:ascii="Arial" w:hAnsi="Arial" w:cs="Arial"/>
          <w:sz w:val="28"/>
          <w:szCs w:val="28"/>
        </w:rPr>
        <w:t>Application Checklist</w:t>
      </w:r>
      <w:r w:rsidR="00782F42" w:rsidRPr="7C011861">
        <w:rPr>
          <w:rFonts w:ascii="Arial" w:hAnsi="Arial" w:cs="Arial"/>
          <w:sz w:val="28"/>
          <w:szCs w:val="28"/>
        </w:rPr>
        <w:t xml:space="preserve"> </w:t>
      </w:r>
      <w:r w:rsidR="04BA4693" w:rsidRPr="7C011861">
        <w:rPr>
          <w:rFonts w:ascii="Arial" w:hAnsi="Arial" w:cs="Arial"/>
          <w:sz w:val="28"/>
          <w:szCs w:val="28"/>
        </w:rPr>
        <w:t>4</w:t>
      </w:r>
    </w:p>
    <w:p w14:paraId="3872D497" w14:textId="75F481F8" w:rsidR="005D5CA8" w:rsidRPr="00FE763B" w:rsidRDefault="005D5CA8" w:rsidP="1476682B">
      <w:pPr>
        <w:pStyle w:val="Heading1"/>
        <w:ind w:left="-540"/>
        <w:jc w:val="center"/>
        <w:rPr>
          <w:rFonts w:ascii="Arial" w:hAnsi="Arial" w:cs="Arial"/>
          <w:sz w:val="28"/>
          <w:szCs w:val="28"/>
        </w:rPr>
      </w:pPr>
    </w:p>
    <w:p w14:paraId="02D64106" w14:textId="42F2610C" w:rsidR="005D5CA8" w:rsidRPr="00A07BB5" w:rsidRDefault="00FE763B" w:rsidP="00FE763B">
      <w:pPr>
        <w:pStyle w:val="Heading1"/>
        <w:ind w:left="-540"/>
        <w:jc w:val="center"/>
        <w:rPr>
          <w:rFonts w:ascii="Arial" w:hAnsi="Arial" w:cs="Arial"/>
          <w:szCs w:val="24"/>
        </w:rPr>
      </w:pPr>
      <w:r w:rsidRPr="00A07BB5">
        <w:rPr>
          <w:rFonts w:ascii="Arial" w:hAnsi="Arial" w:cs="Arial"/>
          <w:szCs w:val="24"/>
        </w:rPr>
        <w:t>P</w:t>
      </w:r>
      <w:r w:rsidR="00782F42" w:rsidRPr="00A07BB5">
        <w:rPr>
          <w:rFonts w:ascii="Arial" w:hAnsi="Arial" w:cs="Arial"/>
          <w:szCs w:val="24"/>
        </w:rPr>
        <w:t xml:space="preserve">rojects </w:t>
      </w:r>
      <w:r w:rsidRPr="00A07BB5">
        <w:rPr>
          <w:rFonts w:ascii="Arial" w:hAnsi="Arial" w:cs="Arial"/>
          <w:szCs w:val="24"/>
        </w:rPr>
        <w:t>R</w:t>
      </w:r>
      <w:r w:rsidR="0019143E" w:rsidRPr="00A07BB5">
        <w:rPr>
          <w:rFonts w:ascii="Arial" w:hAnsi="Arial" w:cs="Arial"/>
          <w:szCs w:val="24"/>
        </w:rPr>
        <w:t>equiring a USACE</w:t>
      </w:r>
      <w:r w:rsidR="00CE1D53" w:rsidRPr="00A07BB5">
        <w:rPr>
          <w:rFonts w:ascii="Arial" w:hAnsi="Arial" w:cs="Arial"/>
          <w:szCs w:val="24"/>
        </w:rPr>
        <w:t>-Norfolk District</w:t>
      </w:r>
      <w:r w:rsidR="0019143E" w:rsidRPr="00A07BB5">
        <w:rPr>
          <w:rFonts w:ascii="Arial" w:hAnsi="Arial" w:cs="Arial"/>
          <w:szCs w:val="24"/>
        </w:rPr>
        <w:t xml:space="preserve"> 22-SPGP-RCIR or 22-SPGP-LT </w:t>
      </w:r>
      <w:r w:rsidRPr="00A07BB5">
        <w:rPr>
          <w:rFonts w:ascii="Arial" w:hAnsi="Arial" w:cs="Arial"/>
          <w:szCs w:val="24"/>
        </w:rPr>
        <w:t>V</w:t>
      </w:r>
      <w:r w:rsidR="0019143E" w:rsidRPr="00A07BB5">
        <w:rPr>
          <w:rFonts w:ascii="Arial" w:hAnsi="Arial" w:cs="Arial"/>
          <w:szCs w:val="24"/>
        </w:rPr>
        <w:t>erification</w:t>
      </w:r>
    </w:p>
    <w:p w14:paraId="01B70F9C" w14:textId="1515EE06" w:rsidR="00845EED" w:rsidRPr="00AF1F1B" w:rsidRDefault="00845EED" w:rsidP="00AF1F1B">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450" w:right="-450"/>
        <w:jc w:val="both"/>
        <w:rPr>
          <w:rFonts w:ascii="Arial" w:hAnsi="Arial" w:cs="Arial"/>
          <w:b w:val="0"/>
          <w:sz w:val="20"/>
        </w:rPr>
      </w:pPr>
    </w:p>
    <w:p w14:paraId="29B1B411" w14:textId="20D63FD6" w:rsidR="00CE1D53" w:rsidRDefault="001C5086" w:rsidP="00F164F7">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450"/>
        <w:jc w:val="both"/>
        <w:rPr>
          <w:rFonts w:ascii="Arial" w:hAnsi="Arial" w:cs="Arial"/>
          <w:b w:val="0"/>
          <w:bCs/>
          <w:sz w:val="20"/>
        </w:rPr>
      </w:pPr>
      <w:r w:rsidRPr="005A0DEB">
        <w:rPr>
          <w:rFonts w:ascii="Arial" w:hAnsi="Arial" w:cs="Arial"/>
          <w:b w:val="0"/>
          <w:bCs/>
          <w:sz w:val="20"/>
        </w:rPr>
        <w:t>The</w:t>
      </w:r>
      <w:r w:rsidR="0054216F">
        <w:rPr>
          <w:rFonts w:ascii="Arial" w:hAnsi="Arial" w:cs="Arial"/>
          <w:b w:val="0"/>
          <w:bCs/>
          <w:sz w:val="20"/>
        </w:rPr>
        <w:t xml:space="preserve"> 22-</w:t>
      </w:r>
      <w:r w:rsidR="00CE1D53">
        <w:rPr>
          <w:rFonts w:ascii="Arial" w:hAnsi="Arial" w:cs="Arial"/>
          <w:b w:val="0"/>
          <w:bCs/>
          <w:sz w:val="20"/>
        </w:rPr>
        <w:t>SPGP</w:t>
      </w:r>
      <w:r w:rsidR="0054216F">
        <w:rPr>
          <w:rFonts w:ascii="Arial" w:hAnsi="Arial" w:cs="Arial"/>
          <w:b w:val="0"/>
          <w:bCs/>
          <w:sz w:val="20"/>
        </w:rPr>
        <w:t>-RCIR (Residential, Commercial, Institutional, and Recreational activities) and 22-SPGP-LT (Linear Transportation activities)</w:t>
      </w:r>
      <w:r w:rsidR="00CE1D53">
        <w:rPr>
          <w:rFonts w:ascii="Arial" w:hAnsi="Arial" w:cs="Arial"/>
          <w:b w:val="0"/>
          <w:bCs/>
          <w:sz w:val="20"/>
        </w:rPr>
        <w:t xml:space="preserve"> </w:t>
      </w:r>
      <w:r w:rsidR="00AD73F7">
        <w:rPr>
          <w:rFonts w:ascii="Arial" w:hAnsi="Arial" w:cs="Arial"/>
          <w:b w:val="0"/>
          <w:bCs/>
          <w:sz w:val="20"/>
        </w:rPr>
        <w:t>we</w:t>
      </w:r>
      <w:r w:rsidR="00CE1D53">
        <w:rPr>
          <w:rFonts w:ascii="Arial" w:hAnsi="Arial" w:cs="Arial"/>
          <w:b w:val="0"/>
          <w:bCs/>
          <w:sz w:val="20"/>
        </w:rPr>
        <w:t xml:space="preserve">re issued by the </w:t>
      </w:r>
      <w:hyperlink r:id="rId12">
        <w:r w:rsidR="00CE1D53" w:rsidRPr="7F2A9B98">
          <w:rPr>
            <w:rStyle w:val="Hyperlink"/>
            <w:rFonts w:ascii="Arial" w:hAnsi="Arial" w:cs="Arial"/>
            <w:b w:val="0"/>
            <w:sz w:val="20"/>
          </w:rPr>
          <w:t>USACE-Norfolk District</w:t>
        </w:r>
      </w:hyperlink>
      <w:r w:rsidR="00AD73F7" w:rsidRPr="7F2A9B98">
        <w:rPr>
          <w:rFonts w:ascii="Arial" w:hAnsi="Arial" w:cs="Arial"/>
          <w:b w:val="0"/>
          <w:sz w:val="20"/>
        </w:rPr>
        <w:t xml:space="preserve"> in 2022</w:t>
      </w:r>
      <w:r w:rsidR="00CE1D53" w:rsidRPr="7F2A9B98">
        <w:rPr>
          <w:rFonts w:ascii="Arial" w:hAnsi="Arial" w:cs="Arial"/>
          <w:b w:val="0"/>
          <w:sz w:val="20"/>
        </w:rPr>
        <w:t>.</w:t>
      </w:r>
      <w:r w:rsidR="00CE1D53">
        <w:rPr>
          <w:rFonts w:ascii="Arial" w:hAnsi="Arial" w:cs="Arial"/>
          <w:b w:val="0"/>
          <w:bCs/>
          <w:sz w:val="20"/>
        </w:rPr>
        <w:t xml:space="preserve"> The Virginia Water Protection (</w:t>
      </w:r>
      <w:r w:rsidRPr="005A0DEB">
        <w:rPr>
          <w:rFonts w:ascii="Arial" w:hAnsi="Arial" w:cs="Arial"/>
          <w:b w:val="0"/>
          <w:bCs/>
          <w:sz w:val="20"/>
        </w:rPr>
        <w:t>VWP</w:t>
      </w:r>
      <w:r w:rsidR="00CE1D53">
        <w:rPr>
          <w:rFonts w:ascii="Arial" w:hAnsi="Arial" w:cs="Arial"/>
          <w:b w:val="0"/>
          <w:bCs/>
          <w:sz w:val="20"/>
        </w:rPr>
        <w:t xml:space="preserve">) Permit Program works in conjunction with USACE-Norfolk District to provide verification of coverage under these </w:t>
      </w:r>
      <w:r w:rsidR="2ECBA026" w:rsidRPr="7F2A9B98">
        <w:rPr>
          <w:rFonts w:ascii="Arial" w:hAnsi="Arial" w:cs="Arial"/>
          <w:b w:val="0"/>
          <w:sz w:val="20"/>
        </w:rPr>
        <w:t>State Programmatic General Permits</w:t>
      </w:r>
      <w:r w:rsidR="00CE1D53" w:rsidRPr="7F2A9B98">
        <w:rPr>
          <w:rFonts w:ascii="Arial" w:hAnsi="Arial" w:cs="Arial"/>
          <w:b w:val="0"/>
          <w:sz w:val="20"/>
        </w:rPr>
        <w:t xml:space="preserve"> </w:t>
      </w:r>
      <w:r w:rsidR="19DC4D2A" w:rsidRPr="7F2A9B98">
        <w:rPr>
          <w:rFonts w:ascii="Arial" w:hAnsi="Arial" w:cs="Arial"/>
          <w:b w:val="0"/>
          <w:sz w:val="20"/>
        </w:rPr>
        <w:t>(</w:t>
      </w:r>
      <w:r w:rsidR="00CE1D53" w:rsidRPr="7F2A9B98">
        <w:rPr>
          <w:rFonts w:ascii="Arial" w:hAnsi="Arial" w:cs="Arial"/>
          <w:b w:val="0"/>
          <w:sz w:val="20"/>
        </w:rPr>
        <w:t>SPGP</w:t>
      </w:r>
      <w:r w:rsidR="00ADC7E9" w:rsidRPr="7F2A9B98">
        <w:rPr>
          <w:rFonts w:ascii="Arial" w:hAnsi="Arial" w:cs="Arial"/>
          <w:b w:val="0"/>
          <w:sz w:val="20"/>
        </w:rPr>
        <w:t>)</w:t>
      </w:r>
      <w:r w:rsidR="00CE1D53">
        <w:rPr>
          <w:rFonts w:ascii="Arial" w:hAnsi="Arial" w:cs="Arial"/>
          <w:b w:val="0"/>
          <w:bCs/>
          <w:sz w:val="20"/>
        </w:rPr>
        <w:t xml:space="preserve"> per requirements and Standard Operating Procedures developed by USACE-Norfolk District.</w:t>
      </w:r>
    </w:p>
    <w:p w14:paraId="70680D53" w14:textId="77777777" w:rsidR="00CE1D53" w:rsidRDefault="00CE1D53" w:rsidP="00F164F7">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450"/>
        <w:jc w:val="both"/>
        <w:rPr>
          <w:rFonts w:ascii="Arial" w:hAnsi="Arial" w:cs="Arial"/>
          <w:b w:val="0"/>
          <w:bCs/>
          <w:sz w:val="20"/>
        </w:rPr>
      </w:pPr>
    </w:p>
    <w:p w14:paraId="2DE252FD" w14:textId="015D1111" w:rsidR="00A74111" w:rsidRDefault="00A74111" w:rsidP="00A74111">
      <w:pPr>
        <w:ind w:left="-547" w:right="-540"/>
        <w:jc w:val="both"/>
        <w:rPr>
          <w:rFonts w:ascii="Arial" w:hAnsi="Arial" w:cs="Arial"/>
          <w:sz w:val="20"/>
        </w:rPr>
      </w:pPr>
      <w:r w:rsidRPr="006F2BB4">
        <w:rPr>
          <w:rFonts w:ascii="Arial" w:hAnsi="Arial" w:cs="Arial"/>
          <w:b/>
          <w:bCs/>
          <w:sz w:val="20"/>
        </w:rPr>
        <w:t>Disclaimer:</w:t>
      </w:r>
      <w:r w:rsidRPr="00625F87">
        <w:rPr>
          <w:rFonts w:ascii="Arial" w:hAnsi="Arial" w:cs="Arial"/>
          <w:sz w:val="20"/>
        </w:rPr>
        <w:t xml:space="preserve"> </w:t>
      </w:r>
      <w:r>
        <w:rPr>
          <w:rFonts w:ascii="Arial" w:hAnsi="Arial" w:cs="Arial"/>
          <w:bCs/>
          <w:sz w:val="20"/>
        </w:rPr>
        <w:t>Checklists are provided</w:t>
      </w:r>
      <w:r>
        <w:rPr>
          <w:rFonts w:ascii="Arial" w:hAnsi="Arial" w:cs="Arial"/>
          <w:sz w:val="20"/>
        </w:rPr>
        <w:t xml:space="preserve"> as a tool when applying for a VWP individual permit or general permit coverage and for preparing a Joint Permit Application (JPA). Because the JPA is used by several agencies, all applicable sections of the JPA should be completed whether or not the item can be directly associated with a DEQ regulatory requirement. </w:t>
      </w:r>
      <w:r>
        <w:rPr>
          <w:rFonts w:ascii="Arial" w:hAnsi="Arial" w:cs="Arial"/>
          <w:i/>
          <w:iCs/>
          <w:sz w:val="20"/>
        </w:rPr>
        <w:t>Item numbers below do not correspond to regulation numbering.</w:t>
      </w:r>
      <w:r>
        <w:rPr>
          <w:rFonts w:ascii="Arial" w:hAnsi="Arial" w:cs="Arial"/>
          <w:sz w:val="20"/>
        </w:rPr>
        <w:t xml:space="preserve"> DEQ decisions will be made by applying the State Water Control Law, VWP Permit Program regulations, and VWP Permit Program guidance to the site- and project-specific facts.</w:t>
      </w:r>
      <w:r>
        <w:rPr>
          <w:rFonts w:ascii="Arial" w:hAnsi="Arial" w:cs="Arial"/>
          <w:i/>
          <w:sz w:val="20"/>
        </w:rPr>
        <w:t xml:space="preserve"> Refer to the VWP Permit Program regulations, program guidance, and other references noted herein for details of required information for complete applications</w:t>
      </w:r>
      <w:r>
        <w:rPr>
          <w:rFonts w:ascii="Arial" w:hAnsi="Arial" w:cs="Arial"/>
          <w:sz w:val="20"/>
        </w:rPr>
        <w:t xml:space="preserve">. </w:t>
      </w:r>
    </w:p>
    <w:p w14:paraId="5E967CE4" w14:textId="77777777" w:rsidR="00A74111" w:rsidRDefault="00A74111" w:rsidP="00A74111">
      <w:pPr>
        <w:ind w:left="-547"/>
        <w:rPr>
          <w:rFonts w:ascii="Arial" w:hAnsi="Arial" w:cs="Arial"/>
          <w:sz w:val="20"/>
        </w:rPr>
      </w:pPr>
    </w:p>
    <w:p w14:paraId="50454260" w14:textId="11FFF0C3" w:rsidR="00A74111" w:rsidRDefault="00A74111" w:rsidP="44A47139">
      <w:pPr>
        <w:ind w:left="-547" w:right="-540"/>
        <w:jc w:val="both"/>
        <w:rPr>
          <w:rFonts w:ascii="Arial" w:hAnsi="Arial" w:cs="Arial"/>
          <w:sz w:val="20"/>
        </w:rPr>
      </w:pPr>
      <w:r w:rsidRPr="44A47139">
        <w:rPr>
          <w:rFonts w:ascii="Arial" w:hAnsi="Arial" w:cs="Arial"/>
          <w:sz w:val="20"/>
        </w:rPr>
        <w:t>DEQ</w:t>
      </w:r>
      <w:r w:rsidR="005418E8">
        <w:rPr>
          <w:rFonts w:ascii="Arial" w:hAnsi="Arial" w:cs="Arial"/>
          <w:sz w:val="20"/>
        </w:rPr>
        <w:t xml:space="preserve"> </w:t>
      </w:r>
      <w:r w:rsidRPr="44A47139">
        <w:rPr>
          <w:rFonts w:ascii="Arial" w:hAnsi="Arial" w:cs="Arial"/>
          <w:sz w:val="20"/>
        </w:rPr>
        <w:t>can provide assistance or redirection for questions about this checklist</w:t>
      </w:r>
      <w:r w:rsidR="00802631" w:rsidRPr="44A47139">
        <w:rPr>
          <w:rFonts w:ascii="Arial" w:hAnsi="Arial" w:cs="Arial"/>
          <w:sz w:val="20"/>
        </w:rPr>
        <w:t>, p</w:t>
      </w:r>
      <w:r w:rsidR="6543081E" w:rsidRPr="44A47139">
        <w:rPr>
          <w:rFonts w:ascii="Arial" w:hAnsi="Arial" w:cs="Arial"/>
          <w:sz w:val="20"/>
        </w:rPr>
        <w:t>lease contact</w:t>
      </w:r>
      <w:r w:rsidRPr="44A47139">
        <w:rPr>
          <w:rFonts w:ascii="Arial" w:hAnsi="Arial" w:cs="Arial"/>
          <w:sz w:val="20"/>
        </w:rPr>
        <w:t xml:space="preserve"> </w:t>
      </w:r>
      <w:r w:rsidR="4462430E" w:rsidRPr="44A47139">
        <w:rPr>
          <w:rFonts w:ascii="Arial" w:eastAsia="Arial" w:hAnsi="Arial" w:cs="Arial"/>
          <w:color w:val="000000" w:themeColor="text1"/>
          <w:sz w:val="20"/>
        </w:rPr>
        <w:t>Dave Davis (</w:t>
      </w:r>
      <w:hyperlink r:id="rId13">
        <w:r w:rsidR="4462430E" w:rsidRPr="44A47139">
          <w:rPr>
            <w:rStyle w:val="Hyperlink"/>
            <w:rFonts w:ascii="Arial" w:eastAsia="Arial" w:hAnsi="Arial" w:cs="Arial"/>
            <w:sz w:val="20"/>
          </w:rPr>
          <w:t>dave.davis@deq.virginia.gov</w:t>
        </w:r>
      </w:hyperlink>
      <w:r w:rsidR="4462430E" w:rsidRPr="44A47139">
        <w:rPr>
          <w:rFonts w:ascii="Arial" w:eastAsia="Arial" w:hAnsi="Arial" w:cs="Arial"/>
          <w:color w:val="000000" w:themeColor="text1"/>
          <w:sz w:val="20"/>
        </w:rPr>
        <w:t>; 804-698-4516)</w:t>
      </w:r>
      <w:r w:rsidRPr="44A47139">
        <w:rPr>
          <w:rFonts w:ascii="Arial" w:hAnsi="Arial" w:cs="Arial"/>
          <w:sz w:val="20"/>
        </w:rPr>
        <w:t xml:space="preserve">. </w:t>
      </w:r>
    </w:p>
    <w:p w14:paraId="66EC559D" w14:textId="1307A980" w:rsidR="00A74111" w:rsidRDefault="00A74111" w:rsidP="5991D0D9">
      <w:pPr>
        <w:ind w:left="-547" w:right="-540"/>
        <w:jc w:val="both"/>
        <w:rPr>
          <w:rFonts w:ascii="Arial" w:hAnsi="Arial" w:cs="Arial"/>
          <w:sz w:val="20"/>
        </w:rPr>
      </w:pPr>
    </w:p>
    <w:p w14:paraId="4E420D85" w14:textId="72457C12" w:rsidR="00A74111" w:rsidRDefault="00A74111" w:rsidP="00A74111">
      <w:pPr>
        <w:ind w:left="-547" w:right="-540"/>
        <w:jc w:val="both"/>
        <w:rPr>
          <w:rFonts w:ascii="Arial" w:hAnsi="Arial" w:cs="Arial"/>
          <w:sz w:val="20"/>
        </w:rPr>
      </w:pPr>
      <w:r>
        <w:rPr>
          <w:rFonts w:ascii="Arial" w:hAnsi="Arial" w:cs="Arial"/>
          <w:sz w:val="20"/>
        </w:rPr>
        <w:t>Application status may be viewed on the DEQ Permit Enhancement and Evaluation Platform (</w:t>
      </w:r>
      <w:hyperlink r:id="rId14">
        <w:r w:rsidRPr="5991D0D9">
          <w:rPr>
            <w:rStyle w:val="Hyperlink"/>
            <w:rFonts w:ascii="Arial" w:hAnsi="Arial" w:cs="Arial"/>
            <w:sz w:val="20"/>
          </w:rPr>
          <w:t>PEEP</w:t>
        </w:r>
      </w:hyperlink>
      <w:r>
        <w:rPr>
          <w:rFonts w:ascii="Arial" w:hAnsi="Arial" w:cs="Arial"/>
          <w:sz w:val="20"/>
        </w:rPr>
        <w:t>).</w:t>
      </w:r>
    </w:p>
    <w:p w14:paraId="5D3EA2F8" w14:textId="77777777" w:rsidR="005D5CA8" w:rsidRPr="00CB1D0C" w:rsidRDefault="005D5CA8">
      <w:pPr>
        <w:rPr>
          <w:rFonts w:ascii="Arial" w:hAnsi="Arial" w:cs="Arial"/>
        </w:rPr>
      </w:pPr>
    </w:p>
    <w:p w14:paraId="46FEE606" w14:textId="641BF47F" w:rsidR="005D5CA8" w:rsidRPr="00CB1D0C" w:rsidRDefault="0095330C" w:rsidP="007A722C">
      <w:pPr>
        <w:pStyle w:val="BodyText"/>
        <w:ind w:left="-450"/>
        <w:jc w:val="left"/>
        <w:rPr>
          <w:rFonts w:ascii="Arial" w:hAnsi="Arial" w:cs="Arial"/>
          <w:b/>
          <w:sz w:val="28"/>
        </w:rPr>
      </w:pPr>
      <w:r>
        <w:rPr>
          <w:rFonts w:ascii="Arial" w:hAnsi="Arial" w:cs="Arial"/>
          <w:b/>
          <w:sz w:val="28"/>
        </w:rPr>
        <w:t>Prior to submitting an application, obtain from USACE-Norfolk District for a com</w:t>
      </w:r>
      <w:r w:rsidR="005E1233" w:rsidRPr="00CB1D0C">
        <w:rPr>
          <w:rFonts w:ascii="Arial" w:hAnsi="Arial" w:cs="Arial"/>
          <w:b/>
          <w:sz w:val="28"/>
        </w:rPr>
        <w:t xml:space="preserve">plete </w:t>
      </w:r>
      <w:r w:rsidR="00CE1D53">
        <w:rPr>
          <w:rFonts w:ascii="Arial" w:hAnsi="Arial" w:cs="Arial"/>
          <w:b/>
          <w:sz w:val="28"/>
        </w:rPr>
        <w:t xml:space="preserve">SPGP </w:t>
      </w:r>
      <w:r w:rsidR="005E1233" w:rsidRPr="00CB1D0C">
        <w:rPr>
          <w:rFonts w:ascii="Arial" w:hAnsi="Arial" w:cs="Arial"/>
          <w:b/>
          <w:sz w:val="28"/>
        </w:rPr>
        <w:t>Application:</w:t>
      </w:r>
    </w:p>
    <w:p w14:paraId="5F84CD76" w14:textId="77777777" w:rsidR="004D566E" w:rsidRDefault="004D566E" w:rsidP="008E6C72">
      <w:pPr>
        <w:pStyle w:val="BodyText"/>
        <w:jc w:val="left"/>
        <w:rPr>
          <w:rFonts w:ascii="Arial" w:hAnsi="Arial" w:cs="Arial"/>
          <w:b/>
          <w:i/>
          <w:sz w:val="22"/>
          <w:szCs w:val="22"/>
        </w:rPr>
      </w:pPr>
    </w:p>
    <w:tbl>
      <w:tblPr>
        <w:tblStyle w:val="TableGrid"/>
        <w:tblW w:w="10425" w:type="dxa"/>
        <w:tblInd w:w="-455" w:type="dxa"/>
        <w:tblLayout w:type="fixed"/>
        <w:tblLook w:val="04A0" w:firstRow="1" w:lastRow="0" w:firstColumn="1" w:lastColumn="0" w:noHBand="0" w:noVBand="1"/>
      </w:tblPr>
      <w:tblGrid>
        <w:gridCol w:w="7290"/>
        <w:gridCol w:w="1350"/>
        <w:gridCol w:w="1785"/>
      </w:tblGrid>
      <w:tr w:rsidR="00044D21" w14:paraId="69DF1D5A" w14:textId="77777777" w:rsidTr="00802631">
        <w:trPr>
          <w:trHeight w:val="432"/>
          <w:tblHeader/>
        </w:trPr>
        <w:tc>
          <w:tcPr>
            <w:tcW w:w="7290" w:type="dxa"/>
            <w:shd w:val="clear" w:color="auto" w:fill="DEEAF6" w:themeFill="accent5" w:themeFillTint="33"/>
            <w:vAlign w:val="center"/>
          </w:tcPr>
          <w:p w14:paraId="2C60FFD1" w14:textId="4940595B" w:rsidR="00044D21" w:rsidRPr="004F5D5C" w:rsidRDefault="00A24B72" w:rsidP="004F5D5C">
            <w:pPr>
              <w:jc w:val="center"/>
              <w:rPr>
                <w:rFonts w:ascii="Arial" w:hAnsi="Arial" w:cs="Arial"/>
                <w:b/>
                <w:bCs/>
                <w:sz w:val="26"/>
                <w:szCs w:val="26"/>
              </w:rPr>
            </w:pPr>
            <w:r>
              <w:rPr>
                <w:rFonts w:ascii="Arial" w:hAnsi="Arial" w:cs="Arial"/>
                <w:b/>
                <w:bCs/>
                <w:sz w:val="26"/>
                <w:szCs w:val="26"/>
              </w:rPr>
              <w:t>Information Required</w:t>
            </w:r>
          </w:p>
        </w:tc>
        <w:tc>
          <w:tcPr>
            <w:tcW w:w="1350" w:type="dxa"/>
            <w:shd w:val="clear" w:color="auto" w:fill="DEEAF6" w:themeFill="accent5" w:themeFillTint="33"/>
            <w:vAlign w:val="center"/>
          </w:tcPr>
          <w:p w14:paraId="2042D01E" w14:textId="77777777"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Included</w:t>
            </w:r>
          </w:p>
          <w:p w14:paraId="3E36C48C" w14:textId="11AF6074"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(Y</w:t>
            </w:r>
            <w:r w:rsidR="008370D0">
              <w:rPr>
                <w:rFonts w:ascii="Arial" w:hAnsi="Arial" w:cs="Arial"/>
                <w:b/>
                <w:bCs/>
                <w:sz w:val="26"/>
                <w:szCs w:val="26"/>
              </w:rPr>
              <w:t>,</w:t>
            </w:r>
            <w:r w:rsidRPr="00625F87">
              <w:rPr>
                <w:rFonts w:ascii="Arial" w:hAnsi="Arial" w:cs="Arial"/>
                <w:b/>
                <w:bCs/>
                <w:sz w:val="26"/>
                <w:szCs w:val="26"/>
              </w:rPr>
              <w:t xml:space="preserve"> N</w:t>
            </w:r>
            <w:r w:rsidR="008370D0">
              <w:rPr>
                <w:rFonts w:ascii="Arial" w:hAnsi="Arial" w:cs="Arial"/>
                <w:b/>
                <w:bCs/>
                <w:sz w:val="26"/>
                <w:szCs w:val="26"/>
              </w:rPr>
              <w:t>, or N</w:t>
            </w:r>
            <w:r w:rsidR="00802631">
              <w:rPr>
                <w:rFonts w:ascii="Arial" w:hAnsi="Arial" w:cs="Arial"/>
                <w:b/>
                <w:bCs/>
                <w:sz w:val="26"/>
                <w:szCs w:val="26"/>
              </w:rPr>
              <w:t>/</w:t>
            </w:r>
            <w:r w:rsidR="008370D0">
              <w:rPr>
                <w:rFonts w:ascii="Arial" w:hAnsi="Arial" w:cs="Arial"/>
                <w:b/>
                <w:bCs/>
                <w:sz w:val="26"/>
                <w:szCs w:val="26"/>
              </w:rPr>
              <w:t>A</w:t>
            </w:r>
            <w:r w:rsidRPr="00625F87">
              <w:rPr>
                <w:rFonts w:ascii="Arial" w:hAnsi="Arial" w:cs="Arial"/>
                <w:b/>
                <w:bCs/>
                <w:sz w:val="26"/>
                <w:szCs w:val="26"/>
              </w:rPr>
              <w:t>)</w:t>
            </w:r>
          </w:p>
        </w:tc>
        <w:tc>
          <w:tcPr>
            <w:tcW w:w="1785" w:type="dxa"/>
            <w:shd w:val="clear" w:color="auto" w:fill="DEEAF6" w:themeFill="accent5" w:themeFillTint="33"/>
            <w:vAlign w:val="center"/>
          </w:tcPr>
          <w:p w14:paraId="561F0ACC" w14:textId="77777777"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Page Number(s)</w:t>
            </w:r>
          </w:p>
          <w:p w14:paraId="7FEE0913" w14:textId="77777777"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Or Location(s)</w:t>
            </w:r>
          </w:p>
        </w:tc>
      </w:tr>
      <w:tr w:rsidR="00044D21" w14:paraId="6CB0AA51" w14:textId="77777777" w:rsidTr="00802631">
        <w:trPr>
          <w:trHeight w:val="1152"/>
        </w:trPr>
        <w:tc>
          <w:tcPr>
            <w:tcW w:w="7290" w:type="dxa"/>
          </w:tcPr>
          <w:p w14:paraId="48BE75E2" w14:textId="130101D5" w:rsidR="00044D21" w:rsidRDefault="00A740B5" w:rsidP="00477B38">
            <w:pPr>
              <w:pStyle w:val="BodyText"/>
              <w:jc w:val="both"/>
              <w:rPr>
                <w:rFonts w:ascii="Arial" w:hAnsi="Arial" w:cs="Arial"/>
                <w:sz w:val="22"/>
              </w:rPr>
            </w:pPr>
            <w:r>
              <w:rPr>
                <w:rFonts w:ascii="Arial" w:hAnsi="Arial" w:cs="Arial"/>
                <w:sz w:val="22"/>
              </w:rPr>
              <w:t xml:space="preserve">1. </w:t>
            </w:r>
            <w:r w:rsidR="00C720CE">
              <w:rPr>
                <w:rFonts w:ascii="Arial" w:hAnsi="Arial" w:cs="Arial"/>
                <w:sz w:val="22"/>
              </w:rPr>
              <w:t>A valid Preliminary Screening Form, Preliminary Jurisdictional Determination (PJD) from the USACE, or Approved PJD from the USACE</w:t>
            </w:r>
          </w:p>
          <w:p w14:paraId="337EF3D5" w14:textId="77777777" w:rsidR="0023219E" w:rsidRDefault="0023219E" w:rsidP="00477B38">
            <w:pPr>
              <w:pStyle w:val="BodyText"/>
              <w:jc w:val="both"/>
              <w:rPr>
                <w:rFonts w:ascii="Arial" w:hAnsi="Arial" w:cs="Arial"/>
                <w:sz w:val="22"/>
              </w:rPr>
            </w:pPr>
          </w:p>
          <w:p w14:paraId="189A31FE" w14:textId="43B50802" w:rsidR="0023219E" w:rsidRPr="00A74111" w:rsidRDefault="0023219E" w:rsidP="00477B38">
            <w:pPr>
              <w:pStyle w:val="BodyText"/>
              <w:jc w:val="both"/>
              <w:rPr>
                <w:rFonts w:ascii="Arial" w:hAnsi="Arial" w:cs="Arial"/>
                <w:sz w:val="16"/>
                <w:szCs w:val="16"/>
              </w:rPr>
            </w:pPr>
            <w:r w:rsidRPr="00A74111">
              <w:rPr>
                <w:rFonts w:ascii="Arial" w:hAnsi="Arial" w:cs="Arial"/>
                <w:sz w:val="16"/>
                <w:szCs w:val="16"/>
              </w:rPr>
              <w:t>[</w:t>
            </w:r>
            <w:r w:rsidRPr="00A74111">
              <w:rPr>
                <w:rFonts w:ascii="Arial" w:hAnsi="Arial" w:cs="Arial"/>
                <w:b/>
                <w:bCs/>
                <w:sz w:val="16"/>
                <w:szCs w:val="16"/>
              </w:rPr>
              <w:t xml:space="preserve">Note: </w:t>
            </w:r>
            <w:r w:rsidRPr="00A74111">
              <w:rPr>
                <w:rFonts w:ascii="Arial" w:hAnsi="Arial" w:cs="Arial"/>
                <w:sz w:val="16"/>
                <w:szCs w:val="16"/>
              </w:rPr>
              <w:t xml:space="preserve">See DEQ Memorandum </w:t>
            </w:r>
            <w:r w:rsidRPr="00A74111">
              <w:rPr>
                <w:rFonts w:ascii="Arial" w:hAnsi="Arial" w:cs="Arial"/>
                <w:i/>
                <w:iCs/>
                <w:sz w:val="16"/>
                <w:szCs w:val="16"/>
              </w:rPr>
              <w:t>Recent Supreme Court Decision Sackett v. Environmental Protection Agency (EPA) - Effect in Virginia and How to Move Forward Without Economic Dislocation</w:t>
            </w:r>
            <w:r w:rsidRPr="00A74111">
              <w:rPr>
                <w:rFonts w:ascii="Arial" w:hAnsi="Arial" w:cs="Arial"/>
                <w:sz w:val="16"/>
                <w:szCs w:val="16"/>
              </w:rPr>
              <w:t>, June 29, 2023, for more information about obtaining boundary and feature verifications in VA]</w:t>
            </w:r>
          </w:p>
        </w:tc>
        <w:tc>
          <w:tcPr>
            <w:tcW w:w="1350" w:type="dxa"/>
          </w:tcPr>
          <w:p w14:paraId="6E7CA640" w14:textId="77777777" w:rsidR="00044D21" w:rsidRDefault="00044D21" w:rsidP="00CF7D33"/>
        </w:tc>
        <w:tc>
          <w:tcPr>
            <w:tcW w:w="1785" w:type="dxa"/>
          </w:tcPr>
          <w:p w14:paraId="3F02E24E" w14:textId="77777777" w:rsidR="00044D21" w:rsidRDefault="00044D21" w:rsidP="00CF7D33"/>
        </w:tc>
      </w:tr>
      <w:tr w:rsidR="00044D21" w14:paraId="69CC6D11" w14:textId="77777777" w:rsidTr="00802631">
        <w:trPr>
          <w:trHeight w:val="710"/>
        </w:trPr>
        <w:tc>
          <w:tcPr>
            <w:tcW w:w="7290" w:type="dxa"/>
          </w:tcPr>
          <w:p w14:paraId="46DB983D" w14:textId="1367B362" w:rsidR="00044D21" w:rsidRPr="006B52C1" w:rsidRDefault="00A740B5" w:rsidP="0095330C">
            <w:pPr>
              <w:pStyle w:val="BodyText"/>
              <w:jc w:val="both"/>
              <w:rPr>
                <w:rFonts w:ascii="Arial" w:hAnsi="Arial" w:cs="Arial"/>
                <w:sz w:val="22"/>
              </w:rPr>
            </w:pPr>
            <w:r>
              <w:rPr>
                <w:rFonts w:ascii="Arial" w:hAnsi="Arial" w:cs="Arial"/>
                <w:sz w:val="22"/>
              </w:rPr>
              <w:t xml:space="preserve">2. </w:t>
            </w:r>
            <w:r w:rsidR="00C720CE">
              <w:rPr>
                <w:rFonts w:ascii="Arial" w:hAnsi="Arial" w:cs="Arial"/>
                <w:sz w:val="22"/>
              </w:rPr>
              <w:t xml:space="preserve">A development plan </w:t>
            </w:r>
            <w:r w:rsidR="0095330C">
              <w:rPr>
                <w:rFonts w:ascii="Arial" w:hAnsi="Arial" w:cs="Arial"/>
                <w:sz w:val="22"/>
              </w:rPr>
              <w:t xml:space="preserve">that </w:t>
            </w:r>
            <w:r w:rsidR="0095330C" w:rsidRPr="0095330C">
              <w:rPr>
                <w:rFonts w:ascii="Arial" w:hAnsi="Arial" w:cs="Arial"/>
                <w:sz w:val="22"/>
              </w:rPr>
              <w:t>accurately accounts for all impacts to W</w:t>
            </w:r>
            <w:r w:rsidR="0095330C">
              <w:rPr>
                <w:rFonts w:ascii="Arial" w:hAnsi="Arial" w:cs="Arial"/>
                <w:sz w:val="22"/>
              </w:rPr>
              <w:t>aters of the United States (W</w:t>
            </w:r>
            <w:r w:rsidR="0095330C" w:rsidRPr="0095330C">
              <w:rPr>
                <w:rFonts w:ascii="Arial" w:hAnsi="Arial" w:cs="Arial"/>
                <w:sz w:val="22"/>
              </w:rPr>
              <w:t>OTUS</w:t>
            </w:r>
            <w:r w:rsidR="0095330C">
              <w:rPr>
                <w:rFonts w:ascii="Arial" w:hAnsi="Arial" w:cs="Arial"/>
                <w:sz w:val="22"/>
              </w:rPr>
              <w:t>)</w:t>
            </w:r>
            <w:r w:rsidR="0095330C" w:rsidRPr="0095330C">
              <w:rPr>
                <w:rFonts w:ascii="Arial" w:hAnsi="Arial" w:cs="Arial"/>
                <w:sz w:val="22"/>
              </w:rPr>
              <w:t>, including secondary impacts</w:t>
            </w:r>
            <w:r w:rsidR="0095330C">
              <w:rPr>
                <w:rFonts w:ascii="Arial" w:hAnsi="Arial" w:cs="Arial"/>
                <w:sz w:val="22"/>
              </w:rPr>
              <w:t>, and that is acceptable by the USACE for permitting (includes all types of impacts, to WOTUS such as fill, dredging, temporary, permanent, etc.)</w:t>
            </w:r>
          </w:p>
        </w:tc>
        <w:tc>
          <w:tcPr>
            <w:tcW w:w="1350" w:type="dxa"/>
          </w:tcPr>
          <w:p w14:paraId="716C491A" w14:textId="77777777" w:rsidR="00044D21" w:rsidRDefault="00044D21" w:rsidP="00CF7D33"/>
        </w:tc>
        <w:tc>
          <w:tcPr>
            <w:tcW w:w="1785" w:type="dxa"/>
          </w:tcPr>
          <w:p w14:paraId="623D6EB1" w14:textId="77777777" w:rsidR="00044D21" w:rsidRDefault="00044D21" w:rsidP="00CF7D33"/>
        </w:tc>
      </w:tr>
      <w:tr w:rsidR="00044D21" w14:paraId="76888D6D" w14:textId="77777777" w:rsidTr="00802631">
        <w:trPr>
          <w:trHeight w:val="314"/>
        </w:trPr>
        <w:tc>
          <w:tcPr>
            <w:tcW w:w="7290" w:type="dxa"/>
          </w:tcPr>
          <w:p w14:paraId="3497FAEF" w14:textId="76F2E8B3" w:rsidR="00044D21" w:rsidRPr="006B52C1" w:rsidRDefault="0095330C" w:rsidP="0095330C">
            <w:pPr>
              <w:pStyle w:val="BodyText"/>
              <w:jc w:val="both"/>
              <w:rPr>
                <w:rFonts w:ascii="Arial" w:hAnsi="Arial" w:cs="Arial"/>
                <w:sz w:val="22"/>
              </w:rPr>
            </w:pPr>
            <w:r>
              <w:rPr>
                <w:rFonts w:ascii="Arial" w:hAnsi="Arial" w:cs="Arial"/>
                <w:sz w:val="22"/>
              </w:rPr>
              <w:t>3</w:t>
            </w:r>
            <w:r w:rsidR="00A740B5">
              <w:rPr>
                <w:rFonts w:ascii="Arial" w:hAnsi="Arial" w:cs="Arial"/>
                <w:sz w:val="22"/>
              </w:rPr>
              <w:t xml:space="preserve">. </w:t>
            </w:r>
            <w:r>
              <w:rPr>
                <w:rFonts w:ascii="Arial" w:hAnsi="Arial" w:cs="Arial"/>
                <w:sz w:val="22"/>
              </w:rPr>
              <w:t>An accounting of all types of impacts (e.g., fill, dredging, temporary, permanent, etc.) to WOTUS</w:t>
            </w:r>
          </w:p>
        </w:tc>
        <w:tc>
          <w:tcPr>
            <w:tcW w:w="1350" w:type="dxa"/>
          </w:tcPr>
          <w:p w14:paraId="45828009" w14:textId="77777777" w:rsidR="00044D21" w:rsidRDefault="00044D21" w:rsidP="00CF7D33"/>
        </w:tc>
        <w:tc>
          <w:tcPr>
            <w:tcW w:w="1785" w:type="dxa"/>
          </w:tcPr>
          <w:p w14:paraId="3A76B19C" w14:textId="77777777" w:rsidR="00044D21" w:rsidRDefault="00044D21" w:rsidP="00CF7D33"/>
        </w:tc>
      </w:tr>
    </w:tbl>
    <w:p w14:paraId="37B85EA7" w14:textId="1BAE084D" w:rsidR="008E6C72" w:rsidRDefault="008E6C72" w:rsidP="002E1BA3">
      <w:pPr>
        <w:rPr>
          <w:rFonts w:ascii="Arial" w:hAnsi="Arial" w:cs="Arial"/>
          <w:sz w:val="22"/>
          <w:szCs w:val="22"/>
        </w:rPr>
      </w:pPr>
    </w:p>
    <w:p w14:paraId="7E81357B" w14:textId="3DEDA2C6" w:rsidR="006921A9" w:rsidRDefault="006921A9" w:rsidP="002E1BA3">
      <w:pPr>
        <w:rPr>
          <w:rFonts w:ascii="Arial" w:hAnsi="Arial" w:cs="Arial"/>
          <w:sz w:val="22"/>
          <w:szCs w:val="22"/>
        </w:rPr>
      </w:pPr>
    </w:p>
    <w:p w14:paraId="608A5FC4" w14:textId="5098307D" w:rsidR="006921A9" w:rsidRDefault="006921A9" w:rsidP="006921A9">
      <w:pPr>
        <w:ind w:left="-450"/>
        <w:rPr>
          <w:rFonts w:ascii="Arial" w:hAnsi="Arial" w:cs="Arial"/>
          <w:b/>
          <w:sz w:val="28"/>
        </w:rPr>
      </w:pPr>
      <w:r w:rsidRPr="00625F87">
        <w:rPr>
          <w:rFonts w:ascii="Arial" w:hAnsi="Arial" w:cs="Arial"/>
          <w:b/>
          <w:sz w:val="28"/>
        </w:rPr>
        <w:t xml:space="preserve">For a Complete </w:t>
      </w:r>
      <w:r>
        <w:rPr>
          <w:rFonts w:ascii="Arial" w:hAnsi="Arial" w:cs="Arial"/>
          <w:b/>
          <w:sz w:val="28"/>
        </w:rPr>
        <w:t xml:space="preserve">SPGP </w:t>
      </w:r>
      <w:r w:rsidRPr="00625F87">
        <w:rPr>
          <w:rFonts w:ascii="Arial" w:hAnsi="Arial" w:cs="Arial"/>
          <w:b/>
          <w:sz w:val="28"/>
        </w:rPr>
        <w:t>Application, provide at minimum:</w:t>
      </w:r>
    </w:p>
    <w:p w14:paraId="3977DCFC" w14:textId="77777777" w:rsidR="006921A9" w:rsidRPr="002E1BA3" w:rsidRDefault="006921A9" w:rsidP="006921A9">
      <w:pPr>
        <w:ind w:left="-450"/>
        <w:rPr>
          <w:rFonts w:ascii="Arial" w:hAnsi="Arial" w:cs="Arial"/>
          <w:sz w:val="22"/>
          <w:szCs w:val="22"/>
        </w:rPr>
      </w:pPr>
    </w:p>
    <w:tbl>
      <w:tblPr>
        <w:tblStyle w:val="TableGrid"/>
        <w:tblW w:w="10350" w:type="dxa"/>
        <w:tblInd w:w="-455" w:type="dxa"/>
        <w:tblLayout w:type="fixed"/>
        <w:tblLook w:val="04A0" w:firstRow="1" w:lastRow="0" w:firstColumn="1" w:lastColumn="0" w:noHBand="0" w:noVBand="1"/>
      </w:tblPr>
      <w:tblGrid>
        <w:gridCol w:w="7290"/>
        <w:gridCol w:w="1350"/>
        <w:gridCol w:w="1710"/>
      </w:tblGrid>
      <w:tr w:rsidR="006921A9" w14:paraId="47A38597" w14:textId="77777777" w:rsidTr="00802631">
        <w:trPr>
          <w:trHeight w:val="432"/>
          <w:tblHeader/>
        </w:trPr>
        <w:tc>
          <w:tcPr>
            <w:tcW w:w="7290" w:type="dxa"/>
            <w:shd w:val="clear" w:color="auto" w:fill="DEEAF6" w:themeFill="accent5" w:themeFillTint="33"/>
            <w:vAlign w:val="center"/>
          </w:tcPr>
          <w:p w14:paraId="550EDF94" w14:textId="6D72851A" w:rsidR="006921A9" w:rsidRPr="004F5D5C" w:rsidRDefault="000169CF" w:rsidP="003A6B5E">
            <w:pPr>
              <w:jc w:val="center"/>
              <w:rPr>
                <w:rFonts w:ascii="Arial" w:hAnsi="Arial" w:cs="Arial"/>
                <w:b/>
                <w:bCs/>
                <w:sz w:val="26"/>
                <w:szCs w:val="26"/>
              </w:rPr>
            </w:pPr>
            <w:r>
              <w:rPr>
                <w:rFonts w:ascii="Arial" w:hAnsi="Arial" w:cs="Arial"/>
                <w:b/>
                <w:bCs/>
                <w:sz w:val="26"/>
                <w:szCs w:val="26"/>
              </w:rPr>
              <w:t>Information Required</w:t>
            </w:r>
          </w:p>
        </w:tc>
        <w:tc>
          <w:tcPr>
            <w:tcW w:w="1350" w:type="dxa"/>
            <w:shd w:val="clear" w:color="auto" w:fill="DEEAF6" w:themeFill="accent5" w:themeFillTint="33"/>
            <w:vAlign w:val="center"/>
          </w:tcPr>
          <w:p w14:paraId="36A415D8" w14:textId="77777777" w:rsidR="006921A9" w:rsidRPr="00625F87" w:rsidRDefault="006921A9" w:rsidP="003A6B5E">
            <w:pPr>
              <w:jc w:val="center"/>
              <w:rPr>
                <w:rFonts w:ascii="Arial" w:hAnsi="Arial" w:cs="Arial"/>
                <w:b/>
                <w:bCs/>
                <w:sz w:val="26"/>
                <w:szCs w:val="26"/>
              </w:rPr>
            </w:pPr>
            <w:r w:rsidRPr="00625F87">
              <w:rPr>
                <w:rFonts w:ascii="Arial" w:hAnsi="Arial" w:cs="Arial"/>
                <w:b/>
                <w:bCs/>
                <w:sz w:val="26"/>
                <w:szCs w:val="26"/>
              </w:rPr>
              <w:t>Included</w:t>
            </w:r>
          </w:p>
          <w:p w14:paraId="4FE6DA95" w14:textId="2F3D8619" w:rsidR="006921A9" w:rsidRPr="00625F87" w:rsidRDefault="006921A9" w:rsidP="003A6B5E">
            <w:pPr>
              <w:jc w:val="center"/>
              <w:rPr>
                <w:rFonts w:ascii="Arial" w:hAnsi="Arial" w:cs="Arial"/>
                <w:b/>
                <w:bCs/>
                <w:sz w:val="26"/>
                <w:szCs w:val="26"/>
              </w:rPr>
            </w:pPr>
            <w:r w:rsidRPr="00625F87">
              <w:rPr>
                <w:rFonts w:ascii="Arial" w:hAnsi="Arial" w:cs="Arial"/>
                <w:b/>
                <w:bCs/>
                <w:sz w:val="26"/>
                <w:szCs w:val="26"/>
              </w:rPr>
              <w:t>(Y</w:t>
            </w:r>
            <w:r>
              <w:rPr>
                <w:rFonts w:ascii="Arial" w:hAnsi="Arial" w:cs="Arial"/>
                <w:b/>
                <w:bCs/>
                <w:sz w:val="26"/>
                <w:szCs w:val="26"/>
              </w:rPr>
              <w:t>,</w:t>
            </w:r>
            <w:r w:rsidRPr="00625F87">
              <w:rPr>
                <w:rFonts w:ascii="Arial" w:hAnsi="Arial" w:cs="Arial"/>
                <w:b/>
                <w:bCs/>
                <w:sz w:val="26"/>
                <w:szCs w:val="26"/>
              </w:rPr>
              <w:t xml:space="preserve"> N</w:t>
            </w:r>
            <w:r>
              <w:rPr>
                <w:rFonts w:ascii="Arial" w:hAnsi="Arial" w:cs="Arial"/>
                <w:b/>
                <w:bCs/>
                <w:sz w:val="26"/>
                <w:szCs w:val="26"/>
              </w:rPr>
              <w:t>, or N</w:t>
            </w:r>
            <w:r w:rsidR="00B365FD">
              <w:rPr>
                <w:rFonts w:ascii="Arial" w:hAnsi="Arial" w:cs="Arial"/>
                <w:b/>
                <w:bCs/>
                <w:sz w:val="26"/>
                <w:szCs w:val="26"/>
              </w:rPr>
              <w:t>/</w:t>
            </w:r>
            <w:r>
              <w:rPr>
                <w:rFonts w:ascii="Arial" w:hAnsi="Arial" w:cs="Arial"/>
                <w:b/>
                <w:bCs/>
                <w:sz w:val="26"/>
                <w:szCs w:val="26"/>
              </w:rPr>
              <w:t>A</w:t>
            </w:r>
            <w:r w:rsidRPr="00625F87">
              <w:rPr>
                <w:rFonts w:ascii="Arial" w:hAnsi="Arial" w:cs="Arial"/>
                <w:b/>
                <w:bCs/>
                <w:sz w:val="26"/>
                <w:szCs w:val="26"/>
              </w:rPr>
              <w:t>)</w:t>
            </w:r>
          </w:p>
        </w:tc>
        <w:tc>
          <w:tcPr>
            <w:tcW w:w="1710" w:type="dxa"/>
            <w:shd w:val="clear" w:color="auto" w:fill="DEEAF6" w:themeFill="accent5" w:themeFillTint="33"/>
            <w:vAlign w:val="center"/>
          </w:tcPr>
          <w:p w14:paraId="665C5B2C" w14:textId="77777777" w:rsidR="006921A9" w:rsidRPr="00625F87" w:rsidRDefault="006921A9" w:rsidP="003A6B5E">
            <w:pPr>
              <w:jc w:val="center"/>
              <w:rPr>
                <w:rFonts w:ascii="Arial" w:hAnsi="Arial" w:cs="Arial"/>
                <w:b/>
                <w:bCs/>
                <w:sz w:val="26"/>
                <w:szCs w:val="26"/>
              </w:rPr>
            </w:pPr>
            <w:r w:rsidRPr="00625F87">
              <w:rPr>
                <w:rFonts w:ascii="Arial" w:hAnsi="Arial" w:cs="Arial"/>
                <w:b/>
                <w:bCs/>
                <w:sz w:val="26"/>
                <w:szCs w:val="26"/>
              </w:rPr>
              <w:t>Page Number(s)</w:t>
            </w:r>
          </w:p>
          <w:p w14:paraId="0022870C" w14:textId="77777777" w:rsidR="006921A9" w:rsidRPr="00625F87" w:rsidRDefault="006921A9" w:rsidP="003A6B5E">
            <w:pPr>
              <w:jc w:val="center"/>
              <w:rPr>
                <w:rFonts w:ascii="Arial" w:hAnsi="Arial" w:cs="Arial"/>
                <w:b/>
                <w:bCs/>
                <w:sz w:val="26"/>
                <w:szCs w:val="26"/>
              </w:rPr>
            </w:pPr>
            <w:r w:rsidRPr="00625F87">
              <w:rPr>
                <w:rFonts w:ascii="Arial" w:hAnsi="Arial" w:cs="Arial"/>
                <w:b/>
                <w:bCs/>
                <w:sz w:val="26"/>
                <w:szCs w:val="26"/>
              </w:rPr>
              <w:t>Or Location(s)</w:t>
            </w:r>
          </w:p>
        </w:tc>
      </w:tr>
      <w:tr w:rsidR="006921A9" w14:paraId="624946F5" w14:textId="77777777" w:rsidTr="00802631">
        <w:trPr>
          <w:trHeight w:val="60"/>
        </w:trPr>
        <w:tc>
          <w:tcPr>
            <w:tcW w:w="7290" w:type="dxa"/>
          </w:tcPr>
          <w:p w14:paraId="12821AC2" w14:textId="28AFD1F5" w:rsidR="006921A9" w:rsidRPr="00A740B5" w:rsidRDefault="00BB5D64" w:rsidP="003A6B5E">
            <w:pPr>
              <w:pStyle w:val="BodyText"/>
              <w:jc w:val="both"/>
              <w:rPr>
                <w:rFonts w:ascii="Arial" w:hAnsi="Arial" w:cs="Arial"/>
                <w:sz w:val="22"/>
              </w:rPr>
            </w:pPr>
            <w:r>
              <w:rPr>
                <w:rFonts w:ascii="Arial" w:hAnsi="Arial" w:cs="Arial"/>
                <w:sz w:val="22"/>
              </w:rPr>
              <w:t>4</w:t>
            </w:r>
            <w:r w:rsidR="006921A9">
              <w:rPr>
                <w:rFonts w:ascii="Arial" w:hAnsi="Arial" w:cs="Arial"/>
                <w:sz w:val="22"/>
              </w:rPr>
              <w:t>. Items 1 through 3 in the Pre-Application Information table above</w:t>
            </w:r>
          </w:p>
        </w:tc>
        <w:tc>
          <w:tcPr>
            <w:tcW w:w="1350" w:type="dxa"/>
          </w:tcPr>
          <w:p w14:paraId="244948BD" w14:textId="77777777" w:rsidR="006921A9" w:rsidRDefault="006921A9" w:rsidP="003A6B5E"/>
        </w:tc>
        <w:tc>
          <w:tcPr>
            <w:tcW w:w="1710" w:type="dxa"/>
          </w:tcPr>
          <w:p w14:paraId="2A784058" w14:textId="77777777" w:rsidR="006921A9" w:rsidRDefault="006921A9" w:rsidP="003A6B5E"/>
        </w:tc>
      </w:tr>
      <w:tr w:rsidR="006921A9" w14:paraId="685BE1AC" w14:textId="77777777" w:rsidTr="00802631">
        <w:trPr>
          <w:trHeight w:val="179"/>
        </w:trPr>
        <w:tc>
          <w:tcPr>
            <w:tcW w:w="7290" w:type="dxa"/>
          </w:tcPr>
          <w:p w14:paraId="303420C9" w14:textId="3BCFACF7" w:rsidR="006921A9" w:rsidRPr="006B52C1" w:rsidRDefault="00BB5D64" w:rsidP="003A6B5E">
            <w:pPr>
              <w:pStyle w:val="BodyText"/>
              <w:jc w:val="both"/>
              <w:rPr>
                <w:rFonts w:ascii="Arial" w:hAnsi="Arial" w:cs="Arial"/>
                <w:sz w:val="22"/>
              </w:rPr>
            </w:pPr>
            <w:r>
              <w:rPr>
                <w:rFonts w:ascii="Arial" w:hAnsi="Arial" w:cs="Arial"/>
                <w:sz w:val="22"/>
              </w:rPr>
              <w:t>5</w:t>
            </w:r>
            <w:r w:rsidR="006921A9">
              <w:rPr>
                <w:rFonts w:ascii="Arial" w:hAnsi="Arial" w:cs="Arial"/>
                <w:sz w:val="22"/>
              </w:rPr>
              <w:t xml:space="preserve">. A completed and signed Standard JPA, clearly marked with “22-SPGP-RCIR” or “22-SPGP-LT” </w:t>
            </w:r>
            <w:r w:rsidR="006C26CC">
              <w:rPr>
                <w:rFonts w:ascii="Arial" w:hAnsi="Arial" w:cs="Arial"/>
                <w:sz w:val="22"/>
              </w:rPr>
              <w:t>(</w:t>
            </w:r>
            <w:r w:rsidR="006921A9">
              <w:rPr>
                <w:rFonts w:ascii="Arial" w:hAnsi="Arial" w:cs="Arial"/>
                <w:sz w:val="22"/>
              </w:rPr>
              <w:t xml:space="preserve">use most recent version on </w:t>
            </w:r>
            <w:hyperlink r:id="rId15">
              <w:r w:rsidR="006921A9" w:rsidRPr="7F2A9B98">
                <w:rPr>
                  <w:rStyle w:val="Hyperlink"/>
                  <w:rFonts w:ascii="Arial" w:hAnsi="Arial" w:cs="Arial"/>
                  <w:sz w:val="22"/>
                </w:rPr>
                <w:t>USACE-Norfolk District web site</w:t>
              </w:r>
            </w:hyperlink>
            <w:r w:rsidR="006C26CC">
              <w:rPr>
                <w:rFonts w:ascii="Arial" w:hAnsi="Arial" w:cs="Arial"/>
                <w:sz w:val="22"/>
              </w:rPr>
              <w:t>)</w:t>
            </w:r>
          </w:p>
        </w:tc>
        <w:tc>
          <w:tcPr>
            <w:tcW w:w="1350" w:type="dxa"/>
          </w:tcPr>
          <w:p w14:paraId="5ADA9B8E" w14:textId="77777777" w:rsidR="006921A9" w:rsidRDefault="006921A9" w:rsidP="003A6B5E"/>
        </w:tc>
        <w:tc>
          <w:tcPr>
            <w:tcW w:w="1710" w:type="dxa"/>
          </w:tcPr>
          <w:p w14:paraId="0F8E7CF1" w14:textId="77777777" w:rsidR="006921A9" w:rsidRDefault="006921A9" w:rsidP="003A6B5E"/>
        </w:tc>
      </w:tr>
      <w:tr w:rsidR="006921A9" w14:paraId="3095BB4B" w14:textId="77777777" w:rsidTr="00802631">
        <w:trPr>
          <w:trHeight w:val="432"/>
        </w:trPr>
        <w:tc>
          <w:tcPr>
            <w:tcW w:w="7290" w:type="dxa"/>
          </w:tcPr>
          <w:p w14:paraId="27C94DAD" w14:textId="77777777" w:rsidR="005C53A9" w:rsidRPr="005C53A9" w:rsidRDefault="00BB5D64" w:rsidP="005C53A9">
            <w:pPr>
              <w:autoSpaceDE w:val="0"/>
              <w:autoSpaceDN w:val="0"/>
              <w:adjustRightInd w:val="0"/>
              <w:snapToGrid w:val="0"/>
              <w:rPr>
                <w:rFonts w:ascii="Arial" w:hAnsi="Arial" w:cs="Arial"/>
                <w:color w:val="000000"/>
                <w:sz w:val="22"/>
                <w:lang w:val="x-none"/>
              </w:rPr>
            </w:pPr>
            <w:r w:rsidRPr="005C53A9">
              <w:rPr>
                <w:rFonts w:ascii="Arial" w:hAnsi="Arial" w:cs="Arial"/>
                <w:sz w:val="22"/>
              </w:rPr>
              <w:t>6</w:t>
            </w:r>
            <w:r w:rsidR="006921A9" w:rsidRPr="005C53A9">
              <w:rPr>
                <w:rFonts w:ascii="Arial" w:hAnsi="Arial" w:cs="Arial"/>
                <w:sz w:val="22"/>
              </w:rPr>
              <w:t>. Applicable compensatory mitigation plan:</w:t>
            </w:r>
          </w:p>
          <w:p w14:paraId="038842A7" w14:textId="77777777" w:rsidR="005C53A9" w:rsidRPr="005C53A9" w:rsidRDefault="005C53A9" w:rsidP="005C53A9">
            <w:pPr>
              <w:autoSpaceDE w:val="0"/>
              <w:autoSpaceDN w:val="0"/>
              <w:adjustRightInd w:val="0"/>
              <w:snapToGrid w:val="0"/>
              <w:rPr>
                <w:rFonts w:ascii="Arial" w:hAnsi="Arial" w:cs="Arial"/>
                <w:color w:val="000000"/>
                <w:sz w:val="22"/>
                <w:lang w:val="x-none"/>
              </w:rPr>
            </w:pPr>
          </w:p>
          <w:p w14:paraId="71E65FA6" w14:textId="6FD56C3B" w:rsidR="005C53A9" w:rsidRDefault="005C53A9" w:rsidP="005C53A9">
            <w:pPr>
              <w:autoSpaceDE w:val="0"/>
              <w:autoSpaceDN w:val="0"/>
              <w:adjustRightInd w:val="0"/>
              <w:snapToGrid w:val="0"/>
              <w:rPr>
                <w:rFonts w:ascii="Arial" w:hAnsi="Arial" w:cs="Arial"/>
                <w:color w:val="000000"/>
                <w:sz w:val="22"/>
                <w:lang w:val="x-none"/>
              </w:rPr>
            </w:pPr>
            <w:r w:rsidRPr="005C53A9">
              <w:rPr>
                <w:rFonts w:ascii="Arial" w:hAnsi="Arial" w:cs="Arial"/>
                <w:color w:val="000000"/>
                <w:sz w:val="22"/>
              </w:rPr>
              <w:t>[</w:t>
            </w:r>
            <w:r w:rsidRPr="005C53A9">
              <w:rPr>
                <w:rFonts w:ascii="Arial" w:hAnsi="Arial" w:cs="Arial"/>
                <w:b/>
                <w:bCs/>
                <w:color w:val="000000"/>
                <w:sz w:val="22"/>
              </w:rPr>
              <w:t>Note</w:t>
            </w:r>
            <w:r>
              <w:rPr>
                <w:rFonts w:ascii="Arial" w:hAnsi="Arial" w:cs="Arial"/>
                <w:color w:val="000000"/>
                <w:sz w:val="22"/>
              </w:rPr>
              <w:t xml:space="preserve">: </w:t>
            </w:r>
            <w:r w:rsidR="00282E04">
              <w:rPr>
                <w:rFonts w:ascii="Arial" w:hAnsi="Arial" w:cs="Arial"/>
                <w:color w:val="000000"/>
                <w:sz w:val="22"/>
              </w:rPr>
              <w:t>Activities are authorized provided a</w:t>
            </w:r>
            <w:r w:rsidRPr="005C53A9">
              <w:rPr>
                <w:rFonts w:ascii="Arial" w:hAnsi="Arial" w:cs="Arial"/>
                <w:color w:val="000000"/>
                <w:sz w:val="22"/>
                <w:lang w:val="x-none"/>
              </w:rPr>
              <w:t xml:space="preserve">ll required compensatory mitigation </w:t>
            </w:r>
            <w:r w:rsidR="00282E04">
              <w:rPr>
                <w:rFonts w:ascii="Arial" w:hAnsi="Arial" w:cs="Arial"/>
                <w:color w:val="000000"/>
                <w:sz w:val="22"/>
              </w:rPr>
              <w:t>follows</w:t>
            </w:r>
            <w:r w:rsidRPr="005C53A9">
              <w:rPr>
                <w:rFonts w:ascii="Arial" w:hAnsi="Arial" w:cs="Arial"/>
                <w:color w:val="000000"/>
                <w:sz w:val="22"/>
                <w:lang w:val="x-none"/>
              </w:rPr>
              <w:t xml:space="preserve"> the Mitigation Rule </w:t>
            </w:r>
            <w:r w:rsidR="00282E04">
              <w:rPr>
                <w:rFonts w:ascii="Arial" w:hAnsi="Arial" w:cs="Arial"/>
                <w:color w:val="000000"/>
                <w:sz w:val="22"/>
              </w:rPr>
              <w:t>(</w:t>
            </w:r>
            <w:r w:rsidRPr="005C53A9">
              <w:rPr>
                <w:rFonts w:ascii="Arial" w:hAnsi="Arial" w:cs="Arial"/>
                <w:color w:val="000000"/>
                <w:sz w:val="22"/>
                <w:lang w:val="x-none"/>
              </w:rPr>
              <w:t>Corps-EPA Compensatory Mitigation for Losses of Aquatic Resources, dated April 10, 2008, 33 CFR 325 and 332/40 CFR 230</w:t>
            </w:r>
            <w:r w:rsidR="00282E04">
              <w:rPr>
                <w:rFonts w:ascii="Arial" w:hAnsi="Arial" w:cs="Arial"/>
                <w:color w:val="000000"/>
                <w:sz w:val="22"/>
              </w:rPr>
              <w:t>)</w:t>
            </w:r>
            <w:r w:rsidRPr="005C53A9">
              <w:rPr>
                <w:rFonts w:ascii="Arial" w:hAnsi="Arial" w:cs="Arial"/>
                <w:color w:val="000000"/>
                <w:sz w:val="22"/>
                <w:lang w:val="x-none"/>
              </w:rPr>
              <w:t>]</w:t>
            </w:r>
          </w:p>
          <w:p w14:paraId="27ED5F33" w14:textId="50F6E1E5" w:rsidR="006921A9" w:rsidRPr="00746A0C" w:rsidRDefault="005C53A9" w:rsidP="00746A0C">
            <w:pPr>
              <w:autoSpaceDE w:val="0"/>
              <w:autoSpaceDN w:val="0"/>
              <w:adjustRightInd w:val="0"/>
              <w:snapToGrid w:val="0"/>
              <w:rPr>
                <w:rFonts w:ascii="Arial" w:hAnsi="Arial" w:cs="Arial"/>
                <w:color w:val="000000"/>
                <w:sz w:val="22"/>
              </w:rPr>
            </w:pPr>
            <w:r w:rsidRPr="7F2A9B98">
              <w:rPr>
                <w:rFonts w:ascii="Arial" w:hAnsi="Arial" w:cs="Arial"/>
                <w:color w:val="000000" w:themeColor="text1"/>
                <w:sz w:val="22"/>
              </w:rPr>
              <w:t>[</w:t>
            </w:r>
            <w:r w:rsidRPr="7F2A9B98">
              <w:rPr>
                <w:rFonts w:ascii="Arial" w:hAnsi="Arial" w:cs="Arial"/>
                <w:b/>
                <w:color w:val="000000" w:themeColor="text1"/>
                <w:sz w:val="22"/>
              </w:rPr>
              <w:t>Note</w:t>
            </w:r>
            <w:r w:rsidRPr="7F2A9B98">
              <w:rPr>
                <w:rFonts w:ascii="Arial" w:hAnsi="Arial" w:cs="Arial"/>
                <w:color w:val="000000" w:themeColor="text1"/>
                <w:sz w:val="22"/>
              </w:rPr>
              <w:t>: DEQ must receive approval from USACE-Norfolk District for permittee-responsible mitigation PRM and/or proposals that do not meet the Mitigation Rule hierarchy]</w:t>
            </w:r>
          </w:p>
        </w:tc>
        <w:tc>
          <w:tcPr>
            <w:tcW w:w="1350" w:type="dxa"/>
          </w:tcPr>
          <w:p w14:paraId="5869E797" w14:textId="77777777" w:rsidR="006921A9" w:rsidRDefault="006921A9" w:rsidP="003A6B5E"/>
        </w:tc>
        <w:tc>
          <w:tcPr>
            <w:tcW w:w="1710" w:type="dxa"/>
          </w:tcPr>
          <w:p w14:paraId="71E6714E" w14:textId="77777777" w:rsidR="006921A9" w:rsidRDefault="006921A9" w:rsidP="003A6B5E"/>
        </w:tc>
      </w:tr>
      <w:tr w:rsidR="006921A9" w14:paraId="1E901987" w14:textId="77777777" w:rsidTr="00802631">
        <w:trPr>
          <w:trHeight w:val="80"/>
        </w:trPr>
        <w:tc>
          <w:tcPr>
            <w:tcW w:w="7290" w:type="dxa"/>
          </w:tcPr>
          <w:p w14:paraId="193B6A76" w14:textId="57EAF4D7" w:rsidR="006921A9" w:rsidRDefault="00BB5D64" w:rsidP="00F4385E">
            <w:pPr>
              <w:pStyle w:val="BodyText"/>
              <w:ind w:left="165"/>
              <w:jc w:val="both"/>
              <w:rPr>
                <w:rFonts w:ascii="Arial" w:hAnsi="Arial" w:cs="Arial"/>
                <w:sz w:val="22"/>
              </w:rPr>
            </w:pPr>
            <w:r>
              <w:rPr>
                <w:rFonts w:ascii="Arial" w:hAnsi="Arial" w:cs="Arial"/>
                <w:sz w:val="22"/>
              </w:rPr>
              <w:t>6</w:t>
            </w:r>
            <w:r w:rsidR="006921A9">
              <w:rPr>
                <w:rFonts w:ascii="Arial" w:hAnsi="Arial" w:cs="Arial"/>
                <w:sz w:val="22"/>
              </w:rPr>
              <w:t xml:space="preserve">.a. 22-SPGP-RCIR: </w:t>
            </w:r>
            <w:r w:rsidR="00F4385E">
              <w:rPr>
                <w:rFonts w:ascii="Arial" w:hAnsi="Arial" w:cs="Arial"/>
                <w:sz w:val="22"/>
              </w:rPr>
              <w:t>When permanent loss of wetlands</w:t>
            </w:r>
            <w:r w:rsidR="006921A9">
              <w:rPr>
                <w:rFonts w:ascii="Arial" w:hAnsi="Arial" w:cs="Arial"/>
                <w:sz w:val="22"/>
              </w:rPr>
              <w:t xml:space="preserve"> exceed 0.1 acre</w:t>
            </w:r>
            <w:r w:rsidR="00F4385E">
              <w:rPr>
                <w:rFonts w:ascii="Arial" w:hAnsi="Arial" w:cs="Arial"/>
                <w:sz w:val="22"/>
              </w:rPr>
              <w:t xml:space="preserve">; </w:t>
            </w:r>
            <w:r w:rsidR="006921A9">
              <w:rPr>
                <w:rFonts w:ascii="Arial" w:hAnsi="Arial" w:cs="Arial"/>
                <w:sz w:val="22"/>
              </w:rPr>
              <w:t>and/or</w:t>
            </w:r>
            <w:r w:rsidR="00F4385E">
              <w:rPr>
                <w:rFonts w:ascii="Arial" w:hAnsi="Arial" w:cs="Arial"/>
                <w:sz w:val="22"/>
              </w:rPr>
              <w:t xml:space="preserve"> the permanent loss of stream bed exceeds 0.03 acre or 300 linear feet [reported in acreage and linear feet]; </w:t>
            </w:r>
            <w:r w:rsidR="00F4385E" w:rsidRPr="00F4385E">
              <w:rPr>
                <w:rFonts w:ascii="Arial" w:hAnsi="Arial" w:cs="Arial"/>
                <w:sz w:val="22"/>
                <w:u w:val="single"/>
              </w:rPr>
              <w:t>or</w:t>
            </w:r>
          </w:p>
        </w:tc>
        <w:tc>
          <w:tcPr>
            <w:tcW w:w="1350" w:type="dxa"/>
          </w:tcPr>
          <w:p w14:paraId="176FFBF3" w14:textId="77777777" w:rsidR="006921A9" w:rsidRDefault="006921A9" w:rsidP="003A6B5E"/>
        </w:tc>
        <w:tc>
          <w:tcPr>
            <w:tcW w:w="1710" w:type="dxa"/>
          </w:tcPr>
          <w:p w14:paraId="3E214CE7" w14:textId="77777777" w:rsidR="006921A9" w:rsidRDefault="006921A9" w:rsidP="003A6B5E"/>
        </w:tc>
      </w:tr>
      <w:tr w:rsidR="006921A9" w14:paraId="5891AD8C" w14:textId="77777777" w:rsidTr="00802631">
        <w:trPr>
          <w:trHeight w:val="60"/>
        </w:trPr>
        <w:tc>
          <w:tcPr>
            <w:tcW w:w="7290" w:type="dxa"/>
          </w:tcPr>
          <w:p w14:paraId="1388457F" w14:textId="3740593B" w:rsidR="006921A9" w:rsidRDefault="00BB5D64" w:rsidP="00F4385E">
            <w:pPr>
              <w:pStyle w:val="BodyText"/>
              <w:ind w:left="165"/>
              <w:jc w:val="both"/>
              <w:rPr>
                <w:rFonts w:ascii="Arial" w:hAnsi="Arial" w:cs="Arial"/>
                <w:sz w:val="22"/>
              </w:rPr>
            </w:pPr>
            <w:r>
              <w:rPr>
                <w:rFonts w:ascii="Arial" w:hAnsi="Arial" w:cs="Arial"/>
                <w:sz w:val="22"/>
              </w:rPr>
              <w:t>6</w:t>
            </w:r>
            <w:r w:rsidR="00F4385E">
              <w:rPr>
                <w:rFonts w:ascii="Arial" w:hAnsi="Arial" w:cs="Arial"/>
                <w:sz w:val="22"/>
              </w:rPr>
              <w:t>.b. 22-SPGP-LT: When any permanent loss of wetlands occurs; and/or the permanent loss of stream bed exceeds 0.03 acre or 300 linear feet [reported in acreage and linear feet]</w:t>
            </w:r>
          </w:p>
        </w:tc>
        <w:tc>
          <w:tcPr>
            <w:tcW w:w="1350" w:type="dxa"/>
          </w:tcPr>
          <w:p w14:paraId="6DDED766" w14:textId="77777777" w:rsidR="006921A9" w:rsidRDefault="006921A9" w:rsidP="003A6B5E"/>
        </w:tc>
        <w:tc>
          <w:tcPr>
            <w:tcW w:w="1710" w:type="dxa"/>
          </w:tcPr>
          <w:p w14:paraId="18FA6216" w14:textId="77777777" w:rsidR="006921A9" w:rsidRDefault="006921A9" w:rsidP="003A6B5E"/>
        </w:tc>
      </w:tr>
    </w:tbl>
    <w:p w14:paraId="710DA155" w14:textId="77777777" w:rsidR="00935838" w:rsidRDefault="00935838" w:rsidP="00746A0C">
      <w:pPr>
        <w:pStyle w:val="BodyTextIndent2"/>
        <w:tabs>
          <w:tab w:val="num" w:pos="1440"/>
        </w:tabs>
        <w:ind w:left="0" w:right="-450" w:firstLine="0"/>
        <w:rPr>
          <w:rFonts w:ascii="Arial" w:hAnsi="Arial" w:cs="Arial"/>
          <w:b/>
          <w:i w:val="0"/>
          <w:sz w:val="28"/>
        </w:rPr>
      </w:pPr>
      <w:bookmarkStart w:id="0" w:name="_Hlk139957326"/>
    </w:p>
    <w:bookmarkEnd w:id="0"/>
    <w:p w14:paraId="7BF3CF50" w14:textId="77777777" w:rsidR="006F3E73" w:rsidRPr="00CD699E" w:rsidRDefault="006F3E73" w:rsidP="006F3E73">
      <w:pPr>
        <w:ind w:left="-540"/>
        <w:rPr>
          <w:sz w:val="28"/>
          <w:szCs w:val="28"/>
        </w:rPr>
      </w:pPr>
      <w:r>
        <w:rPr>
          <w:rFonts w:ascii="Arial" w:hAnsi="Arial" w:cs="Arial"/>
          <w:b/>
          <w:sz w:val="28"/>
        </w:rPr>
        <w:t>Optional Items to Assist in Expediting Processing:</w:t>
      </w:r>
    </w:p>
    <w:p w14:paraId="674D7DAB" w14:textId="55B3C34B" w:rsidR="007440DA" w:rsidRDefault="007440DA" w:rsidP="007440DA">
      <w:pPr>
        <w:pStyle w:val="BodyTextIndent2"/>
        <w:tabs>
          <w:tab w:val="num" w:pos="1440"/>
        </w:tabs>
        <w:ind w:left="0" w:firstLine="0"/>
        <w:rPr>
          <w:rFonts w:ascii="Arial" w:hAnsi="Arial" w:cs="Arial"/>
          <w:i w:val="0"/>
          <w:iCs/>
          <w:noProof/>
          <w:sz w:val="22"/>
          <w:szCs w:val="22"/>
        </w:rPr>
      </w:pPr>
    </w:p>
    <w:tbl>
      <w:tblPr>
        <w:tblStyle w:val="TableGrid"/>
        <w:tblW w:w="10260" w:type="dxa"/>
        <w:tblInd w:w="-455" w:type="dxa"/>
        <w:tblLayout w:type="fixed"/>
        <w:tblLook w:val="04A0" w:firstRow="1" w:lastRow="0" w:firstColumn="1" w:lastColumn="0" w:noHBand="0" w:noVBand="1"/>
      </w:tblPr>
      <w:tblGrid>
        <w:gridCol w:w="7290"/>
        <w:gridCol w:w="1350"/>
        <w:gridCol w:w="1620"/>
      </w:tblGrid>
      <w:tr w:rsidR="00B27553" w:rsidRPr="00CD699E" w14:paraId="5D421430" w14:textId="77777777" w:rsidTr="7F2A9B98">
        <w:trPr>
          <w:trHeight w:val="432"/>
          <w:tblHeader/>
        </w:trPr>
        <w:tc>
          <w:tcPr>
            <w:tcW w:w="7290" w:type="dxa"/>
            <w:shd w:val="clear" w:color="auto" w:fill="DEEAF6" w:themeFill="accent5" w:themeFillTint="33"/>
            <w:vAlign w:val="center"/>
          </w:tcPr>
          <w:p w14:paraId="7E49D25C" w14:textId="77777777" w:rsidR="00B27553" w:rsidRPr="00CD699E" w:rsidRDefault="00B27553" w:rsidP="00CF7D33">
            <w:pPr>
              <w:jc w:val="center"/>
              <w:rPr>
                <w:rFonts w:ascii="Arial" w:hAnsi="Arial" w:cs="Arial"/>
                <w:b/>
                <w:bCs/>
                <w:sz w:val="22"/>
              </w:rPr>
            </w:pPr>
            <w:r w:rsidRPr="00CD699E">
              <w:rPr>
                <w:rFonts w:ascii="Arial" w:hAnsi="Arial" w:cs="Arial"/>
                <w:b/>
                <w:bCs/>
                <w:sz w:val="22"/>
              </w:rPr>
              <w:t>Information</w:t>
            </w:r>
          </w:p>
        </w:tc>
        <w:tc>
          <w:tcPr>
            <w:tcW w:w="1350" w:type="dxa"/>
            <w:shd w:val="clear" w:color="auto" w:fill="DEEAF6" w:themeFill="accent5" w:themeFillTint="33"/>
            <w:vAlign w:val="center"/>
          </w:tcPr>
          <w:p w14:paraId="369CCDE4" w14:textId="77777777" w:rsidR="002E1BA3" w:rsidRPr="002E1BA3" w:rsidRDefault="002E1BA3" w:rsidP="002E1BA3">
            <w:pPr>
              <w:jc w:val="center"/>
              <w:rPr>
                <w:rFonts w:ascii="Arial" w:hAnsi="Arial" w:cs="Arial"/>
                <w:b/>
                <w:bCs/>
                <w:sz w:val="22"/>
              </w:rPr>
            </w:pPr>
            <w:r w:rsidRPr="002E1BA3">
              <w:rPr>
                <w:rFonts w:ascii="Arial" w:hAnsi="Arial" w:cs="Arial"/>
                <w:b/>
                <w:bCs/>
                <w:sz w:val="22"/>
              </w:rPr>
              <w:t>Included</w:t>
            </w:r>
          </w:p>
          <w:p w14:paraId="41544E4A" w14:textId="2EDEAA71" w:rsidR="00B27553" w:rsidRPr="00CD699E" w:rsidRDefault="002E1BA3" w:rsidP="002E1BA3">
            <w:pPr>
              <w:jc w:val="center"/>
              <w:rPr>
                <w:rFonts w:ascii="Arial" w:hAnsi="Arial" w:cs="Arial"/>
                <w:b/>
                <w:bCs/>
                <w:sz w:val="22"/>
              </w:rPr>
            </w:pPr>
            <w:r w:rsidRPr="002E1BA3">
              <w:rPr>
                <w:rFonts w:ascii="Arial" w:hAnsi="Arial" w:cs="Arial"/>
                <w:b/>
                <w:bCs/>
                <w:sz w:val="22"/>
              </w:rPr>
              <w:t>(Y, N, or N</w:t>
            </w:r>
            <w:r w:rsidR="00B365FD">
              <w:rPr>
                <w:rFonts w:ascii="Arial" w:hAnsi="Arial" w:cs="Arial"/>
                <w:b/>
                <w:bCs/>
                <w:sz w:val="22"/>
              </w:rPr>
              <w:t>/</w:t>
            </w:r>
            <w:r w:rsidRPr="002E1BA3">
              <w:rPr>
                <w:rFonts w:ascii="Arial" w:hAnsi="Arial" w:cs="Arial"/>
                <w:b/>
                <w:bCs/>
                <w:sz w:val="22"/>
              </w:rPr>
              <w:t>A)</w:t>
            </w:r>
          </w:p>
        </w:tc>
        <w:tc>
          <w:tcPr>
            <w:tcW w:w="1620" w:type="dxa"/>
            <w:shd w:val="clear" w:color="auto" w:fill="DEEAF6" w:themeFill="accent5" w:themeFillTint="33"/>
            <w:vAlign w:val="center"/>
          </w:tcPr>
          <w:p w14:paraId="5A4C449F" w14:textId="77777777" w:rsidR="00B27553" w:rsidRPr="00CD699E" w:rsidRDefault="00B27553" w:rsidP="00CF7D33">
            <w:pPr>
              <w:jc w:val="center"/>
              <w:rPr>
                <w:rFonts w:ascii="Arial" w:hAnsi="Arial" w:cs="Arial"/>
                <w:b/>
                <w:bCs/>
                <w:sz w:val="22"/>
              </w:rPr>
            </w:pPr>
            <w:r w:rsidRPr="00CD699E">
              <w:rPr>
                <w:rFonts w:ascii="Arial" w:hAnsi="Arial" w:cs="Arial"/>
                <w:b/>
                <w:bCs/>
                <w:sz w:val="22"/>
              </w:rPr>
              <w:t>Page Number(s)</w:t>
            </w:r>
          </w:p>
          <w:p w14:paraId="3AF17C80" w14:textId="77777777" w:rsidR="00B27553" w:rsidRPr="00CD699E" w:rsidRDefault="00B27553" w:rsidP="00CF7D33">
            <w:pPr>
              <w:jc w:val="center"/>
              <w:rPr>
                <w:rFonts w:ascii="Arial" w:hAnsi="Arial" w:cs="Arial"/>
                <w:b/>
                <w:bCs/>
                <w:sz w:val="22"/>
              </w:rPr>
            </w:pPr>
            <w:r w:rsidRPr="00CD699E">
              <w:rPr>
                <w:rFonts w:ascii="Arial" w:hAnsi="Arial" w:cs="Arial"/>
                <w:b/>
                <w:bCs/>
                <w:sz w:val="22"/>
              </w:rPr>
              <w:t>Or Location(s)</w:t>
            </w:r>
          </w:p>
        </w:tc>
      </w:tr>
      <w:tr w:rsidR="00B27553" w:rsidRPr="00CD699E" w14:paraId="7493505E" w14:textId="77777777" w:rsidTr="7F2A9B98">
        <w:trPr>
          <w:trHeight w:val="60"/>
        </w:trPr>
        <w:tc>
          <w:tcPr>
            <w:tcW w:w="7290" w:type="dxa"/>
          </w:tcPr>
          <w:p w14:paraId="2EF8B28B" w14:textId="703199EB" w:rsidR="00B27553" w:rsidRPr="00C92AE8" w:rsidRDefault="00BB5D64" w:rsidP="00C92AE8">
            <w:pPr>
              <w:rPr>
                <w:rFonts w:ascii="Arial" w:hAnsi="Arial" w:cs="Arial"/>
                <w:b/>
                <w:sz w:val="22"/>
              </w:rPr>
            </w:pPr>
            <w:r>
              <w:rPr>
                <w:rFonts w:ascii="Arial" w:hAnsi="Arial" w:cs="Arial"/>
                <w:iCs/>
                <w:sz w:val="22"/>
              </w:rPr>
              <w:t>7</w:t>
            </w:r>
            <w:r w:rsidR="00C92AE8">
              <w:rPr>
                <w:rFonts w:ascii="Arial" w:hAnsi="Arial" w:cs="Arial"/>
                <w:iCs/>
                <w:sz w:val="22"/>
              </w:rPr>
              <w:t xml:space="preserve">. </w:t>
            </w:r>
            <w:r w:rsidR="002E1BA3" w:rsidRPr="00C92AE8">
              <w:rPr>
                <w:rFonts w:ascii="Arial" w:hAnsi="Arial" w:cs="Arial"/>
                <w:iCs/>
                <w:sz w:val="22"/>
              </w:rPr>
              <w:t>VDOT IACM JPA or VDOT Spreadsheet</w:t>
            </w:r>
          </w:p>
        </w:tc>
        <w:tc>
          <w:tcPr>
            <w:tcW w:w="1350" w:type="dxa"/>
          </w:tcPr>
          <w:p w14:paraId="15E63FB0" w14:textId="77777777" w:rsidR="00B27553" w:rsidRPr="00CD699E" w:rsidRDefault="00B27553" w:rsidP="00CF7D33">
            <w:pPr>
              <w:rPr>
                <w:sz w:val="22"/>
              </w:rPr>
            </w:pPr>
          </w:p>
        </w:tc>
        <w:tc>
          <w:tcPr>
            <w:tcW w:w="1620" w:type="dxa"/>
          </w:tcPr>
          <w:p w14:paraId="3D25F776" w14:textId="77777777" w:rsidR="00B27553" w:rsidRPr="00CD699E" w:rsidRDefault="00B27553" w:rsidP="00CF7D33">
            <w:pPr>
              <w:rPr>
                <w:sz w:val="22"/>
              </w:rPr>
            </w:pPr>
          </w:p>
        </w:tc>
      </w:tr>
      <w:tr w:rsidR="00B27553" w:rsidRPr="00CD699E" w14:paraId="126033FC" w14:textId="77777777" w:rsidTr="7F2A9B98">
        <w:trPr>
          <w:trHeight w:val="60"/>
        </w:trPr>
        <w:tc>
          <w:tcPr>
            <w:tcW w:w="7290" w:type="dxa"/>
          </w:tcPr>
          <w:p w14:paraId="3844CAB4" w14:textId="5A65AA78" w:rsidR="00B27553" w:rsidRPr="00C92AE8" w:rsidRDefault="00BB5D64" w:rsidP="00C92AE8">
            <w:pPr>
              <w:rPr>
                <w:rFonts w:ascii="Arial" w:hAnsi="Arial" w:cs="Arial"/>
                <w:bCs/>
                <w:sz w:val="22"/>
              </w:rPr>
            </w:pPr>
            <w:r>
              <w:rPr>
                <w:rFonts w:ascii="Arial" w:hAnsi="Arial" w:cs="Arial"/>
                <w:noProof/>
                <w:sz w:val="22"/>
              </w:rPr>
              <w:t>8</w:t>
            </w:r>
            <w:r w:rsidR="00C92AE8">
              <w:rPr>
                <w:rFonts w:ascii="Arial" w:hAnsi="Arial" w:cs="Arial"/>
                <w:noProof/>
                <w:sz w:val="22"/>
              </w:rPr>
              <w:t xml:space="preserve">. </w:t>
            </w:r>
            <w:r w:rsidR="002E1BA3" w:rsidRPr="00C92AE8">
              <w:rPr>
                <w:rFonts w:ascii="Arial" w:hAnsi="Arial" w:cs="Arial"/>
                <w:noProof/>
                <w:sz w:val="22"/>
              </w:rPr>
              <w:t>GIS shape files of project boundary/polygon, impact boundaries/polygons, surface water boundaries/polygons</w:t>
            </w:r>
          </w:p>
        </w:tc>
        <w:tc>
          <w:tcPr>
            <w:tcW w:w="1350" w:type="dxa"/>
          </w:tcPr>
          <w:p w14:paraId="42213A2D" w14:textId="77777777" w:rsidR="00B27553" w:rsidRPr="00CD699E" w:rsidRDefault="00B27553" w:rsidP="00CF7D33">
            <w:pPr>
              <w:rPr>
                <w:bCs/>
                <w:sz w:val="22"/>
              </w:rPr>
            </w:pPr>
          </w:p>
        </w:tc>
        <w:tc>
          <w:tcPr>
            <w:tcW w:w="1620" w:type="dxa"/>
          </w:tcPr>
          <w:p w14:paraId="0FC1A193" w14:textId="77777777" w:rsidR="00B27553" w:rsidRPr="00CD699E" w:rsidRDefault="00B27553" w:rsidP="00CF7D33">
            <w:pPr>
              <w:rPr>
                <w:bCs/>
                <w:sz w:val="22"/>
              </w:rPr>
            </w:pPr>
          </w:p>
        </w:tc>
      </w:tr>
      <w:tr w:rsidR="002205FD" w:rsidRPr="00CD699E" w14:paraId="541B9370" w14:textId="77777777" w:rsidTr="7F2A9B98">
        <w:trPr>
          <w:trHeight w:val="1584"/>
        </w:trPr>
        <w:tc>
          <w:tcPr>
            <w:tcW w:w="7290" w:type="dxa"/>
          </w:tcPr>
          <w:p w14:paraId="7DCAA9A6" w14:textId="2A44ECC1" w:rsidR="002205FD" w:rsidRPr="008A3F3F" w:rsidRDefault="008A3F3F" w:rsidP="002205FD">
            <w:pPr>
              <w:autoSpaceDE w:val="0"/>
              <w:autoSpaceDN w:val="0"/>
              <w:adjustRightInd w:val="0"/>
              <w:snapToGrid w:val="0"/>
              <w:rPr>
                <w:rFonts w:ascii="Arial" w:hAnsi="Arial" w:cs="Arial"/>
                <w:color w:val="000000"/>
                <w:sz w:val="22"/>
              </w:rPr>
            </w:pPr>
            <w:r w:rsidRPr="7F2A9B98">
              <w:rPr>
                <w:rFonts w:ascii="Arial" w:hAnsi="Arial" w:cs="Arial"/>
                <w:color w:val="000000" w:themeColor="text1"/>
                <w:sz w:val="22"/>
              </w:rPr>
              <w:t xml:space="preserve">9. </w:t>
            </w:r>
            <w:r w:rsidR="002205FD" w:rsidRPr="7F2A9B98">
              <w:rPr>
                <w:rFonts w:ascii="Arial" w:hAnsi="Arial" w:cs="Arial"/>
                <w:color w:val="000000" w:themeColor="text1"/>
                <w:sz w:val="22"/>
              </w:rPr>
              <w:t xml:space="preserve">Federal Lands: Authorized activities shall not impinge upon the value of any National Wildlife Refuge, National Forest, National Park, or any other area administered by the United States Fish and Wildlife Service , U.S. Forest Service, or National Park Service unless approval from the applicable land management agency is </w:t>
            </w:r>
            <w:r w:rsidR="002205FD" w:rsidRPr="7F2A9B98">
              <w:rPr>
                <w:rFonts w:ascii="Arial" w:hAnsi="Arial" w:cs="Arial"/>
                <w:i/>
                <w:color w:val="000000" w:themeColor="text1"/>
                <w:sz w:val="22"/>
              </w:rPr>
              <w:t>provided with the permit application</w:t>
            </w:r>
            <w:r w:rsidR="002205FD" w:rsidRPr="7F2A9B98">
              <w:rPr>
                <w:rFonts w:ascii="Arial" w:hAnsi="Arial" w:cs="Arial"/>
                <w:color w:val="000000" w:themeColor="text1"/>
                <w:sz w:val="22"/>
              </w:rPr>
              <w:t xml:space="preserve"> (SPGP General Condition #11)</w:t>
            </w:r>
          </w:p>
        </w:tc>
        <w:tc>
          <w:tcPr>
            <w:tcW w:w="1350" w:type="dxa"/>
          </w:tcPr>
          <w:p w14:paraId="62DB3EE9" w14:textId="77777777" w:rsidR="002205FD" w:rsidRPr="00CD699E" w:rsidRDefault="002205FD" w:rsidP="00CF7D33">
            <w:pPr>
              <w:rPr>
                <w:bCs/>
                <w:sz w:val="22"/>
              </w:rPr>
            </w:pPr>
          </w:p>
        </w:tc>
        <w:tc>
          <w:tcPr>
            <w:tcW w:w="1620" w:type="dxa"/>
          </w:tcPr>
          <w:p w14:paraId="1009695B" w14:textId="77777777" w:rsidR="002205FD" w:rsidRPr="00CD699E" w:rsidRDefault="002205FD" w:rsidP="00CF7D33">
            <w:pPr>
              <w:rPr>
                <w:bCs/>
                <w:sz w:val="22"/>
              </w:rPr>
            </w:pPr>
          </w:p>
        </w:tc>
      </w:tr>
      <w:tr w:rsidR="002205FD" w:rsidRPr="00CD699E" w14:paraId="4CA81707" w14:textId="77777777" w:rsidTr="7F2A9B98">
        <w:trPr>
          <w:trHeight w:val="1584"/>
        </w:trPr>
        <w:tc>
          <w:tcPr>
            <w:tcW w:w="7290" w:type="dxa"/>
          </w:tcPr>
          <w:p w14:paraId="4A72A4A7" w14:textId="12A36CA0" w:rsidR="002205FD" w:rsidRPr="008A3F3F" w:rsidRDefault="008A3F3F" w:rsidP="002205FD">
            <w:pPr>
              <w:autoSpaceDE w:val="0"/>
              <w:autoSpaceDN w:val="0"/>
              <w:adjustRightInd w:val="0"/>
              <w:snapToGrid w:val="0"/>
              <w:rPr>
                <w:rFonts w:ascii="Arial" w:hAnsi="Arial" w:cs="Arial"/>
                <w:color w:val="000000"/>
                <w:sz w:val="22"/>
              </w:rPr>
            </w:pPr>
            <w:r>
              <w:rPr>
                <w:rFonts w:ascii="Arial" w:hAnsi="Arial" w:cs="Arial"/>
                <w:color w:val="000000"/>
                <w:sz w:val="22"/>
              </w:rPr>
              <w:lastRenderedPageBreak/>
              <w:t xml:space="preserve">10. </w:t>
            </w:r>
            <w:r w:rsidR="002205FD" w:rsidRPr="008A3F3F">
              <w:rPr>
                <w:rFonts w:ascii="Arial" w:hAnsi="Arial" w:cs="Arial"/>
                <w:color w:val="000000"/>
                <w:sz w:val="22"/>
                <w:lang w:val="x-none"/>
              </w:rPr>
              <w:t>Countersinking of Pipes and Culverts</w:t>
            </w:r>
            <w:r w:rsidRPr="008A3F3F">
              <w:rPr>
                <w:rFonts w:ascii="Arial" w:hAnsi="Arial" w:cs="Arial"/>
                <w:color w:val="000000"/>
                <w:sz w:val="22"/>
              </w:rPr>
              <w:t xml:space="preserve">, </w:t>
            </w:r>
            <w:r w:rsidRPr="008A3F3F">
              <w:rPr>
                <w:rFonts w:ascii="Arial" w:hAnsi="Arial" w:cs="Arial"/>
                <w:color w:val="000000"/>
                <w:sz w:val="22"/>
                <w:lang w:val="x-none"/>
              </w:rPr>
              <w:t>Pipes on bedrock or above existing utility lines</w:t>
            </w:r>
            <w:r w:rsidR="002205FD" w:rsidRPr="008A3F3F">
              <w:rPr>
                <w:rFonts w:ascii="Arial" w:hAnsi="Arial" w:cs="Arial"/>
                <w:color w:val="000000"/>
                <w:sz w:val="22"/>
                <w:lang w:val="x-none"/>
              </w:rPr>
              <w:t xml:space="preserve">: If the permittee determines that neither a bottomless structure nor an alternative location is practicable, justification must be </w:t>
            </w:r>
            <w:r w:rsidR="002205FD" w:rsidRPr="008A3F3F">
              <w:rPr>
                <w:rFonts w:ascii="Arial" w:hAnsi="Arial" w:cs="Arial"/>
                <w:i/>
                <w:iCs/>
                <w:color w:val="000000"/>
                <w:sz w:val="22"/>
                <w:lang w:val="x-none"/>
              </w:rPr>
              <w:t>provided in the SPGP application</w:t>
            </w:r>
            <w:r w:rsidR="002205FD" w:rsidRPr="008A3F3F">
              <w:rPr>
                <w:rFonts w:ascii="Arial" w:hAnsi="Arial" w:cs="Arial"/>
                <w:color w:val="000000"/>
                <w:sz w:val="22"/>
              </w:rPr>
              <w:t xml:space="preserve">. </w:t>
            </w:r>
            <w:r w:rsidR="002205FD" w:rsidRPr="008A3F3F">
              <w:rPr>
                <w:rFonts w:ascii="Arial" w:hAnsi="Arial" w:cs="Arial"/>
                <w:color w:val="000000"/>
                <w:sz w:val="22"/>
                <w:lang w:val="x-none"/>
              </w:rPr>
              <w:t xml:space="preserve">The permit </w:t>
            </w:r>
            <w:r w:rsidR="002205FD" w:rsidRPr="008A3F3F">
              <w:rPr>
                <w:rFonts w:ascii="Arial" w:hAnsi="Arial" w:cs="Arial"/>
                <w:i/>
                <w:iCs/>
                <w:color w:val="000000"/>
                <w:sz w:val="22"/>
                <w:lang w:val="x-none"/>
              </w:rPr>
              <w:t>application must also include</w:t>
            </w:r>
            <w:r w:rsidR="002205FD" w:rsidRPr="008A3F3F">
              <w:rPr>
                <w:rFonts w:ascii="Arial" w:hAnsi="Arial" w:cs="Arial"/>
                <w:color w:val="000000"/>
                <w:sz w:val="22"/>
                <w:lang w:val="x-none"/>
              </w:rPr>
              <w:t xml:space="preserve"> photographs documenting site conditions.</w:t>
            </w:r>
            <w:r w:rsidR="002205FD" w:rsidRPr="008A3F3F">
              <w:rPr>
                <w:rFonts w:ascii="Arial" w:hAnsi="Arial" w:cs="Arial"/>
                <w:color w:val="000000"/>
                <w:sz w:val="22"/>
              </w:rPr>
              <w:t xml:space="preserve"> (SPGP General Condition #25.f.ii)</w:t>
            </w:r>
          </w:p>
        </w:tc>
        <w:tc>
          <w:tcPr>
            <w:tcW w:w="1350" w:type="dxa"/>
          </w:tcPr>
          <w:p w14:paraId="2B237CAD" w14:textId="77777777" w:rsidR="002205FD" w:rsidRPr="00CD699E" w:rsidRDefault="002205FD" w:rsidP="00CF7D33">
            <w:pPr>
              <w:rPr>
                <w:bCs/>
                <w:sz w:val="22"/>
              </w:rPr>
            </w:pPr>
          </w:p>
        </w:tc>
        <w:tc>
          <w:tcPr>
            <w:tcW w:w="1620" w:type="dxa"/>
          </w:tcPr>
          <w:p w14:paraId="0B72C2CE" w14:textId="77777777" w:rsidR="002205FD" w:rsidRPr="00CD699E" w:rsidRDefault="002205FD" w:rsidP="00CF7D33">
            <w:pPr>
              <w:rPr>
                <w:bCs/>
                <w:sz w:val="22"/>
              </w:rPr>
            </w:pPr>
          </w:p>
        </w:tc>
      </w:tr>
      <w:tr w:rsidR="002205FD" w:rsidRPr="00CD699E" w14:paraId="34A2D49D" w14:textId="77777777" w:rsidTr="7F2A9B98">
        <w:trPr>
          <w:trHeight w:val="134"/>
        </w:trPr>
        <w:tc>
          <w:tcPr>
            <w:tcW w:w="7290" w:type="dxa"/>
          </w:tcPr>
          <w:p w14:paraId="4DD781C9" w14:textId="02F6BFBA" w:rsidR="002205FD" w:rsidRPr="008A3F3F" w:rsidRDefault="008A3F3F" w:rsidP="002205FD">
            <w:pPr>
              <w:autoSpaceDE w:val="0"/>
              <w:autoSpaceDN w:val="0"/>
              <w:adjustRightInd w:val="0"/>
              <w:snapToGrid w:val="0"/>
              <w:rPr>
                <w:rFonts w:ascii="Arial" w:hAnsi="Arial" w:cs="Arial"/>
                <w:color w:val="000000"/>
                <w:sz w:val="22"/>
                <w:lang w:val="x-none"/>
              </w:rPr>
            </w:pPr>
            <w:r>
              <w:rPr>
                <w:rFonts w:ascii="Arial" w:hAnsi="Arial" w:cs="Arial"/>
                <w:color w:val="000000"/>
                <w:sz w:val="22"/>
              </w:rPr>
              <w:t xml:space="preserve">11. </w:t>
            </w:r>
            <w:r w:rsidR="002205FD" w:rsidRPr="008A3F3F">
              <w:rPr>
                <w:rFonts w:ascii="Arial" w:hAnsi="Arial" w:cs="Arial"/>
                <w:color w:val="000000"/>
                <w:sz w:val="22"/>
                <w:lang w:val="x-none"/>
              </w:rPr>
              <w:t>Countersinking of Pipes and Culverts</w:t>
            </w:r>
            <w:r w:rsidRPr="008A3F3F">
              <w:rPr>
                <w:rFonts w:ascii="Arial" w:hAnsi="Arial" w:cs="Arial"/>
                <w:color w:val="000000"/>
                <w:sz w:val="22"/>
              </w:rPr>
              <w:t xml:space="preserve">, </w:t>
            </w:r>
            <w:r w:rsidRPr="008A3F3F">
              <w:rPr>
                <w:rFonts w:ascii="Arial" w:hAnsi="Arial" w:cs="Arial"/>
                <w:color w:val="000000"/>
                <w:sz w:val="22"/>
                <w:lang w:val="x-none"/>
              </w:rPr>
              <w:t>Pipes on steep terrain</w:t>
            </w:r>
            <w:r w:rsidR="002205FD" w:rsidRPr="008A3F3F">
              <w:rPr>
                <w:rFonts w:ascii="Arial" w:hAnsi="Arial" w:cs="Arial"/>
                <w:color w:val="000000"/>
                <w:sz w:val="22"/>
                <w:lang w:val="x-none"/>
              </w:rPr>
              <w:t xml:space="preserve">: </w:t>
            </w:r>
            <w:r w:rsidRPr="008A3F3F">
              <w:rPr>
                <w:rFonts w:ascii="Arial" w:hAnsi="Arial" w:cs="Arial"/>
                <w:color w:val="000000"/>
                <w:sz w:val="22"/>
                <w:lang w:val="x-none"/>
              </w:rPr>
              <w:t xml:space="preserve">This type of situation could occur on the side of a mountain where falls and drop pools occur along a stream. Should this be the case, or should the permittee not want to countersink the pipe/culvert for other reasons, justification must be </w:t>
            </w:r>
            <w:r w:rsidRPr="00954800">
              <w:rPr>
                <w:rFonts w:ascii="Arial" w:hAnsi="Arial" w:cs="Arial"/>
                <w:i/>
                <w:iCs/>
                <w:color w:val="000000"/>
                <w:sz w:val="22"/>
                <w:lang w:val="x-none"/>
              </w:rPr>
              <w:t>provided in the</w:t>
            </w:r>
            <w:r w:rsidR="00954800">
              <w:rPr>
                <w:rFonts w:ascii="Arial" w:hAnsi="Arial" w:cs="Arial"/>
                <w:i/>
                <w:iCs/>
                <w:color w:val="000000"/>
                <w:sz w:val="22"/>
              </w:rPr>
              <w:t xml:space="preserve"> </w:t>
            </w:r>
            <w:r w:rsidRPr="00954800">
              <w:rPr>
                <w:rFonts w:ascii="Arial" w:hAnsi="Arial" w:cs="Arial"/>
                <w:i/>
                <w:iCs/>
                <w:color w:val="000000"/>
                <w:sz w:val="22"/>
                <w:lang w:val="x-none"/>
              </w:rPr>
              <w:t>SPGP application</w:t>
            </w:r>
            <w:r w:rsidRPr="008A3F3F">
              <w:rPr>
                <w:rFonts w:ascii="Arial" w:hAnsi="Arial" w:cs="Arial"/>
                <w:color w:val="000000"/>
                <w:sz w:val="22"/>
                <w:lang w:val="x-none"/>
              </w:rPr>
              <w:t xml:space="preserve">. </w:t>
            </w:r>
            <w:r w:rsidR="002205FD" w:rsidRPr="008A3F3F">
              <w:rPr>
                <w:rFonts w:ascii="Arial" w:hAnsi="Arial" w:cs="Arial"/>
                <w:color w:val="000000"/>
                <w:sz w:val="22"/>
              </w:rPr>
              <w:t>(SPGP General Condition #25.g)</w:t>
            </w:r>
          </w:p>
        </w:tc>
        <w:tc>
          <w:tcPr>
            <w:tcW w:w="1350" w:type="dxa"/>
          </w:tcPr>
          <w:p w14:paraId="5F9ADF73" w14:textId="77777777" w:rsidR="002205FD" w:rsidRPr="00CD699E" w:rsidRDefault="002205FD" w:rsidP="00CF7D33">
            <w:pPr>
              <w:rPr>
                <w:bCs/>
                <w:sz w:val="22"/>
              </w:rPr>
            </w:pPr>
          </w:p>
        </w:tc>
        <w:tc>
          <w:tcPr>
            <w:tcW w:w="1620" w:type="dxa"/>
          </w:tcPr>
          <w:p w14:paraId="537B1A0A" w14:textId="77777777" w:rsidR="002205FD" w:rsidRPr="00CD699E" w:rsidRDefault="002205FD" w:rsidP="00CF7D33">
            <w:pPr>
              <w:rPr>
                <w:bCs/>
                <w:sz w:val="22"/>
              </w:rPr>
            </w:pPr>
          </w:p>
        </w:tc>
      </w:tr>
    </w:tbl>
    <w:p w14:paraId="1AB3C288" w14:textId="27AB64BA" w:rsidR="003850B9" w:rsidRDefault="003850B9" w:rsidP="00B27553">
      <w:pPr>
        <w:pStyle w:val="BodyTextIndent2"/>
        <w:tabs>
          <w:tab w:val="num" w:pos="1440"/>
        </w:tabs>
        <w:ind w:left="0" w:firstLine="0"/>
        <w:rPr>
          <w:rFonts w:ascii="Arial" w:hAnsi="Arial" w:cs="Arial"/>
          <w:i w:val="0"/>
          <w:iCs/>
          <w:noProof/>
          <w:sz w:val="22"/>
          <w:szCs w:val="22"/>
        </w:rPr>
      </w:pPr>
    </w:p>
    <w:p w14:paraId="51FE424D" w14:textId="77777777" w:rsidR="00F8480D" w:rsidRPr="00DD41C4" w:rsidRDefault="00F8480D" w:rsidP="00F8480D">
      <w:pPr>
        <w:spacing w:after="160" w:line="259" w:lineRule="auto"/>
        <w:ind w:left="-540" w:right="-540"/>
        <w:rPr>
          <w:rFonts w:asciiTheme="minorHAnsi" w:eastAsiaTheme="minorHAnsi" w:hAnsiTheme="minorHAnsi" w:cstheme="minorBidi"/>
          <w:sz w:val="2"/>
          <w:szCs w:val="2"/>
        </w:rPr>
      </w:pPr>
      <w:r w:rsidRPr="00DD41C4">
        <w:rPr>
          <w:rFonts w:ascii="Arial" w:hAnsi="Arial" w:cs="Arial"/>
          <w:color w:val="000000"/>
          <w:szCs w:val="24"/>
          <w:lang w:val="x-none"/>
        </w:rPr>
        <w:t>"I certify under penalty of law that this document and all attachments were prepared under my direction or</w:t>
      </w:r>
      <w:r w:rsidRPr="00DD41C4">
        <w:rPr>
          <w:rFonts w:ascii="Arial" w:hAnsi="Arial" w:cs="Arial"/>
          <w:color w:val="000000"/>
          <w:szCs w:val="24"/>
        </w:rPr>
        <w:t xml:space="preserve"> </w:t>
      </w:r>
      <w:r w:rsidRPr="00DD41C4">
        <w:rPr>
          <w:rFonts w:ascii="Arial" w:hAnsi="Arial" w:cs="Arial"/>
          <w:color w:val="000000"/>
          <w:szCs w:val="24"/>
          <w:lang w:val="x-none"/>
        </w:rPr>
        <w:t>supervision in accordance with a system designed to assure that qualified personnel properly gather and evaluate</w:t>
      </w:r>
      <w:r w:rsidRPr="00DD41C4">
        <w:rPr>
          <w:rFonts w:ascii="Arial" w:hAnsi="Arial" w:cs="Arial"/>
          <w:color w:val="000000"/>
          <w:szCs w:val="24"/>
        </w:rPr>
        <w:t xml:space="preserve"> </w:t>
      </w:r>
      <w:r w:rsidRPr="00DD41C4">
        <w:rPr>
          <w:rFonts w:ascii="Arial" w:hAnsi="Arial" w:cs="Arial"/>
          <w:color w:val="000000"/>
          <w:szCs w:val="24"/>
          <w:lang w:val="x-none"/>
        </w:rPr>
        <w:t>the information submitted. Based on my inquiry of the person or persons who manage the system, or those</w:t>
      </w:r>
      <w:r w:rsidRPr="00DD41C4">
        <w:rPr>
          <w:rFonts w:ascii="Arial" w:hAnsi="Arial" w:cs="Arial"/>
          <w:color w:val="000000"/>
          <w:szCs w:val="24"/>
        </w:rPr>
        <w:t xml:space="preserve"> </w:t>
      </w:r>
      <w:r w:rsidRPr="00DD41C4">
        <w:rPr>
          <w:rFonts w:ascii="Arial" w:hAnsi="Arial" w:cs="Arial"/>
          <w:color w:val="000000"/>
          <w:szCs w:val="24"/>
          <w:lang w:val="x-none"/>
        </w:rPr>
        <w:t>persons directly responsible for gathering the information, the information submitted is, to the best of my</w:t>
      </w:r>
      <w:r w:rsidRPr="00DD41C4">
        <w:rPr>
          <w:rFonts w:ascii="Arial" w:hAnsi="Arial" w:cs="Arial"/>
          <w:color w:val="000000"/>
          <w:szCs w:val="24"/>
        </w:rPr>
        <w:t xml:space="preserve"> </w:t>
      </w:r>
      <w:r w:rsidRPr="00DD41C4">
        <w:rPr>
          <w:rFonts w:ascii="Arial" w:hAnsi="Arial" w:cs="Arial"/>
          <w:color w:val="000000"/>
          <w:szCs w:val="24"/>
          <w:lang w:val="x-none"/>
        </w:rPr>
        <w:t>knowledge and belief, true, accurate, and complete. I am aware that there are significant penalties for submitting</w:t>
      </w:r>
      <w:r w:rsidRPr="00DD41C4">
        <w:rPr>
          <w:rFonts w:ascii="Arial" w:hAnsi="Arial" w:cs="Arial"/>
          <w:color w:val="000000"/>
          <w:szCs w:val="24"/>
        </w:rPr>
        <w:t xml:space="preserve"> </w:t>
      </w:r>
      <w:r w:rsidRPr="00DD41C4">
        <w:rPr>
          <w:rFonts w:ascii="Arial" w:hAnsi="Arial" w:cs="Arial"/>
          <w:color w:val="000000"/>
          <w:szCs w:val="24"/>
          <w:lang w:val="x-none"/>
        </w:rPr>
        <w:t>false information."</w:t>
      </w:r>
    </w:p>
    <w:p w14:paraId="22427185" w14:textId="77777777" w:rsidR="00F8480D" w:rsidRPr="00F8480D" w:rsidRDefault="00F8480D" w:rsidP="00F8480D">
      <w:pPr>
        <w:autoSpaceDE w:val="0"/>
        <w:autoSpaceDN w:val="0"/>
        <w:adjustRightInd w:val="0"/>
        <w:snapToGrid w:val="0"/>
        <w:rPr>
          <w:rFonts w:ascii="Arial" w:hAnsi="Arial" w:cs="Arial"/>
          <w:color w:val="000000"/>
          <w:sz w:val="22"/>
          <w:szCs w:val="22"/>
          <w:lang w:val="x-none"/>
        </w:rPr>
      </w:pPr>
    </w:p>
    <w:p w14:paraId="6A09C438" w14:textId="77777777" w:rsidR="00F8480D" w:rsidRPr="00F8480D" w:rsidRDefault="00F8480D" w:rsidP="00F8480D">
      <w:pPr>
        <w:autoSpaceDE w:val="0"/>
        <w:autoSpaceDN w:val="0"/>
        <w:adjustRightInd w:val="0"/>
        <w:snapToGrid w:val="0"/>
        <w:ind w:left="-450"/>
        <w:rPr>
          <w:rFonts w:ascii="Arial" w:hAnsi="Arial" w:cs="Arial"/>
          <w:color w:val="000000"/>
          <w:sz w:val="22"/>
          <w:szCs w:val="22"/>
          <w:lang w:val="x-none"/>
        </w:rPr>
      </w:pPr>
      <w:r w:rsidRPr="00F8480D">
        <w:rPr>
          <w:rFonts w:ascii="Arial" w:hAnsi="Arial" w:cs="Arial"/>
          <w:color w:val="000000"/>
          <w:sz w:val="22"/>
          <w:szCs w:val="22"/>
          <w:lang w:val="x-none"/>
        </w:rPr>
        <w:t>_____________________________________________________</w:t>
      </w:r>
    </w:p>
    <w:p w14:paraId="13B98E6F" w14:textId="77777777" w:rsidR="00F8480D" w:rsidRPr="00F8480D" w:rsidRDefault="00F8480D" w:rsidP="00F8480D">
      <w:pPr>
        <w:autoSpaceDE w:val="0"/>
        <w:autoSpaceDN w:val="0"/>
        <w:adjustRightInd w:val="0"/>
        <w:snapToGrid w:val="0"/>
        <w:ind w:left="-450"/>
        <w:rPr>
          <w:rFonts w:ascii="Arial" w:hAnsi="Arial" w:cs="Arial"/>
          <w:i/>
          <w:color w:val="000000"/>
          <w:sz w:val="22"/>
          <w:szCs w:val="22"/>
          <w:lang w:val="x-none"/>
        </w:rPr>
      </w:pPr>
      <w:r w:rsidRPr="00F8480D">
        <w:rPr>
          <w:rFonts w:ascii="Arial" w:hAnsi="Arial" w:cs="Arial"/>
          <w:i/>
          <w:color w:val="000000"/>
          <w:sz w:val="22"/>
          <w:szCs w:val="22"/>
          <w:lang w:val="x-none"/>
        </w:rPr>
        <w:t>Applicant Printed Name</w:t>
      </w:r>
    </w:p>
    <w:p w14:paraId="5099F5FD" w14:textId="77777777" w:rsidR="00F8480D" w:rsidRPr="00F8480D" w:rsidRDefault="00F8480D" w:rsidP="00F8480D">
      <w:pPr>
        <w:autoSpaceDE w:val="0"/>
        <w:autoSpaceDN w:val="0"/>
        <w:adjustRightInd w:val="0"/>
        <w:snapToGrid w:val="0"/>
        <w:ind w:left="-450" w:right="-630"/>
        <w:rPr>
          <w:rFonts w:ascii="Arial" w:hAnsi="Arial" w:cs="Arial"/>
          <w:i/>
          <w:color w:val="000000"/>
          <w:sz w:val="22"/>
          <w:szCs w:val="22"/>
          <w:lang w:val="x-none"/>
        </w:rPr>
      </w:pPr>
    </w:p>
    <w:p w14:paraId="3D7ED78F" w14:textId="77777777" w:rsidR="00F8480D" w:rsidRPr="00F8480D" w:rsidRDefault="00F8480D" w:rsidP="00F8480D">
      <w:pPr>
        <w:autoSpaceDE w:val="0"/>
        <w:autoSpaceDN w:val="0"/>
        <w:adjustRightInd w:val="0"/>
        <w:snapToGrid w:val="0"/>
        <w:ind w:left="-450" w:right="-630"/>
        <w:rPr>
          <w:rFonts w:ascii="Arial" w:hAnsi="Arial" w:cs="Arial"/>
          <w:b/>
          <w:bCs/>
          <w:i/>
          <w:color w:val="000000"/>
          <w:sz w:val="22"/>
          <w:szCs w:val="22"/>
          <w:lang w:val="x-none"/>
        </w:rPr>
      </w:pPr>
    </w:p>
    <w:p w14:paraId="46204AF6" w14:textId="77777777" w:rsidR="00F8480D" w:rsidRPr="00F8480D" w:rsidRDefault="00F8480D" w:rsidP="00F8480D">
      <w:pPr>
        <w:autoSpaceDE w:val="0"/>
        <w:autoSpaceDN w:val="0"/>
        <w:adjustRightInd w:val="0"/>
        <w:snapToGrid w:val="0"/>
        <w:ind w:left="-450" w:right="-630"/>
        <w:rPr>
          <w:rFonts w:ascii="Arial" w:hAnsi="Arial" w:cs="Arial"/>
          <w:b/>
          <w:bCs/>
          <w:i/>
          <w:color w:val="000000"/>
          <w:sz w:val="22"/>
          <w:szCs w:val="22"/>
          <w:lang w:val="x-none"/>
        </w:rPr>
      </w:pPr>
      <w:r w:rsidRPr="00F8480D">
        <w:rPr>
          <w:rFonts w:ascii="Arial" w:hAnsi="Arial" w:cs="Arial"/>
          <w:b/>
          <w:bCs/>
          <w:i/>
          <w:color w:val="000000"/>
          <w:sz w:val="22"/>
          <w:szCs w:val="22"/>
          <w:lang w:val="x-none"/>
        </w:rPr>
        <w:t xml:space="preserve">______________________________________________________ </w:t>
      </w:r>
      <w:r w:rsidRPr="00F8480D">
        <w:rPr>
          <w:rFonts w:ascii="Arial" w:hAnsi="Arial" w:cs="Arial"/>
          <w:b/>
          <w:bCs/>
          <w:i/>
          <w:color w:val="000000"/>
          <w:sz w:val="22"/>
          <w:szCs w:val="22"/>
          <w:lang w:val="x-none"/>
        </w:rPr>
        <w:tab/>
      </w:r>
      <w:r w:rsidRPr="00F8480D">
        <w:rPr>
          <w:rFonts w:ascii="Arial" w:hAnsi="Arial" w:cs="Arial"/>
          <w:b/>
          <w:bCs/>
          <w:i/>
          <w:color w:val="000000"/>
          <w:sz w:val="22"/>
          <w:szCs w:val="22"/>
          <w:lang w:val="x-none"/>
        </w:rPr>
        <w:tab/>
        <w:t>___________________</w:t>
      </w:r>
    </w:p>
    <w:p w14:paraId="5FE89A2E" w14:textId="77777777" w:rsidR="00F8480D" w:rsidRPr="00F8480D" w:rsidRDefault="00F8480D" w:rsidP="00F8480D">
      <w:pPr>
        <w:autoSpaceDE w:val="0"/>
        <w:autoSpaceDN w:val="0"/>
        <w:adjustRightInd w:val="0"/>
        <w:snapToGrid w:val="0"/>
        <w:ind w:left="-450"/>
        <w:rPr>
          <w:rFonts w:ascii="Arial" w:hAnsi="Arial" w:cs="Arial"/>
          <w:i/>
          <w:color w:val="000000"/>
          <w:sz w:val="22"/>
          <w:szCs w:val="22"/>
        </w:rPr>
      </w:pPr>
      <w:r w:rsidRPr="00F8480D">
        <w:rPr>
          <w:rFonts w:ascii="Arial" w:hAnsi="Arial" w:cs="Arial"/>
          <w:i/>
          <w:color w:val="000000"/>
          <w:sz w:val="22"/>
          <w:szCs w:val="22"/>
        </w:rPr>
        <w:t>Applicant Signature</w:t>
      </w:r>
      <w:r w:rsidRPr="00F8480D">
        <w:rPr>
          <w:rFonts w:ascii="Arial" w:hAnsi="Arial" w:cs="Arial"/>
          <w:i/>
          <w:color w:val="000000"/>
          <w:sz w:val="22"/>
          <w:szCs w:val="22"/>
        </w:rPr>
        <w:tab/>
      </w:r>
      <w:r w:rsidRPr="00F8480D">
        <w:rPr>
          <w:rFonts w:ascii="Arial" w:hAnsi="Arial" w:cs="Arial"/>
          <w:i/>
          <w:color w:val="000000"/>
          <w:sz w:val="22"/>
          <w:szCs w:val="22"/>
        </w:rPr>
        <w:tab/>
      </w:r>
      <w:r w:rsidRPr="00F8480D">
        <w:rPr>
          <w:rFonts w:ascii="Arial" w:hAnsi="Arial" w:cs="Arial"/>
          <w:i/>
          <w:color w:val="000000"/>
          <w:sz w:val="22"/>
          <w:szCs w:val="22"/>
        </w:rPr>
        <w:tab/>
      </w:r>
      <w:r w:rsidRPr="00F8480D">
        <w:rPr>
          <w:rFonts w:ascii="Arial" w:hAnsi="Arial" w:cs="Arial"/>
          <w:i/>
          <w:color w:val="000000"/>
          <w:sz w:val="22"/>
          <w:szCs w:val="22"/>
        </w:rPr>
        <w:tab/>
      </w:r>
      <w:r w:rsidRPr="00F8480D">
        <w:rPr>
          <w:rFonts w:ascii="Arial" w:hAnsi="Arial" w:cs="Arial"/>
          <w:i/>
          <w:color w:val="000000"/>
          <w:sz w:val="22"/>
          <w:szCs w:val="22"/>
        </w:rPr>
        <w:tab/>
      </w:r>
      <w:r w:rsidRPr="00F8480D">
        <w:rPr>
          <w:rFonts w:ascii="Arial" w:hAnsi="Arial" w:cs="Arial"/>
          <w:i/>
          <w:color w:val="000000"/>
          <w:sz w:val="22"/>
          <w:szCs w:val="22"/>
        </w:rPr>
        <w:tab/>
        <w:t xml:space="preserve">   </w:t>
      </w:r>
      <w:r w:rsidRPr="00F8480D">
        <w:rPr>
          <w:rFonts w:ascii="Arial" w:hAnsi="Arial" w:cs="Arial"/>
          <w:i/>
          <w:color w:val="000000"/>
          <w:sz w:val="22"/>
          <w:szCs w:val="22"/>
        </w:rPr>
        <w:tab/>
      </w:r>
      <w:r w:rsidRPr="00F8480D">
        <w:rPr>
          <w:rFonts w:ascii="Arial" w:hAnsi="Arial" w:cs="Arial"/>
          <w:i/>
          <w:color w:val="000000"/>
          <w:sz w:val="22"/>
          <w:szCs w:val="22"/>
        </w:rPr>
        <w:tab/>
        <w:t>Date</w:t>
      </w:r>
    </w:p>
    <w:p w14:paraId="26DEF232" w14:textId="77777777" w:rsidR="00F8480D" w:rsidRDefault="00F8480D" w:rsidP="00B27553">
      <w:pPr>
        <w:pStyle w:val="BodyTextIndent2"/>
        <w:tabs>
          <w:tab w:val="num" w:pos="1440"/>
        </w:tabs>
        <w:ind w:left="0" w:firstLine="0"/>
        <w:rPr>
          <w:rFonts w:ascii="Arial" w:hAnsi="Arial" w:cs="Arial"/>
          <w:i w:val="0"/>
          <w:iCs/>
          <w:noProof/>
          <w:sz w:val="22"/>
          <w:szCs w:val="22"/>
        </w:rPr>
      </w:pPr>
    </w:p>
    <w:sectPr w:rsidR="00F8480D" w:rsidSect="005A0DEB">
      <w:footerReference w:type="default" r:id="rId16"/>
      <w:pgSz w:w="12240" w:h="15840" w:code="1"/>
      <w:pgMar w:top="1440" w:right="1440" w:bottom="1440" w:left="1440" w:header="720" w:footer="3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230C" w14:textId="77777777" w:rsidR="00805520" w:rsidRDefault="00805520">
      <w:r>
        <w:separator/>
      </w:r>
    </w:p>
  </w:endnote>
  <w:endnote w:type="continuationSeparator" w:id="0">
    <w:p w14:paraId="04B13C28" w14:textId="77777777" w:rsidR="00805520" w:rsidRDefault="00805520">
      <w:r>
        <w:continuationSeparator/>
      </w:r>
    </w:p>
  </w:endnote>
  <w:endnote w:type="continuationNotice" w:id="1">
    <w:p w14:paraId="0302CC8D" w14:textId="77777777" w:rsidR="00805520" w:rsidRDefault="00805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9957529" w:displacedByCustomXml="next"/>
  <w:sdt>
    <w:sdtPr>
      <w:rPr>
        <w:rFonts w:ascii="Arial" w:hAnsi="Arial" w:cs="Arial"/>
        <w:sz w:val="20"/>
      </w:rPr>
      <w:id w:val="1009567043"/>
      <w:docPartObj>
        <w:docPartGallery w:val="Page Numbers (Bottom of Page)"/>
        <w:docPartUnique/>
      </w:docPartObj>
    </w:sdtPr>
    <w:sdtEndPr>
      <w:rPr>
        <w:noProof/>
      </w:rPr>
    </w:sdtEndPr>
    <w:sdtContent>
      <w:p w14:paraId="0D62E05E" w14:textId="6BBBE15A" w:rsidR="00B425D2" w:rsidRPr="00130635" w:rsidRDefault="00B00FCC">
        <w:pPr>
          <w:pStyle w:val="Footer"/>
          <w:jc w:val="right"/>
          <w:rPr>
            <w:rFonts w:ascii="Arial" w:hAnsi="Arial" w:cs="Arial"/>
            <w:sz w:val="20"/>
          </w:rPr>
        </w:pPr>
        <w:r>
          <w:rPr>
            <w:rFonts w:ascii="Arial" w:hAnsi="Arial" w:cs="Arial"/>
            <w:sz w:val="20"/>
          </w:rPr>
          <w:t>August</w:t>
        </w:r>
        <w:r w:rsidR="00661A96">
          <w:rPr>
            <w:rFonts w:ascii="Arial" w:hAnsi="Arial" w:cs="Arial"/>
            <w:sz w:val="20"/>
          </w:rPr>
          <w:t xml:space="preserve"> 2023 - </w:t>
        </w:r>
        <w:r w:rsidR="00130635" w:rsidRPr="00130635">
          <w:rPr>
            <w:rFonts w:ascii="Arial" w:hAnsi="Arial" w:cs="Arial"/>
            <w:sz w:val="20"/>
          </w:rPr>
          <w:t xml:space="preserve">Page </w:t>
        </w:r>
        <w:r w:rsidR="00B425D2" w:rsidRPr="00130635">
          <w:rPr>
            <w:rFonts w:ascii="Arial" w:hAnsi="Arial" w:cs="Arial"/>
            <w:sz w:val="20"/>
          </w:rPr>
          <w:fldChar w:fldCharType="begin"/>
        </w:r>
        <w:r w:rsidR="00B425D2" w:rsidRPr="00130635">
          <w:rPr>
            <w:rFonts w:ascii="Arial" w:hAnsi="Arial" w:cs="Arial"/>
            <w:sz w:val="20"/>
          </w:rPr>
          <w:instrText xml:space="preserve"> PAGE   \* MERGEFORMAT </w:instrText>
        </w:r>
        <w:r w:rsidR="00B425D2" w:rsidRPr="00130635">
          <w:rPr>
            <w:rFonts w:ascii="Arial" w:hAnsi="Arial" w:cs="Arial"/>
            <w:sz w:val="20"/>
          </w:rPr>
          <w:fldChar w:fldCharType="separate"/>
        </w:r>
        <w:r w:rsidR="00B425D2" w:rsidRPr="00130635">
          <w:rPr>
            <w:rFonts w:ascii="Arial" w:hAnsi="Arial" w:cs="Arial"/>
            <w:noProof/>
            <w:sz w:val="20"/>
          </w:rPr>
          <w:t>2</w:t>
        </w:r>
        <w:r w:rsidR="00B425D2" w:rsidRPr="00130635">
          <w:rPr>
            <w:rFonts w:ascii="Arial" w:hAnsi="Arial" w:cs="Arial"/>
            <w:noProof/>
            <w:sz w:val="20"/>
          </w:rPr>
          <w:fldChar w:fldCharType="end"/>
        </w:r>
      </w:p>
    </w:sdtContent>
  </w:sdt>
  <w:bookmarkEnd w:id="1"/>
  <w:p w14:paraId="155B08CE" w14:textId="77777777" w:rsidR="00B425D2" w:rsidRDefault="00B4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8D87D" w14:textId="77777777" w:rsidR="00805520" w:rsidRDefault="00805520">
      <w:r>
        <w:separator/>
      </w:r>
    </w:p>
  </w:footnote>
  <w:footnote w:type="continuationSeparator" w:id="0">
    <w:p w14:paraId="3028A176" w14:textId="77777777" w:rsidR="00805520" w:rsidRDefault="00805520">
      <w:r>
        <w:continuationSeparator/>
      </w:r>
    </w:p>
  </w:footnote>
  <w:footnote w:type="continuationNotice" w:id="1">
    <w:p w14:paraId="6B5B009D" w14:textId="77777777" w:rsidR="00805520" w:rsidRDefault="008055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C2D"/>
    <w:multiLevelType w:val="hybridMultilevel"/>
    <w:tmpl w:val="4AA646A4"/>
    <w:lvl w:ilvl="0" w:tplc="06D2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603"/>
    <w:multiLevelType w:val="hybridMultilevel"/>
    <w:tmpl w:val="B50059AE"/>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DF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9541D0F"/>
    <w:multiLevelType w:val="hybridMultilevel"/>
    <w:tmpl w:val="5AF27850"/>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044DC"/>
    <w:multiLevelType w:val="hybridMultilevel"/>
    <w:tmpl w:val="C31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243A4"/>
    <w:multiLevelType w:val="singleLevel"/>
    <w:tmpl w:val="F67C8A5E"/>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0"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E26A19"/>
    <w:multiLevelType w:val="hybridMultilevel"/>
    <w:tmpl w:val="31504548"/>
    <w:lvl w:ilvl="0" w:tplc="9ABEDA74">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6C4A1F"/>
    <w:multiLevelType w:val="hybridMultilevel"/>
    <w:tmpl w:val="8B862E7C"/>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549E2"/>
    <w:multiLevelType w:val="hybridMultilevel"/>
    <w:tmpl w:val="71BA5B6E"/>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319CB"/>
    <w:multiLevelType w:val="hybridMultilevel"/>
    <w:tmpl w:val="8B7A614C"/>
    <w:lvl w:ilvl="0" w:tplc="4A54D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D20EC"/>
    <w:multiLevelType w:val="hybridMultilevel"/>
    <w:tmpl w:val="7BC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70A8D"/>
    <w:multiLevelType w:val="hybridMultilevel"/>
    <w:tmpl w:val="D7FA0922"/>
    <w:lvl w:ilvl="0" w:tplc="605AC63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24"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F9183B"/>
    <w:multiLevelType w:val="hybridMultilevel"/>
    <w:tmpl w:val="E0AE1A68"/>
    <w:lvl w:ilvl="0" w:tplc="F67C8A5E">
      <w:start w:val="1"/>
      <w:numFmt w:val="bullet"/>
      <w:lvlText w:val=""/>
      <w:lvlJc w:val="left"/>
      <w:pPr>
        <w:ind w:left="360" w:hanging="360"/>
      </w:pPr>
      <w:rPr>
        <w:rFonts w:ascii="Wingdings" w:hAnsi="Wingding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E421D"/>
    <w:multiLevelType w:val="hybridMultilevel"/>
    <w:tmpl w:val="E10419DE"/>
    <w:lvl w:ilvl="0" w:tplc="9ABCBA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CF45DA"/>
    <w:multiLevelType w:val="hybridMultilevel"/>
    <w:tmpl w:val="DE9EFEF4"/>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36"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3E390F"/>
    <w:multiLevelType w:val="hybridMultilevel"/>
    <w:tmpl w:val="260A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4352525">
    <w:abstractNumId w:val="9"/>
  </w:num>
  <w:num w:numId="2" w16cid:durableId="1982615216">
    <w:abstractNumId w:val="23"/>
  </w:num>
  <w:num w:numId="3" w16cid:durableId="1480726380">
    <w:abstractNumId w:val="4"/>
  </w:num>
  <w:num w:numId="4" w16cid:durableId="94591817">
    <w:abstractNumId w:val="35"/>
  </w:num>
  <w:num w:numId="5" w16cid:durableId="194269902">
    <w:abstractNumId w:val="10"/>
  </w:num>
  <w:num w:numId="6" w16cid:durableId="1719476638">
    <w:abstractNumId w:val="14"/>
  </w:num>
  <w:num w:numId="7" w16cid:durableId="970866138">
    <w:abstractNumId w:val="37"/>
  </w:num>
  <w:num w:numId="8" w16cid:durableId="2084793493">
    <w:abstractNumId w:val="30"/>
  </w:num>
  <w:num w:numId="9" w16cid:durableId="228343798">
    <w:abstractNumId w:val="16"/>
  </w:num>
  <w:num w:numId="10" w16cid:durableId="1232078228">
    <w:abstractNumId w:val="28"/>
  </w:num>
  <w:num w:numId="11" w16cid:durableId="630209356">
    <w:abstractNumId w:val="24"/>
  </w:num>
  <w:num w:numId="12" w16cid:durableId="1424687504">
    <w:abstractNumId w:val="13"/>
  </w:num>
  <w:num w:numId="13" w16cid:durableId="486940836">
    <w:abstractNumId w:val="31"/>
  </w:num>
  <w:num w:numId="14" w16cid:durableId="1451898038">
    <w:abstractNumId w:val="3"/>
  </w:num>
  <w:num w:numId="15" w16cid:durableId="997458633">
    <w:abstractNumId w:val="25"/>
  </w:num>
  <w:num w:numId="16" w16cid:durableId="432559110">
    <w:abstractNumId w:val="34"/>
  </w:num>
  <w:num w:numId="17" w16cid:durableId="2091534678">
    <w:abstractNumId w:val="11"/>
  </w:num>
  <w:num w:numId="18" w16cid:durableId="668214721">
    <w:abstractNumId w:val="21"/>
  </w:num>
  <w:num w:numId="19" w16cid:durableId="2134204155">
    <w:abstractNumId w:val="8"/>
  </w:num>
  <w:num w:numId="20" w16cid:durableId="1743599093">
    <w:abstractNumId w:val="20"/>
  </w:num>
  <w:num w:numId="21" w16cid:durableId="1568345606">
    <w:abstractNumId w:val="36"/>
  </w:num>
  <w:num w:numId="22" w16cid:durableId="258953564">
    <w:abstractNumId w:val="12"/>
  </w:num>
  <w:num w:numId="23" w16cid:durableId="489518831">
    <w:abstractNumId w:val="6"/>
  </w:num>
  <w:num w:numId="24" w16cid:durableId="1655597862">
    <w:abstractNumId w:val="26"/>
  </w:num>
  <w:num w:numId="25" w16cid:durableId="180583898">
    <w:abstractNumId w:val="29"/>
  </w:num>
  <w:num w:numId="26" w16cid:durableId="1642929740">
    <w:abstractNumId w:val="7"/>
  </w:num>
  <w:num w:numId="27" w16cid:durableId="197474169">
    <w:abstractNumId w:val="2"/>
  </w:num>
  <w:num w:numId="28" w16cid:durableId="1757364663">
    <w:abstractNumId w:val="33"/>
  </w:num>
  <w:num w:numId="29" w16cid:durableId="634484466">
    <w:abstractNumId w:val="15"/>
  </w:num>
  <w:num w:numId="30" w16cid:durableId="949509322">
    <w:abstractNumId w:val="17"/>
  </w:num>
  <w:num w:numId="31" w16cid:durableId="223295434">
    <w:abstractNumId w:val="5"/>
  </w:num>
  <w:num w:numId="32" w16cid:durableId="1195459087">
    <w:abstractNumId w:val="32"/>
  </w:num>
  <w:num w:numId="33" w16cid:durableId="2055207">
    <w:abstractNumId w:val="0"/>
  </w:num>
  <w:num w:numId="34" w16cid:durableId="1082990961">
    <w:abstractNumId w:val="27"/>
  </w:num>
  <w:num w:numId="35" w16cid:durableId="254479912">
    <w:abstractNumId w:val="22"/>
  </w:num>
  <w:num w:numId="36" w16cid:durableId="429665532">
    <w:abstractNumId w:val="19"/>
  </w:num>
  <w:num w:numId="37" w16cid:durableId="1416854036">
    <w:abstractNumId w:val="18"/>
  </w:num>
  <w:num w:numId="38" w16cid:durableId="179648528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04DB3"/>
    <w:rsid w:val="000169CF"/>
    <w:rsid w:val="00036F9F"/>
    <w:rsid w:val="00044D21"/>
    <w:rsid w:val="00046AC1"/>
    <w:rsid w:val="00095F30"/>
    <w:rsid w:val="000D2611"/>
    <w:rsid w:val="000D3FA3"/>
    <w:rsid w:val="000E1118"/>
    <w:rsid w:val="000E3F0B"/>
    <w:rsid w:val="00115712"/>
    <w:rsid w:val="00116519"/>
    <w:rsid w:val="00130635"/>
    <w:rsid w:val="0013411A"/>
    <w:rsid w:val="00135588"/>
    <w:rsid w:val="0019143E"/>
    <w:rsid w:val="001C5086"/>
    <w:rsid w:val="00210CDC"/>
    <w:rsid w:val="002168B8"/>
    <w:rsid w:val="002205FD"/>
    <w:rsid w:val="00226665"/>
    <w:rsid w:val="0023219E"/>
    <w:rsid w:val="00264377"/>
    <w:rsid w:val="00266EC8"/>
    <w:rsid w:val="00282C18"/>
    <w:rsid w:val="00282E04"/>
    <w:rsid w:val="002973B8"/>
    <w:rsid w:val="002D32C6"/>
    <w:rsid w:val="002D36E2"/>
    <w:rsid w:val="002E1BA3"/>
    <w:rsid w:val="00306A09"/>
    <w:rsid w:val="0032197B"/>
    <w:rsid w:val="003850B9"/>
    <w:rsid w:val="00387787"/>
    <w:rsid w:val="003C5FAD"/>
    <w:rsid w:val="004009AF"/>
    <w:rsid w:val="004370D4"/>
    <w:rsid w:val="004628F6"/>
    <w:rsid w:val="00477B38"/>
    <w:rsid w:val="004D566E"/>
    <w:rsid w:val="004D726B"/>
    <w:rsid w:val="004E5951"/>
    <w:rsid w:val="004F5D5C"/>
    <w:rsid w:val="005252A0"/>
    <w:rsid w:val="005418E8"/>
    <w:rsid w:val="0054216F"/>
    <w:rsid w:val="005735F9"/>
    <w:rsid w:val="005A0DEB"/>
    <w:rsid w:val="005B4DE4"/>
    <w:rsid w:val="005C53A9"/>
    <w:rsid w:val="005D11A1"/>
    <w:rsid w:val="005D5CA8"/>
    <w:rsid w:val="005E1233"/>
    <w:rsid w:val="0060598C"/>
    <w:rsid w:val="00634960"/>
    <w:rsid w:val="006526E5"/>
    <w:rsid w:val="00661A96"/>
    <w:rsid w:val="00667D1D"/>
    <w:rsid w:val="006707C4"/>
    <w:rsid w:val="006921A9"/>
    <w:rsid w:val="006B52C1"/>
    <w:rsid w:val="006C20C6"/>
    <w:rsid w:val="006C26CC"/>
    <w:rsid w:val="006C521F"/>
    <w:rsid w:val="006E6576"/>
    <w:rsid w:val="006F3E73"/>
    <w:rsid w:val="0070508B"/>
    <w:rsid w:val="00714496"/>
    <w:rsid w:val="007440DA"/>
    <w:rsid w:val="00746A0C"/>
    <w:rsid w:val="00782F42"/>
    <w:rsid w:val="007A722C"/>
    <w:rsid w:val="007D1836"/>
    <w:rsid w:val="007F55D6"/>
    <w:rsid w:val="00802631"/>
    <w:rsid w:val="00805520"/>
    <w:rsid w:val="0082040B"/>
    <w:rsid w:val="0082578C"/>
    <w:rsid w:val="008370D0"/>
    <w:rsid w:val="00845EED"/>
    <w:rsid w:val="00873A32"/>
    <w:rsid w:val="008947AF"/>
    <w:rsid w:val="008A3F3F"/>
    <w:rsid w:val="008B238E"/>
    <w:rsid w:val="008B4E47"/>
    <w:rsid w:val="008C2B92"/>
    <w:rsid w:val="008E2C33"/>
    <w:rsid w:val="008E6C72"/>
    <w:rsid w:val="009348F4"/>
    <w:rsid w:val="00935838"/>
    <w:rsid w:val="0095330C"/>
    <w:rsid w:val="00954800"/>
    <w:rsid w:val="00962897"/>
    <w:rsid w:val="00983BD7"/>
    <w:rsid w:val="009D06E9"/>
    <w:rsid w:val="009F156C"/>
    <w:rsid w:val="00A04125"/>
    <w:rsid w:val="00A07BB5"/>
    <w:rsid w:val="00A1524F"/>
    <w:rsid w:val="00A24B72"/>
    <w:rsid w:val="00A740B5"/>
    <w:rsid w:val="00A74111"/>
    <w:rsid w:val="00A97D88"/>
    <w:rsid w:val="00AA534E"/>
    <w:rsid w:val="00AC3C45"/>
    <w:rsid w:val="00AD73F7"/>
    <w:rsid w:val="00ADC7E9"/>
    <w:rsid w:val="00AF1F1B"/>
    <w:rsid w:val="00B00FCC"/>
    <w:rsid w:val="00B20BC9"/>
    <w:rsid w:val="00B24769"/>
    <w:rsid w:val="00B27553"/>
    <w:rsid w:val="00B365FD"/>
    <w:rsid w:val="00B425D2"/>
    <w:rsid w:val="00B55E8B"/>
    <w:rsid w:val="00BB5D64"/>
    <w:rsid w:val="00C26B3B"/>
    <w:rsid w:val="00C42E8A"/>
    <w:rsid w:val="00C451D2"/>
    <w:rsid w:val="00C720CE"/>
    <w:rsid w:val="00C92AE8"/>
    <w:rsid w:val="00CB1D0C"/>
    <w:rsid w:val="00CB347D"/>
    <w:rsid w:val="00CB4447"/>
    <w:rsid w:val="00CE1D53"/>
    <w:rsid w:val="00D03F91"/>
    <w:rsid w:val="00D04E30"/>
    <w:rsid w:val="00D42D72"/>
    <w:rsid w:val="00D54D4F"/>
    <w:rsid w:val="00D607D1"/>
    <w:rsid w:val="00DB233B"/>
    <w:rsid w:val="00DF3C25"/>
    <w:rsid w:val="00E446B9"/>
    <w:rsid w:val="00E512F0"/>
    <w:rsid w:val="00E55DC7"/>
    <w:rsid w:val="00E702E8"/>
    <w:rsid w:val="00E913E0"/>
    <w:rsid w:val="00EA2A87"/>
    <w:rsid w:val="00EA4A86"/>
    <w:rsid w:val="00EC4FAE"/>
    <w:rsid w:val="00ED5693"/>
    <w:rsid w:val="00EE1FC6"/>
    <w:rsid w:val="00F14803"/>
    <w:rsid w:val="00F164F7"/>
    <w:rsid w:val="00F16779"/>
    <w:rsid w:val="00F22A01"/>
    <w:rsid w:val="00F27287"/>
    <w:rsid w:val="00F376DC"/>
    <w:rsid w:val="00F4385E"/>
    <w:rsid w:val="00F8480D"/>
    <w:rsid w:val="00F905C4"/>
    <w:rsid w:val="00FA1BBE"/>
    <w:rsid w:val="00FE763B"/>
    <w:rsid w:val="04BA4693"/>
    <w:rsid w:val="0785F925"/>
    <w:rsid w:val="0867F87F"/>
    <w:rsid w:val="0A813AF0"/>
    <w:rsid w:val="1303D524"/>
    <w:rsid w:val="1476682B"/>
    <w:rsid w:val="199DC3BB"/>
    <w:rsid w:val="19DC4D2A"/>
    <w:rsid w:val="27AAE810"/>
    <w:rsid w:val="2896BD7D"/>
    <w:rsid w:val="2ECBA026"/>
    <w:rsid w:val="41F4AE96"/>
    <w:rsid w:val="4462430E"/>
    <w:rsid w:val="4477DEA0"/>
    <w:rsid w:val="44A47139"/>
    <w:rsid w:val="479034F6"/>
    <w:rsid w:val="5991D0D9"/>
    <w:rsid w:val="64BF821C"/>
    <w:rsid w:val="6543081E"/>
    <w:rsid w:val="6804A6AB"/>
    <w:rsid w:val="7C011861"/>
    <w:rsid w:val="7F2A9B98"/>
    <w:rsid w:val="7F9BA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BABEB0BE-F4E5-4C6C-B135-DD319A24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F905C4"/>
    <w:rPr>
      <w:sz w:val="16"/>
      <w:szCs w:val="16"/>
    </w:rPr>
  </w:style>
  <w:style w:type="paragraph" w:styleId="CommentText">
    <w:name w:val="annotation text"/>
    <w:basedOn w:val="Normal"/>
    <w:link w:val="CommentTextChar"/>
    <w:uiPriority w:val="99"/>
    <w:semiHidden/>
    <w:unhideWhenUsed/>
    <w:rsid w:val="00F905C4"/>
    <w:rPr>
      <w:sz w:val="20"/>
    </w:rPr>
  </w:style>
  <w:style w:type="character" w:customStyle="1" w:styleId="CommentTextChar">
    <w:name w:val="Comment Text Char"/>
    <w:basedOn w:val="DefaultParagraphFont"/>
    <w:link w:val="CommentText"/>
    <w:uiPriority w:val="99"/>
    <w:semiHidden/>
    <w:rsid w:val="00F905C4"/>
  </w:style>
  <w:style w:type="paragraph" w:styleId="CommentSubject">
    <w:name w:val="annotation subject"/>
    <w:basedOn w:val="CommentText"/>
    <w:next w:val="CommentText"/>
    <w:link w:val="CommentSubjectChar"/>
    <w:uiPriority w:val="99"/>
    <w:semiHidden/>
    <w:unhideWhenUsed/>
    <w:rsid w:val="00F905C4"/>
    <w:rPr>
      <w:b/>
      <w:bCs/>
    </w:rPr>
  </w:style>
  <w:style w:type="character" w:customStyle="1" w:styleId="CommentSubjectChar">
    <w:name w:val="Comment Subject Char"/>
    <w:basedOn w:val="CommentTextChar"/>
    <w:link w:val="CommentSubject"/>
    <w:uiPriority w:val="99"/>
    <w:semiHidden/>
    <w:rsid w:val="00F905C4"/>
    <w:rPr>
      <w:b/>
      <w:bCs/>
    </w:rPr>
  </w:style>
  <w:style w:type="paragraph" w:styleId="Revision">
    <w:name w:val="Revision"/>
    <w:hidden/>
    <w:uiPriority w:val="99"/>
    <w:semiHidden/>
    <w:rsid w:val="00F905C4"/>
    <w:rPr>
      <w:sz w:val="24"/>
    </w:rPr>
  </w:style>
  <w:style w:type="paragraph" w:styleId="ListParagraph">
    <w:name w:val="List Paragraph"/>
    <w:basedOn w:val="Normal"/>
    <w:uiPriority w:val="34"/>
    <w:qFormat/>
    <w:rsid w:val="001C5086"/>
    <w:pPr>
      <w:ind w:left="720"/>
      <w:contextualSpacing/>
    </w:pPr>
  </w:style>
  <w:style w:type="table" w:styleId="TableGrid">
    <w:name w:val="Table Grid"/>
    <w:basedOn w:val="TableNormal"/>
    <w:uiPriority w:val="39"/>
    <w:rsid w:val="00044D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25D2"/>
    <w:rPr>
      <w:sz w:val="24"/>
    </w:rPr>
  </w:style>
  <w:style w:type="character" w:customStyle="1" w:styleId="BodyTextChar">
    <w:name w:val="Body Text Char"/>
    <w:basedOn w:val="DefaultParagraphFont"/>
    <w:link w:val="BodyText"/>
    <w:rsid w:val="008370D0"/>
  </w:style>
  <w:style w:type="character" w:styleId="UnresolvedMention">
    <w:name w:val="Unresolved Mention"/>
    <w:basedOn w:val="DefaultParagraphFont"/>
    <w:uiPriority w:val="99"/>
    <w:semiHidden/>
    <w:unhideWhenUsed/>
    <w:rsid w:val="00135588"/>
    <w:rPr>
      <w:color w:val="605E5C"/>
      <w:shd w:val="clear" w:color="auto" w:fill="E1DFDD"/>
    </w:rPr>
  </w:style>
  <w:style w:type="paragraph" w:styleId="NormalWeb">
    <w:name w:val="Normal (Web)"/>
    <w:basedOn w:val="Normal"/>
    <w:uiPriority w:val="99"/>
    <w:semiHidden/>
    <w:unhideWhenUsed/>
    <w:rsid w:val="005C53A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e.davis@deq.virgini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o.usace.army.mil/Missions/Regulatory/RBregional.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nao.usace.army.mil/Missions/Regulatory/JPA/"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deq.virginia.gov/peep-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9" ma:contentTypeDescription="Create a new document." ma:contentTypeScope="" ma:versionID="cbf502c7b56cd4c1a3943be05cf066f7">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67cf52b68f33d3720cccb55fc99b98ec"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Props1.xml><?xml version="1.0" encoding="utf-8"?>
<ds:datastoreItem xmlns:ds="http://schemas.openxmlformats.org/officeDocument/2006/customXml" ds:itemID="{49719293-482C-41FE-BB9F-E09F171ED8EA}">
  <ds:schemaRefs>
    <ds:schemaRef ds:uri="http://schemas.microsoft.com/sharepoint/v3/contenttype/forms"/>
  </ds:schemaRefs>
</ds:datastoreItem>
</file>

<file path=customXml/itemProps2.xml><?xml version="1.0" encoding="utf-8"?>
<ds:datastoreItem xmlns:ds="http://schemas.openxmlformats.org/officeDocument/2006/customXml" ds:itemID="{BA0FEBD5-068B-48D3-9F8E-2223A3451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A7928-539B-443B-894A-0238BAEB8BDB}">
  <ds:schemaRefs>
    <ds:schemaRef ds:uri="http://schemas.microsoft.com/office/2006/metadata/properties"/>
    <ds:schemaRef ds:uri="http://schemas.microsoft.com/office/infopath/2007/PartnerControls"/>
    <ds:schemaRef ds:uri="1017d1ed-0ec5-4ff0-a8fc-2a7a1ca6f8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0</DocSecurity>
  <Lines>44</Lines>
  <Paragraphs>12</Paragraphs>
  <ScaleCrop>false</ScaleCrop>
  <Manager>B. Winn</Manager>
  <Company>Department of Environmental Quality</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Henicheck, Michelle (DEQ)</cp:lastModifiedBy>
  <cp:revision>37</cp:revision>
  <cp:lastPrinted>2001-07-19T18:31:00Z</cp:lastPrinted>
  <dcterms:created xsi:type="dcterms:W3CDTF">2023-07-13T15:18:00Z</dcterms:created>
  <dcterms:modified xsi:type="dcterms:W3CDTF">2023-09-13T15:36:00Z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