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4B2751" w14:textId="211E2E4C" w:rsidR="00DA51A0" w:rsidRPr="007A0C83" w:rsidRDefault="00DA51A0" w:rsidP="00DA51A0">
      <w:pPr>
        <w:jc w:val="center"/>
        <w:rPr>
          <w:b/>
          <w:sz w:val="40"/>
        </w:rPr>
      </w:pPr>
      <w:bookmarkStart w:id="0" w:name="OLE_LINK7"/>
      <w:bookmarkStart w:id="1" w:name="_Toc248899403"/>
      <w:bookmarkStart w:id="2" w:name="_Ref206556139"/>
      <w:bookmarkStart w:id="3" w:name="_Toc155773936"/>
      <w:r w:rsidRPr="007A0C83">
        <w:rPr>
          <w:b/>
          <w:sz w:val="40"/>
        </w:rPr>
        <w:t>Stressor Identification Analysis</w:t>
      </w:r>
    </w:p>
    <w:p w14:paraId="59303168" w14:textId="73A5E372" w:rsidR="00DA51A0" w:rsidRPr="007A0C83" w:rsidRDefault="00DA51A0" w:rsidP="00DA51A0">
      <w:pPr>
        <w:jc w:val="center"/>
        <w:rPr>
          <w:b/>
          <w:sz w:val="40"/>
        </w:rPr>
      </w:pPr>
      <w:r w:rsidRPr="007A0C83">
        <w:rPr>
          <w:b/>
          <w:sz w:val="40"/>
        </w:rPr>
        <w:t xml:space="preserve">for </w:t>
      </w:r>
    </w:p>
    <w:p w14:paraId="28E43A99" w14:textId="48A30BD0" w:rsidR="00DA51A0" w:rsidRPr="007A0C83" w:rsidRDefault="00DB3097" w:rsidP="00DA51A0">
      <w:pPr>
        <w:jc w:val="center"/>
        <w:rPr>
          <w:b/>
          <w:sz w:val="40"/>
        </w:rPr>
      </w:pPr>
      <w:r>
        <w:rPr>
          <w:b/>
          <w:sz w:val="40"/>
        </w:rPr>
        <w:t>Wolf Creek, Tinker Creek, and the Roanoke River</w:t>
      </w:r>
      <w:r w:rsidR="00FD287F">
        <w:rPr>
          <w:b/>
          <w:sz w:val="40"/>
        </w:rPr>
        <w:t xml:space="preserve"> </w:t>
      </w:r>
      <w:r w:rsidR="007A0C83" w:rsidRPr="007A0C83">
        <w:rPr>
          <w:b/>
          <w:sz w:val="40"/>
        </w:rPr>
        <w:t xml:space="preserve">in </w:t>
      </w:r>
      <w:r>
        <w:rPr>
          <w:b/>
          <w:sz w:val="40"/>
        </w:rPr>
        <w:t xml:space="preserve">Roanoke City and Roanoke and Botetourt </w:t>
      </w:r>
      <w:r w:rsidR="007A0C83" w:rsidRPr="007A0C83">
        <w:rPr>
          <w:b/>
          <w:sz w:val="40"/>
        </w:rPr>
        <w:t>Count</w:t>
      </w:r>
      <w:r>
        <w:rPr>
          <w:b/>
          <w:sz w:val="40"/>
        </w:rPr>
        <w:t>ies</w:t>
      </w:r>
    </w:p>
    <w:p w14:paraId="6C915AB4" w14:textId="01C1FE4B" w:rsidR="00726C8C" w:rsidRPr="007A0C83" w:rsidRDefault="00726C8C" w:rsidP="00DA51A0">
      <w:pPr>
        <w:jc w:val="center"/>
        <w:rPr>
          <w:sz w:val="40"/>
          <w:highlight w:val="yellow"/>
        </w:rPr>
      </w:pPr>
    </w:p>
    <w:p w14:paraId="77EC9F3D" w14:textId="17701B5C" w:rsidR="00726C8C" w:rsidRDefault="008A3258" w:rsidP="00DA51A0">
      <w:pPr>
        <w:jc w:val="center"/>
        <w:rPr>
          <w:sz w:val="40"/>
        </w:rPr>
      </w:pPr>
      <w:r>
        <w:rPr>
          <w:noProof/>
          <w:sz w:val="40"/>
        </w:rPr>
        <w:drawing>
          <wp:inline distT="0" distB="0" distL="0" distR="0" wp14:anchorId="42D66779" wp14:editId="51FDAF12">
            <wp:extent cx="3568700" cy="5943600"/>
            <wp:effectExtent l="0" t="6350" r="6350" b="6350"/>
            <wp:docPr id="6" name="Picture 6" descr="Picture of the Roanoke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A199_20.JPG"/>
                    <pic:cNvPicPr/>
                  </pic:nvPicPr>
                  <pic:blipFill rotWithShape="1">
                    <a:blip r:embed="rId11" cstate="print">
                      <a:extLst>
                        <a:ext uri="{28A0092B-C50C-407E-A947-70E740481C1C}">
                          <a14:useLocalDpi xmlns:a14="http://schemas.microsoft.com/office/drawing/2010/main" val="0"/>
                        </a:ext>
                      </a:extLst>
                    </a:blip>
                    <a:srcRect l="26362" r="28606"/>
                    <a:stretch/>
                  </pic:blipFill>
                  <pic:spPr bwMode="auto">
                    <a:xfrm rot="5400000">
                      <a:off x="0" y="0"/>
                      <a:ext cx="3568700" cy="5943600"/>
                    </a:xfrm>
                    <a:prstGeom prst="rect">
                      <a:avLst/>
                    </a:prstGeom>
                    <a:ln>
                      <a:noFill/>
                    </a:ln>
                    <a:extLst>
                      <a:ext uri="{53640926-AAD7-44D8-BBD7-CCE9431645EC}">
                        <a14:shadowObscured xmlns:a14="http://schemas.microsoft.com/office/drawing/2010/main"/>
                      </a:ext>
                    </a:extLst>
                  </pic:spPr>
                </pic:pic>
              </a:graphicData>
            </a:graphic>
          </wp:inline>
        </w:drawing>
      </w:r>
    </w:p>
    <w:p w14:paraId="7CE14C08" w14:textId="3A357693" w:rsidR="006E2B98" w:rsidRPr="007A0C83" w:rsidRDefault="006E2B98" w:rsidP="00DA51A0">
      <w:pPr>
        <w:jc w:val="center"/>
        <w:rPr>
          <w:sz w:val="40"/>
        </w:rPr>
      </w:pPr>
    </w:p>
    <w:p w14:paraId="6F770E8A" w14:textId="40F003E6" w:rsidR="00DA51A0" w:rsidRPr="00BC267E" w:rsidRDefault="00DA51A0" w:rsidP="00DA51A0">
      <w:pPr>
        <w:pStyle w:val="EEETitleSub"/>
        <w:jc w:val="center"/>
      </w:pPr>
      <w:r w:rsidRPr="00BC267E">
        <w:t>Prepared by:</w:t>
      </w:r>
    </w:p>
    <w:p w14:paraId="4575C9BB" w14:textId="113259F4" w:rsidR="00DA51A0" w:rsidRPr="007A0C83" w:rsidRDefault="00DA51A0" w:rsidP="00DA51A0">
      <w:pPr>
        <w:pStyle w:val="EEETitleInfo"/>
        <w:jc w:val="center"/>
      </w:pPr>
      <w:r w:rsidRPr="00BC267E">
        <w:t>James Madison University</w:t>
      </w:r>
      <w:r w:rsidRPr="007A0C83">
        <w:t xml:space="preserve"> </w:t>
      </w:r>
    </w:p>
    <w:p w14:paraId="52C8DFAD" w14:textId="3B781355" w:rsidR="00DA51A0" w:rsidRPr="007A0C83" w:rsidRDefault="00DA51A0" w:rsidP="00DA51A0">
      <w:pPr>
        <w:pStyle w:val="EEETitleInfo"/>
        <w:jc w:val="center"/>
      </w:pPr>
      <w:r w:rsidRPr="007A0C83">
        <w:t xml:space="preserve">and </w:t>
      </w:r>
    </w:p>
    <w:p w14:paraId="7F39DA64" w14:textId="40492664" w:rsidR="00DA51A0" w:rsidRPr="007A0C83" w:rsidRDefault="006E2B98" w:rsidP="00DA51A0">
      <w:pPr>
        <w:pStyle w:val="EEETitleInfo"/>
        <w:jc w:val="center"/>
      </w:pPr>
      <w:r w:rsidRPr="007A0C83">
        <w:t>Wetland Studies and Solutions</w:t>
      </w:r>
      <w:r w:rsidR="00DA51A0" w:rsidRPr="007A0C83">
        <w:t>, Inc.</w:t>
      </w:r>
    </w:p>
    <w:p w14:paraId="697C39C4" w14:textId="4BA222DA" w:rsidR="00DA51A0" w:rsidRPr="007A0C83" w:rsidRDefault="00DA51A0" w:rsidP="00DA51A0">
      <w:pPr>
        <w:pStyle w:val="EEETitleInfo"/>
        <w:jc w:val="center"/>
      </w:pPr>
    </w:p>
    <w:p w14:paraId="5DC115C1" w14:textId="688F588F" w:rsidR="00DA51A0" w:rsidRPr="007A0C83" w:rsidRDefault="00DA51A0" w:rsidP="00DA51A0">
      <w:pPr>
        <w:pStyle w:val="EEETitleSub"/>
        <w:jc w:val="center"/>
      </w:pPr>
      <w:r w:rsidRPr="007A0C83">
        <w:t>Prepared for:</w:t>
      </w:r>
    </w:p>
    <w:p w14:paraId="536C6920" w14:textId="65AFAFE9" w:rsidR="00DA51A0" w:rsidRPr="007A0C83" w:rsidRDefault="00DA51A0" w:rsidP="00DA51A0">
      <w:pPr>
        <w:pStyle w:val="EEETitleInfo"/>
        <w:jc w:val="center"/>
      </w:pPr>
      <w:r w:rsidRPr="007A0C83">
        <w:t>Virginia Department of Environmental Quality</w:t>
      </w:r>
    </w:p>
    <w:p w14:paraId="0109CC91" w14:textId="41F01BC0" w:rsidR="00DA51A0" w:rsidRPr="007A0C83" w:rsidRDefault="00DA51A0" w:rsidP="00DA51A0">
      <w:pPr>
        <w:pStyle w:val="EEETitleInfo"/>
        <w:jc w:val="center"/>
      </w:pPr>
    </w:p>
    <w:p w14:paraId="6FF98547" w14:textId="0756E041" w:rsidR="00DA51A0" w:rsidRPr="007A0C83" w:rsidRDefault="00663BCD" w:rsidP="00DA51A0">
      <w:pPr>
        <w:pStyle w:val="EEETitleInfo"/>
        <w:jc w:val="center"/>
      </w:pPr>
      <w:r>
        <w:rPr>
          <w:noProof/>
          <w:sz w:val="32"/>
        </w:rPr>
        <w:t>December</w:t>
      </w:r>
      <w:r w:rsidR="00B311CA">
        <w:rPr>
          <w:noProof/>
          <w:sz w:val="32"/>
        </w:rPr>
        <w:t xml:space="preserve"> </w:t>
      </w:r>
      <w:r w:rsidR="00DA51A0" w:rsidRPr="007A0C83">
        <w:rPr>
          <w:noProof/>
          <w:sz w:val="32"/>
        </w:rPr>
        <w:t>202</w:t>
      </w:r>
      <w:r w:rsidR="00B311CA">
        <w:rPr>
          <w:noProof/>
          <w:sz w:val="32"/>
        </w:rPr>
        <w:t>3</w:t>
      </w:r>
    </w:p>
    <w:p w14:paraId="527AF43F" w14:textId="7D2EB2EA" w:rsidR="00DA51A0" w:rsidRPr="007A0C83" w:rsidRDefault="00A21480" w:rsidP="00DA51A0">
      <w:pPr>
        <w:pStyle w:val="EEETitleInfo"/>
      </w:pPr>
      <w:r w:rsidRPr="007A0C83">
        <w:rPr>
          <w:noProof/>
        </w:rPr>
        <w:drawing>
          <wp:anchor distT="0" distB="0" distL="114300" distR="114300" simplePos="0" relativeHeight="251659264" behindDoc="0" locked="0" layoutInCell="1" allowOverlap="1" wp14:anchorId="57F23D75" wp14:editId="7D2E9EB0">
            <wp:simplePos x="0" y="0"/>
            <wp:positionH relativeFrom="column">
              <wp:posOffset>120649</wp:posOffset>
            </wp:positionH>
            <wp:positionV relativeFrom="paragraph">
              <wp:posOffset>361315</wp:posOffset>
            </wp:positionV>
            <wp:extent cx="2043159" cy="736600"/>
            <wp:effectExtent l="0" t="0" r="0" b="6350"/>
            <wp:wrapNone/>
            <wp:docPr id="12" name="Picture 12" descr="C:\Users\cdp77574\AppData\Local\Microsoft\Windows\INetCache\Content.MSO\CE2E39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dp77574\AppData\Local\Microsoft\Windows\INetCache\Content.MSO\CE2E3947.tmp"/>
                    <pic:cNvPicPr>
                      <a:picLocks noChangeAspect="1" noChangeArrowheads="1"/>
                    </pic:cNvPicPr>
                  </pic:nvPicPr>
                  <pic:blipFill rotWithShape="1">
                    <a:blip r:embed="rId12">
                      <a:extLst>
                        <a:ext uri="{28A0092B-C50C-407E-A947-70E740481C1C}">
                          <a14:useLocalDpi xmlns:a14="http://schemas.microsoft.com/office/drawing/2010/main" val="0"/>
                        </a:ext>
                      </a:extLst>
                    </a:blip>
                    <a:srcRect t="35111" b="25778"/>
                    <a:stretch/>
                  </pic:blipFill>
                  <pic:spPr bwMode="auto">
                    <a:xfrm>
                      <a:off x="0" y="0"/>
                      <a:ext cx="2055554" cy="7410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0C83">
        <w:rPr>
          <w:noProof/>
        </w:rPr>
        <w:drawing>
          <wp:anchor distT="0" distB="0" distL="114300" distR="114300" simplePos="0" relativeHeight="251658240" behindDoc="0" locked="0" layoutInCell="1" allowOverlap="1" wp14:anchorId="189F79A4" wp14:editId="05D0E9C8">
            <wp:simplePos x="0" y="0"/>
            <wp:positionH relativeFrom="margin">
              <wp:align>right</wp:align>
            </wp:positionH>
            <wp:positionV relativeFrom="paragraph">
              <wp:posOffset>253365</wp:posOffset>
            </wp:positionV>
            <wp:extent cx="1775460" cy="907415"/>
            <wp:effectExtent l="0" t="0" r="0" b="6985"/>
            <wp:wrapNone/>
            <wp:docPr id="158" name="Picture 158" descr="jm_logo01002"/>
            <wp:cNvGraphicFramePr/>
            <a:graphic xmlns:a="http://schemas.openxmlformats.org/drawingml/2006/main">
              <a:graphicData uri="http://schemas.openxmlformats.org/drawingml/2006/picture">
                <pic:pic xmlns:pic="http://schemas.openxmlformats.org/drawingml/2006/picture">
                  <pic:nvPicPr>
                    <pic:cNvPr id="158" name="Picture 158" descr="jm_logo0100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5460" cy="907415"/>
                    </a:xfrm>
                    <a:prstGeom prst="rect">
                      <a:avLst/>
                    </a:prstGeom>
                    <a:noFill/>
                    <a:ln>
                      <a:noFill/>
                    </a:ln>
                  </pic:spPr>
                </pic:pic>
              </a:graphicData>
            </a:graphic>
            <wp14:sizeRelH relativeFrom="page">
              <wp14:pctWidth>0</wp14:pctWidth>
            </wp14:sizeRelH>
            <wp14:sizeRelV relativeFrom="page">
              <wp14:pctHeight>0</wp14:pctHeight>
            </wp14:sizeRelV>
          </wp:anchor>
        </w:drawing>
      </w:r>
      <w:r w:rsidR="00DA51A0" w:rsidRPr="007A0C83">
        <w:tab/>
      </w:r>
      <w:r w:rsidR="00DA51A0" w:rsidRPr="007A0C83">
        <w:tab/>
      </w:r>
      <w:r w:rsidR="00DA51A0" w:rsidRPr="007A0C83">
        <w:tab/>
      </w:r>
    </w:p>
    <w:p w14:paraId="09334879" w14:textId="77777777" w:rsidR="00726C8C" w:rsidRDefault="00726C8C" w:rsidP="00DA51A0">
      <w:pPr>
        <w:pStyle w:val="EEETitleInfo"/>
      </w:pPr>
    </w:p>
    <w:p w14:paraId="53D679F7" w14:textId="77777777" w:rsidR="00726C8C" w:rsidRDefault="00726C8C" w:rsidP="00DA51A0">
      <w:pPr>
        <w:pStyle w:val="EEETitleInfo"/>
      </w:pPr>
    </w:p>
    <w:p w14:paraId="51F8F937" w14:textId="0F6FECA7" w:rsidR="00726C8C" w:rsidRPr="007A0C83" w:rsidRDefault="00726C8C" w:rsidP="00DA51A0">
      <w:pPr>
        <w:pStyle w:val="EEETitleInfo"/>
        <w:sectPr w:rsidR="00726C8C" w:rsidRPr="007A0C83" w:rsidSect="00FB23B4">
          <w:headerReference w:type="default" r:id="rId14"/>
          <w:headerReference w:type="first" r:id="rId15"/>
          <w:pgSz w:w="12240" w:h="15840"/>
          <w:pgMar w:top="1440" w:right="1440" w:bottom="1440" w:left="1440" w:header="720" w:footer="720" w:gutter="0"/>
          <w:cols w:space="720"/>
          <w:titlePg/>
          <w:docGrid w:linePitch="360"/>
        </w:sectPr>
      </w:pPr>
    </w:p>
    <w:bookmarkEnd w:id="0"/>
    <w:bookmarkEnd w:id="1"/>
    <w:bookmarkEnd w:id="2"/>
    <w:bookmarkEnd w:id="3"/>
    <w:p w14:paraId="62E31B31" w14:textId="290F2893" w:rsidR="009D4C81" w:rsidRPr="007129D1" w:rsidRDefault="00677B8D" w:rsidP="00C046E1">
      <w:pPr>
        <w:rPr>
          <w:b/>
          <w:u w:val="single"/>
        </w:rPr>
      </w:pPr>
      <w:r w:rsidRPr="007129D1">
        <w:rPr>
          <w:b/>
          <w:u w:val="single"/>
        </w:rPr>
        <w:lastRenderedPageBreak/>
        <w:t>Table of Contents</w:t>
      </w:r>
    </w:p>
    <w:p w14:paraId="3C0B59D0" w14:textId="6773B9D0" w:rsidR="004A78BF" w:rsidRDefault="00421E5C">
      <w:pPr>
        <w:pStyle w:val="TOC5"/>
        <w:tabs>
          <w:tab w:val="right" w:leader="dot" w:pos="9350"/>
        </w:tabs>
        <w:rPr>
          <w:rFonts w:asciiTheme="minorHAnsi" w:eastAsiaTheme="minorEastAsia" w:hAnsiTheme="minorHAnsi" w:cstheme="minorBidi"/>
          <w:noProof/>
          <w:sz w:val="22"/>
          <w:szCs w:val="22"/>
        </w:rPr>
      </w:pPr>
      <w:r w:rsidRPr="007129D1">
        <w:rPr>
          <w:noProof/>
        </w:rPr>
        <w:fldChar w:fldCharType="begin"/>
      </w:r>
      <w:r w:rsidRPr="007129D1">
        <w:rPr>
          <w:noProof/>
        </w:rPr>
        <w:instrText xml:space="preserve"> TOC \o "2-4" \h \z \t "Heading 1,1,HeadingNoNumEEE,5" </w:instrText>
      </w:r>
      <w:r w:rsidRPr="007129D1">
        <w:rPr>
          <w:noProof/>
        </w:rPr>
        <w:fldChar w:fldCharType="separate"/>
      </w:r>
      <w:hyperlink w:anchor="_Toc162948146" w:history="1">
        <w:r w:rsidR="004A78BF" w:rsidRPr="004B7D85">
          <w:rPr>
            <w:rStyle w:val="Hyperlink"/>
            <w:noProof/>
          </w:rPr>
          <w:t>Acronyms</w:t>
        </w:r>
        <w:r w:rsidR="004A78BF">
          <w:rPr>
            <w:noProof/>
            <w:webHidden/>
          </w:rPr>
          <w:tab/>
        </w:r>
        <w:r w:rsidR="004A78BF">
          <w:rPr>
            <w:noProof/>
            <w:webHidden/>
          </w:rPr>
          <w:fldChar w:fldCharType="begin"/>
        </w:r>
        <w:r w:rsidR="004A78BF">
          <w:rPr>
            <w:noProof/>
            <w:webHidden/>
          </w:rPr>
          <w:instrText xml:space="preserve"> PAGEREF _Toc162948146 \h </w:instrText>
        </w:r>
        <w:r w:rsidR="004A78BF">
          <w:rPr>
            <w:noProof/>
            <w:webHidden/>
          </w:rPr>
        </w:r>
        <w:r w:rsidR="004A78BF">
          <w:rPr>
            <w:noProof/>
            <w:webHidden/>
          </w:rPr>
          <w:fldChar w:fldCharType="separate"/>
        </w:r>
        <w:r w:rsidR="004A78BF">
          <w:rPr>
            <w:noProof/>
            <w:webHidden/>
          </w:rPr>
          <w:t>9</w:t>
        </w:r>
        <w:r w:rsidR="004A78BF">
          <w:rPr>
            <w:noProof/>
            <w:webHidden/>
          </w:rPr>
          <w:fldChar w:fldCharType="end"/>
        </w:r>
      </w:hyperlink>
    </w:p>
    <w:p w14:paraId="1A815456" w14:textId="1260412C" w:rsidR="004A78BF" w:rsidRDefault="004A78BF">
      <w:pPr>
        <w:pStyle w:val="TOC5"/>
        <w:tabs>
          <w:tab w:val="right" w:leader="dot" w:pos="9350"/>
        </w:tabs>
        <w:rPr>
          <w:rFonts w:asciiTheme="minorHAnsi" w:eastAsiaTheme="minorEastAsia" w:hAnsiTheme="minorHAnsi" w:cstheme="minorBidi"/>
          <w:noProof/>
          <w:sz w:val="22"/>
          <w:szCs w:val="22"/>
        </w:rPr>
      </w:pPr>
      <w:hyperlink w:anchor="_Toc162948147" w:history="1">
        <w:r w:rsidRPr="004B7D85">
          <w:rPr>
            <w:rStyle w:val="Hyperlink"/>
            <w:noProof/>
          </w:rPr>
          <w:t>Executive Summary</w:t>
        </w:r>
        <w:r>
          <w:rPr>
            <w:noProof/>
            <w:webHidden/>
          </w:rPr>
          <w:tab/>
        </w:r>
        <w:r>
          <w:rPr>
            <w:noProof/>
            <w:webHidden/>
          </w:rPr>
          <w:fldChar w:fldCharType="begin"/>
        </w:r>
        <w:r>
          <w:rPr>
            <w:noProof/>
            <w:webHidden/>
          </w:rPr>
          <w:instrText xml:space="preserve"> PAGEREF _Toc162948147 \h </w:instrText>
        </w:r>
        <w:r>
          <w:rPr>
            <w:noProof/>
            <w:webHidden/>
          </w:rPr>
        </w:r>
        <w:r>
          <w:rPr>
            <w:noProof/>
            <w:webHidden/>
          </w:rPr>
          <w:fldChar w:fldCharType="separate"/>
        </w:r>
        <w:r>
          <w:rPr>
            <w:noProof/>
            <w:webHidden/>
          </w:rPr>
          <w:t>10</w:t>
        </w:r>
        <w:r>
          <w:rPr>
            <w:noProof/>
            <w:webHidden/>
          </w:rPr>
          <w:fldChar w:fldCharType="end"/>
        </w:r>
      </w:hyperlink>
    </w:p>
    <w:p w14:paraId="6E8D1D90" w14:textId="405DD1D9" w:rsidR="004A78BF" w:rsidRDefault="004A78BF">
      <w:pPr>
        <w:pStyle w:val="TOC1"/>
        <w:rPr>
          <w:rFonts w:asciiTheme="minorHAnsi" w:eastAsiaTheme="minorEastAsia" w:hAnsiTheme="minorHAnsi" w:cstheme="minorBidi"/>
          <w:caps w:val="0"/>
          <w:sz w:val="22"/>
          <w:szCs w:val="22"/>
        </w:rPr>
      </w:pPr>
      <w:hyperlink w:anchor="_Toc162948148" w:history="1">
        <w:r w:rsidRPr="004B7D85">
          <w:rPr>
            <w:rStyle w:val="Hyperlink"/>
          </w:rPr>
          <w:t>1.0 Overview</w:t>
        </w:r>
        <w:r>
          <w:rPr>
            <w:webHidden/>
          </w:rPr>
          <w:tab/>
        </w:r>
        <w:r>
          <w:rPr>
            <w:webHidden/>
          </w:rPr>
          <w:fldChar w:fldCharType="begin"/>
        </w:r>
        <w:r>
          <w:rPr>
            <w:webHidden/>
          </w:rPr>
          <w:instrText xml:space="preserve"> PAGEREF _Toc162948148 \h </w:instrText>
        </w:r>
        <w:r>
          <w:rPr>
            <w:webHidden/>
          </w:rPr>
        </w:r>
        <w:r>
          <w:rPr>
            <w:webHidden/>
          </w:rPr>
          <w:fldChar w:fldCharType="separate"/>
        </w:r>
        <w:r>
          <w:rPr>
            <w:webHidden/>
          </w:rPr>
          <w:t>10</w:t>
        </w:r>
        <w:r>
          <w:rPr>
            <w:webHidden/>
          </w:rPr>
          <w:fldChar w:fldCharType="end"/>
        </w:r>
      </w:hyperlink>
    </w:p>
    <w:p w14:paraId="36B4119A" w14:textId="2E725D93" w:rsidR="004A78BF" w:rsidRDefault="004A78BF">
      <w:pPr>
        <w:pStyle w:val="TOC2"/>
        <w:rPr>
          <w:rFonts w:asciiTheme="minorHAnsi" w:eastAsiaTheme="minorEastAsia" w:hAnsiTheme="minorHAnsi" w:cstheme="minorBidi"/>
          <w:sz w:val="22"/>
          <w:szCs w:val="22"/>
        </w:rPr>
      </w:pPr>
      <w:hyperlink w:anchor="_Toc162948149" w:history="1">
        <w:r w:rsidRPr="004B7D85">
          <w:rPr>
            <w:rStyle w:val="Hyperlink"/>
          </w:rPr>
          <w:t>1.1. TMDL Development</w:t>
        </w:r>
        <w:r>
          <w:rPr>
            <w:webHidden/>
          </w:rPr>
          <w:tab/>
        </w:r>
        <w:r>
          <w:rPr>
            <w:webHidden/>
          </w:rPr>
          <w:fldChar w:fldCharType="begin"/>
        </w:r>
        <w:r>
          <w:rPr>
            <w:webHidden/>
          </w:rPr>
          <w:instrText xml:space="preserve"> PAGEREF _Toc162948149 \h </w:instrText>
        </w:r>
        <w:r>
          <w:rPr>
            <w:webHidden/>
          </w:rPr>
        </w:r>
        <w:r>
          <w:rPr>
            <w:webHidden/>
          </w:rPr>
          <w:fldChar w:fldCharType="separate"/>
        </w:r>
        <w:r>
          <w:rPr>
            <w:webHidden/>
          </w:rPr>
          <w:t>10</w:t>
        </w:r>
        <w:r>
          <w:rPr>
            <w:webHidden/>
          </w:rPr>
          <w:fldChar w:fldCharType="end"/>
        </w:r>
      </w:hyperlink>
    </w:p>
    <w:p w14:paraId="35141730" w14:textId="42CC651D" w:rsidR="004A78BF" w:rsidRDefault="004A78BF">
      <w:pPr>
        <w:pStyle w:val="TOC2"/>
        <w:rPr>
          <w:rFonts w:asciiTheme="minorHAnsi" w:eastAsiaTheme="minorEastAsia" w:hAnsiTheme="minorHAnsi" w:cstheme="minorBidi"/>
          <w:sz w:val="22"/>
          <w:szCs w:val="22"/>
        </w:rPr>
      </w:pPr>
      <w:hyperlink w:anchor="_Toc162948150" w:history="1">
        <w:r w:rsidRPr="004B7D85">
          <w:rPr>
            <w:rStyle w:val="Hyperlink"/>
          </w:rPr>
          <w:t>1.2. Benthic Impairments</w:t>
        </w:r>
        <w:r>
          <w:rPr>
            <w:webHidden/>
          </w:rPr>
          <w:tab/>
        </w:r>
        <w:r>
          <w:rPr>
            <w:webHidden/>
          </w:rPr>
          <w:fldChar w:fldCharType="begin"/>
        </w:r>
        <w:r>
          <w:rPr>
            <w:webHidden/>
          </w:rPr>
          <w:instrText xml:space="preserve"> PAGEREF _Toc162948150 \h </w:instrText>
        </w:r>
        <w:r>
          <w:rPr>
            <w:webHidden/>
          </w:rPr>
        </w:r>
        <w:r>
          <w:rPr>
            <w:webHidden/>
          </w:rPr>
          <w:fldChar w:fldCharType="separate"/>
        </w:r>
        <w:r>
          <w:rPr>
            <w:webHidden/>
          </w:rPr>
          <w:t>11</w:t>
        </w:r>
        <w:r>
          <w:rPr>
            <w:webHidden/>
          </w:rPr>
          <w:fldChar w:fldCharType="end"/>
        </w:r>
      </w:hyperlink>
    </w:p>
    <w:p w14:paraId="5ECA68E6" w14:textId="66DF3F21" w:rsidR="004A78BF" w:rsidRDefault="004A78BF">
      <w:pPr>
        <w:pStyle w:val="TOC2"/>
        <w:rPr>
          <w:rFonts w:asciiTheme="minorHAnsi" w:eastAsiaTheme="minorEastAsia" w:hAnsiTheme="minorHAnsi" w:cstheme="minorBidi"/>
          <w:sz w:val="22"/>
          <w:szCs w:val="22"/>
        </w:rPr>
      </w:pPr>
      <w:hyperlink w:anchor="_Toc162948151" w:history="1">
        <w:r w:rsidRPr="004B7D85">
          <w:rPr>
            <w:rStyle w:val="Hyperlink"/>
          </w:rPr>
          <w:t>1.3. Stressor Analysis Process</w:t>
        </w:r>
        <w:r>
          <w:rPr>
            <w:webHidden/>
          </w:rPr>
          <w:tab/>
        </w:r>
        <w:r>
          <w:rPr>
            <w:webHidden/>
          </w:rPr>
          <w:fldChar w:fldCharType="begin"/>
        </w:r>
        <w:r>
          <w:rPr>
            <w:webHidden/>
          </w:rPr>
          <w:instrText xml:space="preserve"> PAGEREF _Toc162948151 \h </w:instrText>
        </w:r>
        <w:r>
          <w:rPr>
            <w:webHidden/>
          </w:rPr>
        </w:r>
        <w:r>
          <w:rPr>
            <w:webHidden/>
          </w:rPr>
          <w:fldChar w:fldCharType="separate"/>
        </w:r>
        <w:r>
          <w:rPr>
            <w:webHidden/>
          </w:rPr>
          <w:t>13</w:t>
        </w:r>
        <w:r>
          <w:rPr>
            <w:webHidden/>
          </w:rPr>
          <w:fldChar w:fldCharType="end"/>
        </w:r>
      </w:hyperlink>
    </w:p>
    <w:p w14:paraId="16271EF1" w14:textId="3276885C" w:rsidR="004A78BF" w:rsidRDefault="004A78BF">
      <w:pPr>
        <w:pStyle w:val="TOC1"/>
        <w:rPr>
          <w:rFonts w:asciiTheme="minorHAnsi" w:eastAsiaTheme="minorEastAsia" w:hAnsiTheme="minorHAnsi" w:cstheme="minorBidi"/>
          <w:caps w:val="0"/>
          <w:sz w:val="22"/>
          <w:szCs w:val="22"/>
        </w:rPr>
      </w:pPr>
      <w:hyperlink w:anchor="_Toc162948152" w:history="1">
        <w:r w:rsidRPr="004B7D85">
          <w:rPr>
            <w:rStyle w:val="Hyperlink"/>
          </w:rPr>
          <w:t>2.0 Biological, Physical, and Chemical Data</w:t>
        </w:r>
        <w:r>
          <w:rPr>
            <w:webHidden/>
          </w:rPr>
          <w:tab/>
        </w:r>
        <w:r>
          <w:rPr>
            <w:webHidden/>
          </w:rPr>
          <w:fldChar w:fldCharType="begin"/>
        </w:r>
        <w:r>
          <w:rPr>
            <w:webHidden/>
          </w:rPr>
          <w:instrText xml:space="preserve"> PAGEREF _Toc162948152 \h </w:instrText>
        </w:r>
        <w:r>
          <w:rPr>
            <w:webHidden/>
          </w:rPr>
        </w:r>
        <w:r>
          <w:rPr>
            <w:webHidden/>
          </w:rPr>
          <w:fldChar w:fldCharType="separate"/>
        </w:r>
        <w:r>
          <w:rPr>
            <w:webHidden/>
          </w:rPr>
          <w:t>15</w:t>
        </w:r>
        <w:r>
          <w:rPr>
            <w:webHidden/>
          </w:rPr>
          <w:fldChar w:fldCharType="end"/>
        </w:r>
      </w:hyperlink>
    </w:p>
    <w:p w14:paraId="75DABFCA" w14:textId="708D06B8" w:rsidR="004A78BF" w:rsidRDefault="004A78BF">
      <w:pPr>
        <w:pStyle w:val="TOC2"/>
        <w:rPr>
          <w:rFonts w:asciiTheme="minorHAnsi" w:eastAsiaTheme="minorEastAsia" w:hAnsiTheme="minorHAnsi" w:cstheme="minorBidi"/>
          <w:sz w:val="22"/>
          <w:szCs w:val="22"/>
        </w:rPr>
      </w:pPr>
      <w:hyperlink w:anchor="_Toc162948153" w:history="1">
        <w:r w:rsidRPr="004B7D85">
          <w:rPr>
            <w:rStyle w:val="Hyperlink"/>
          </w:rPr>
          <w:t>2.1. Benthic Assessments</w:t>
        </w:r>
        <w:r>
          <w:rPr>
            <w:webHidden/>
          </w:rPr>
          <w:tab/>
        </w:r>
        <w:r>
          <w:rPr>
            <w:webHidden/>
          </w:rPr>
          <w:fldChar w:fldCharType="begin"/>
        </w:r>
        <w:r>
          <w:rPr>
            <w:webHidden/>
          </w:rPr>
          <w:instrText xml:space="preserve"> PAGEREF _Toc162948153 \h </w:instrText>
        </w:r>
        <w:r>
          <w:rPr>
            <w:webHidden/>
          </w:rPr>
        </w:r>
        <w:r>
          <w:rPr>
            <w:webHidden/>
          </w:rPr>
          <w:fldChar w:fldCharType="separate"/>
        </w:r>
        <w:r>
          <w:rPr>
            <w:webHidden/>
          </w:rPr>
          <w:t>19</w:t>
        </w:r>
        <w:r>
          <w:rPr>
            <w:webHidden/>
          </w:rPr>
          <w:fldChar w:fldCharType="end"/>
        </w:r>
      </w:hyperlink>
    </w:p>
    <w:p w14:paraId="63FCAA15" w14:textId="61164684" w:rsidR="004A78BF" w:rsidRDefault="004A78BF">
      <w:pPr>
        <w:pStyle w:val="TOC3"/>
        <w:tabs>
          <w:tab w:val="right" w:leader="dot" w:pos="9350"/>
        </w:tabs>
        <w:rPr>
          <w:rFonts w:asciiTheme="minorHAnsi" w:eastAsiaTheme="minorEastAsia" w:hAnsiTheme="minorHAnsi" w:cstheme="minorBidi"/>
          <w:noProof/>
          <w:sz w:val="22"/>
          <w:szCs w:val="22"/>
        </w:rPr>
      </w:pPr>
      <w:hyperlink w:anchor="_Toc162948154" w:history="1">
        <w:r w:rsidRPr="004B7D85">
          <w:rPr>
            <w:rStyle w:val="Hyperlink"/>
            <w:noProof/>
          </w:rPr>
          <w:t>2.1.1. Spatial Analysis of Benthic Data</w:t>
        </w:r>
        <w:r>
          <w:rPr>
            <w:noProof/>
            <w:webHidden/>
          </w:rPr>
          <w:tab/>
        </w:r>
        <w:r>
          <w:rPr>
            <w:noProof/>
            <w:webHidden/>
          </w:rPr>
          <w:fldChar w:fldCharType="begin"/>
        </w:r>
        <w:r>
          <w:rPr>
            <w:noProof/>
            <w:webHidden/>
          </w:rPr>
          <w:instrText xml:space="preserve"> PAGEREF _Toc162948154 \h </w:instrText>
        </w:r>
        <w:r>
          <w:rPr>
            <w:noProof/>
            <w:webHidden/>
          </w:rPr>
        </w:r>
        <w:r>
          <w:rPr>
            <w:noProof/>
            <w:webHidden/>
          </w:rPr>
          <w:fldChar w:fldCharType="separate"/>
        </w:r>
        <w:r>
          <w:rPr>
            <w:noProof/>
            <w:webHidden/>
          </w:rPr>
          <w:t>19</w:t>
        </w:r>
        <w:r>
          <w:rPr>
            <w:noProof/>
            <w:webHidden/>
          </w:rPr>
          <w:fldChar w:fldCharType="end"/>
        </w:r>
      </w:hyperlink>
    </w:p>
    <w:p w14:paraId="6F15D1A6" w14:textId="1CAF76BE" w:rsidR="004A78BF" w:rsidRDefault="004A78BF">
      <w:pPr>
        <w:pStyle w:val="TOC3"/>
        <w:tabs>
          <w:tab w:val="right" w:leader="dot" w:pos="9350"/>
        </w:tabs>
        <w:rPr>
          <w:rFonts w:asciiTheme="minorHAnsi" w:eastAsiaTheme="minorEastAsia" w:hAnsiTheme="minorHAnsi" w:cstheme="minorBidi"/>
          <w:noProof/>
          <w:sz w:val="22"/>
          <w:szCs w:val="22"/>
        </w:rPr>
      </w:pPr>
      <w:hyperlink w:anchor="_Toc162948155" w:history="1">
        <w:r w:rsidRPr="004B7D85">
          <w:rPr>
            <w:rStyle w:val="Hyperlink"/>
            <w:noProof/>
          </w:rPr>
          <w:t>2.1.2. Temporal and Seasonal Trends in Benthic Data</w:t>
        </w:r>
        <w:r>
          <w:rPr>
            <w:noProof/>
            <w:webHidden/>
          </w:rPr>
          <w:tab/>
        </w:r>
        <w:r>
          <w:rPr>
            <w:noProof/>
            <w:webHidden/>
          </w:rPr>
          <w:fldChar w:fldCharType="begin"/>
        </w:r>
        <w:r>
          <w:rPr>
            <w:noProof/>
            <w:webHidden/>
          </w:rPr>
          <w:instrText xml:space="preserve"> PAGEREF _Toc162948155 \h </w:instrText>
        </w:r>
        <w:r>
          <w:rPr>
            <w:noProof/>
            <w:webHidden/>
          </w:rPr>
        </w:r>
        <w:r>
          <w:rPr>
            <w:noProof/>
            <w:webHidden/>
          </w:rPr>
          <w:fldChar w:fldCharType="separate"/>
        </w:r>
        <w:r>
          <w:rPr>
            <w:noProof/>
            <w:webHidden/>
          </w:rPr>
          <w:t>23</w:t>
        </w:r>
        <w:r>
          <w:rPr>
            <w:noProof/>
            <w:webHidden/>
          </w:rPr>
          <w:fldChar w:fldCharType="end"/>
        </w:r>
      </w:hyperlink>
    </w:p>
    <w:p w14:paraId="3318CE55" w14:textId="6C15960A" w:rsidR="004A78BF" w:rsidRDefault="004A78BF">
      <w:pPr>
        <w:pStyle w:val="TOC3"/>
        <w:tabs>
          <w:tab w:val="right" w:leader="dot" w:pos="9350"/>
        </w:tabs>
        <w:rPr>
          <w:rFonts w:asciiTheme="minorHAnsi" w:eastAsiaTheme="minorEastAsia" w:hAnsiTheme="minorHAnsi" w:cstheme="minorBidi"/>
          <w:noProof/>
          <w:sz w:val="22"/>
          <w:szCs w:val="22"/>
        </w:rPr>
      </w:pPr>
      <w:hyperlink w:anchor="_Toc162948156" w:history="1">
        <w:r w:rsidRPr="004B7D85">
          <w:rPr>
            <w:rStyle w:val="Hyperlink"/>
            <w:noProof/>
          </w:rPr>
          <w:t>2.1.3. Analysis of Benthic Metrics</w:t>
        </w:r>
        <w:r>
          <w:rPr>
            <w:noProof/>
            <w:webHidden/>
          </w:rPr>
          <w:tab/>
        </w:r>
        <w:r>
          <w:rPr>
            <w:noProof/>
            <w:webHidden/>
          </w:rPr>
          <w:fldChar w:fldCharType="begin"/>
        </w:r>
        <w:r>
          <w:rPr>
            <w:noProof/>
            <w:webHidden/>
          </w:rPr>
          <w:instrText xml:space="preserve"> PAGEREF _Toc162948156 \h </w:instrText>
        </w:r>
        <w:r>
          <w:rPr>
            <w:noProof/>
            <w:webHidden/>
          </w:rPr>
        </w:r>
        <w:r>
          <w:rPr>
            <w:noProof/>
            <w:webHidden/>
          </w:rPr>
          <w:fldChar w:fldCharType="separate"/>
        </w:r>
        <w:r>
          <w:rPr>
            <w:noProof/>
            <w:webHidden/>
          </w:rPr>
          <w:t>28</w:t>
        </w:r>
        <w:r>
          <w:rPr>
            <w:noProof/>
            <w:webHidden/>
          </w:rPr>
          <w:fldChar w:fldCharType="end"/>
        </w:r>
      </w:hyperlink>
    </w:p>
    <w:p w14:paraId="59B064A0" w14:textId="44B5C3C1" w:rsidR="004A78BF" w:rsidRDefault="004A78BF">
      <w:pPr>
        <w:pStyle w:val="TOC3"/>
        <w:tabs>
          <w:tab w:val="right" w:leader="dot" w:pos="9350"/>
        </w:tabs>
        <w:rPr>
          <w:rFonts w:asciiTheme="minorHAnsi" w:eastAsiaTheme="minorEastAsia" w:hAnsiTheme="minorHAnsi" w:cstheme="minorBidi"/>
          <w:noProof/>
          <w:sz w:val="22"/>
          <w:szCs w:val="22"/>
        </w:rPr>
      </w:pPr>
      <w:hyperlink w:anchor="_Toc162948157" w:history="1">
        <w:r w:rsidRPr="004B7D85">
          <w:rPr>
            <w:rStyle w:val="Hyperlink"/>
            <w:noProof/>
          </w:rPr>
          <w:t>2.1.4. Analysis of Community Composition</w:t>
        </w:r>
        <w:r>
          <w:rPr>
            <w:noProof/>
            <w:webHidden/>
          </w:rPr>
          <w:tab/>
        </w:r>
        <w:r>
          <w:rPr>
            <w:noProof/>
            <w:webHidden/>
          </w:rPr>
          <w:fldChar w:fldCharType="begin"/>
        </w:r>
        <w:r>
          <w:rPr>
            <w:noProof/>
            <w:webHidden/>
          </w:rPr>
          <w:instrText xml:space="preserve"> PAGEREF _Toc162948157 \h </w:instrText>
        </w:r>
        <w:r>
          <w:rPr>
            <w:noProof/>
            <w:webHidden/>
          </w:rPr>
        </w:r>
        <w:r>
          <w:rPr>
            <w:noProof/>
            <w:webHidden/>
          </w:rPr>
          <w:fldChar w:fldCharType="separate"/>
        </w:r>
        <w:r>
          <w:rPr>
            <w:noProof/>
            <w:webHidden/>
          </w:rPr>
          <w:t>33</w:t>
        </w:r>
        <w:r>
          <w:rPr>
            <w:noProof/>
            <w:webHidden/>
          </w:rPr>
          <w:fldChar w:fldCharType="end"/>
        </w:r>
      </w:hyperlink>
    </w:p>
    <w:p w14:paraId="5F112E7B" w14:textId="22CA108F" w:rsidR="004A78BF" w:rsidRDefault="004A78BF">
      <w:pPr>
        <w:pStyle w:val="TOC3"/>
        <w:tabs>
          <w:tab w:val="right" w:leader="dot" w:pos="9350"/>
        </w:tabs>
        <w:rPr>
          <w:rFonts w:asciiTheme="minorHAnsi" w:eastAsiaTheme="minorEastAsia" w:hAnsiTheme="minorHAnsi" w:cstheme="minorBidi"/>
          <w:noProof/>
          <w:sz w:val="22"/>
          <w:szCs w:val="22"/>
        </w:rPr>
      </w:pPr>
      <w:hyperlink w:anchor="_Toc162948158" w:history="1">
        <w:r w:rsidRPr="004B7D85">
          <w:rPr>
            <w:rStyle w:val="Hyperlink"/>
            <w:noProof/>
          </w:rPr>
          <w:t>2.1.5. Biological Condition Gradient Attribute Analysis</w:t>
        </w:r>
        <w:r>
          <w:rPr>
            <w:noProof/>
            <w:webHidden/>
          </w:rPr>
          <w:tab/>
        </w:r>
        <w:r>
          <w:rPr>
            <w:noProof/>
            <w:webHidden/>
          </w:rPr>
          <w:fldChar w:fldCharType="begin"/>
        </w:r>
        <w:r>
          <w:rPr>
            <w:noProof/>
            <w:webHidden/>
          </w:rPr>
          <w:instrText xml:space="preserve"> PAGEREF _Toc162948158 \h </w:instrText>
        </w:r>
        <w:r>
          <w:rPr>
            <w:noProof/>
            <w:webHidden/>
          </w:rPr>
        </w:r>
        <w:r>
          <w:rPr>
            <w:noProof/>
            <w:webHidden/>
          </w:rPr>
          <w:fldChar w:fldCharType="separate"/>
        </w:r>
        <w:r>
          <w:rPr>
            <w:noProof/>
            <w:webHidden/>
          </w:rPr>
          <w:t>36</w:t>
        </w:r>
        <w:r>
          <w:rPr>
            <w:noProof/>
            <w:webHidden/>
          </w:rPr>
          <w:fldChar w:fldCharType="end"/>
        </w:r>
      </w:hyperlink>
    </w:p>
    <w:p w14:paraId="31311527" w14:textId="6A81C24E" w:rsidR="004A78BF" w:rsidRDefault="004A78BF">
      <w:pPr>
        <w:pStyle w:val="TOC3"/>
        <w:tabs>
          <w:tab w:val="right" w:leader="dot" w:pos="9350"/>
        </w:tabs>
        <w:rPr>
          <w:rFonts w:asciiTheme="minorHAnsi" w:eastAsiaTheme="minorEastAsia" w:hAnsiTheme="minorHAnsi" w:cstheme="minorBidi"/>
          <w:noProof/>
          <w:sz w:val="22"/>
          <w:szCs w:val="22"/>
        </w:rPr>
      </w:pPr>
      <w:hyperlink w:anchor="_Toc162948159" w:history="1">
        <w:r w:rsidRPr="004B7D85">
          <w:rPr>
            <w:rStyle w:val="Hyperlink"/>
            <w:noProof/>
          </w:rPr>
          <w:t>2.1.6. Analysis of Functional Feeding Groups</w:t>
        </w:r>
        <w:r>
          <w:rPr>
            <w:noProof/>
            <w:webHidden/>
          </w:rPr>
          <w:tab/>
        </w:r>
        <w:r>
          <w:rPr>
            <w:noProof/>
            <w:webHidden/>
          </w:rPr>
          <w:fldChar w:fldCharType="begin"/>
        </w:r>
        <w:r>
          <w:rPr>
            <w:noProof/>
            <w:webHidden/>
          </w:rPr>
          <w:instrText xml:space="preserve"> PAGEREF _Toc162948159 \h </w:instrText>
        </w:r>
        <w:r>
          <w:rPr>
            <w:noProof/>
            <w:webHidden/>
          </w:rPr>
        </w:r>
        <w:r>
          <w:rPr>
            <w:noProof/>
            <w:webHidden/>
          </w:rPr>
          <w:fldChar w:fldCharType="separate"/>
        </w:r>
        <w:r>
          <w:rPr>
            <w:noProof/>
            <w:webHidden/>
          </w:rPr>
          <w:t>39</w:t>
        </w:r>
        <w:r>
          <w:rPr>
            <w:noProof/>
            <w:webHidden/>
          </w:rPr>
          <w:fldChar w:fldCharType="end"/>
        </w:r>
      </w:hyperlink>
    </w:p>
    <w:p w14:paraId="4305454C" w14:textId="6E83524A" w:rsidR="004A78BF" w:rsidRDefault="004A78BF">
      <w:pPr>
        <w:pStyle w:val="TOC2"/>
        <w:rPr>
          <w:rFonts w:asciiTheme="minorHAnsi" w:eastAsiaTheme="minorEastAsia" w:hAnsiTheme="minorHAnsi" w:cstheme="minorBidi"/>
          <w:sz w:val="22"/>
          <w:szCs w:val="22"/>
        </w:rPr>
      </w:pPr>
      <w:hyperlink w:anchor="_Toc162948160" w:history="1">
        <w:r w:rsidRPr="004B7D85">
          <w:rPr>
            <w:rStyle w:val="Hyperlink"/>
          </w:rPr>
          <w:t>2.2. Habitat Assessment</w:t>
        </w:r>
        <w:r>
          <w:rPr>
            <w:webHidden/>
          </w:rPr>
          <w:tab/>
        </w:r>
        <w:r>
          <w:rPr>
            <w:webHidden/>
          </w:rPr>
          <w:fldChar w:fldCharType="begin"/>
        </w:r>
        <w:r>
          <w:rPr>
            <w:webHidden/>
          </w:rPr>
          <w:instrText xml:space="preserve"> PAGEREF _Toc162948160 \h </w:instrText>
        </w:r>
        <w:r>
          <w:rPr>
            <w:webHidden/>
          </w:rPr>
        </w:r>
        <w:r>
          <w:rPr>
            <w:webHidden/>
          </w:rPr>
          <w:fldChar w:fldCharType="separate"/>
        </w:r>
        <w:r>
          <w:rPr>
            <w:webHidden/>
          </w:rPr>
          <w:t>40</w:t>
        </w:r>
        <w:r>
          <w:rPr>
            <w:webHidden/>
          </w:rPr>
          <w:fldChar w:fldCharType="end"/>
        </w:r>
      </w:hyperlink>
    </w:p>
    <w:p w14:paraId="3C403D11" w14:textId="200ED38A" w:rsidR="004A78BF" w:rsidRDefault="004A78BF">
      <w:pPr>
        <w:pStyle w:val="TOC2"/>
        <w:rPr>
          <w:rFonts w:asciiTheme="minorHAnsi" w:eastAsiaTheme="minorEastAsia" w:hAnsiTheme="minorHAnsi" w:cstheme="minorBidi"/>
          <w:sz w:val="22"/>
          <w:szCs w:val="22"/>
        </w:rPr>
      </w:pPr>
      <w:hyperlink w:anchor="_Toc162948161" w:history="1">
        <w:r w:rsidRPr="004B7D85">
          <w:rPr>
            <w:rStyle w:val="Hyperlink"/>
          </w:rPr>
          <w:t>2.3. Land Cover Assessment</w:t>
        </w:r>
        <w:r>
          <w:rPr>
            <w:webHidden/>
          </w:rPr>
          <w:tab/>
        </w:r>
        <w:r>
          <w:rPr>
            <w:webHidden/>
          </w:rPr>
          <w:fldChar w:fldCharType="begin"/>
        </w:r>
        <w:r>
          <w:rPr>
            <w:webHidden/>
          </w:rPr>
          <w:instrText xml:space="preserve"> PAGEREF _Toc162948161 \h </w:instrText>
        </w:r>
        <w:r>
          <w:rPr>
            <w:webHidden/>
          </w:rPr>
        </w:r>
        <w:r>
          <w:rPr>
            <w:webHidden/>
          </w:rPr>
          <w:fldChar w:fldCharType="separate"/>
        </w:r>
        <w:r>
          <w:rPr>
            <w:webHidden/>
          </w:rPr>
          <w:t>46</w:t>
        </w:r>
        <w:r>
          <w:rPr>
            <w:webHidden/>
          </w:rPr>
          <w:fldChar w:fldCharType="end"/>
        </w:r>
      </w:hyperlink>
    </w:p>
    <w:p w14:paraId="07738175" w14:textId="2BABBEBE" w:rsidR="004A78BF" w:rsidRDefault="004A78BF">
      <w:pPr>
        <w:pStyle w:val="TOC2"/>
        <w:rPr>
          <w:rFonts w:asciiTheme="minorHAnsi" w:eastAsiaTheme="minorEastAsia" w:hAnsiTheme="minorHAnsi" w:cstheme="minorBidi"/>
          <w:sz w:val="22"/>
          <w:szCs w:val="22"/>
        </w:rPr>
      </w:pPr>
      <w:hyperlink w:anchor="_Toc162948162" w:history="1">
        <w:r w:rsidRPr="004B7D85">
          <w:rPr>
            <w:rStyle w:val="Hyperlink"/>
          </w:rPr>
          <w:t>2.4. Water Quality Data Assessment</w:t>
        </w:r>
        <w:r>
          <w:rPr>
            <w:webHidden/>
          </w:rPr>
          <w:tab/>
        </w:r>
        <w:r>
          <w:rPr>
            <w:webHidden/>
          </w:rPr>
          <w:fldChar w:fldCharType="begin"/>
        </w:r>
        <w:r>
          <w:rPr>
            <w:webHidden/>
          </w:rPr>
          <w:instrText xml:space="preserve"> PAGEREF _Toc162948162 \h </w:instrText>
        </w:r>
        <w:r>
          <w:rPr>
            <w:webHidden/>
          </w:rPr>
        </w:r>
        <w:r>
          <w:rPr>
            <w:webHidden/>
          </w:rPr>
          <w:fldChar w:fldCharType="separate"/>
        </w:r>
        <w:r>
          <w:rPr>
            <w:webHidden/>
          </w:rPr>
          <w:t>49</w:t>
        </w:r>
        <w:r>
          <w:rPr>
            <w:webHidden/>
          </w:rPr>
          <w:fldChar w:fldCharType="end"/>
        </w:r>
      </w:hyperlink>
    </w:p>
    <w:p w14:paraId="753A1588" w14:textId="4F14A12C" w:rsidR="004A78BF" w:rsidRDefault="004A78BF">
      <w:pPr>
        <w:pStyle w:val="TOC3"/>
        <w:tabs>
          <w:tab w:val="right" w:leader="dot" w:pos="9350"/>
        </w:tabs>
        <w:rPr>
          <w:rFonts w:asciiTheme="minorHAnsi" w:eastAsiaTheme="minorEastAsia" w:hAnsiTheme="minorHAnsi" w:cstheme="minorBidi"/>
          <w:noProof/>
          <w:sz w:val="22"/>
          <w:szCs w:val="22"/>
        </w:rPr>
      </w:pPr>
      <w:hyperlink w:anchor="_Toc162948163" w:history="1">
        <w:r w:rsidRPr="004B7D85">
          <w:rPr>
            <w:rStyle w:val="Hyperlink"/>
            <w:noProof/>
          </w:rPr>
          <w:t>2.4.1. Temperature</w:t>
        </w:r>
        <w:r>
          <w:rPr>
            <w:noProof/>
            <w:webHidden/>
          </w:rPr>
          <w:tab/>
        </w:r>
        <w:r>
          <w:rPr>
            <w:noProof/>
            <w:webHidden/>
          </w:rPr>
          <w:fldChar w:fldCharType="begin"/>
        </w:r>
        <w:r>
          <w:rPr>
            <w:noProof/>
            <w:webHidden/>
          </w:rPr>
          <w:instrText xml:space="preserve"> PAGEREF _Toc162948163 \h </w:instrText>
        </w:r>
        <w:r>
          <w:rPr>
            <w:noProof/>
            <w:webHidden/>
          </w:rPr>
        </w:r>
        <w:r>
          <w:rPr>
            <w:noProof/>
            <w:webHidden/>
          </w:rPr>
          <w:fldChar w:fldCharType="separate"/>
        </w:r>
        <w:r>
          <w:rPr>
            <w:noProof/>
            <w:webHidden/>
          </w:rPr>
          <w:t>49</w:t>
        </w:r>
        <w:r>
          <w:rPr>
            <w:noProof/>
            <w:webHidden/>
          </w:rPr>
          <w:fldChar w:fldCharType="end"/>
        </w:r>
      </w:hyperlink>
    </w:p>
    <w:p w14:paraId="5058ECCE" w14:textId="716CA45B" w:rsidR="004A78BF" w:rsidRDefault="004A78BF">
      <w:pPr>
        <w:pStyle w:val="TOC3"/>
        <w:tabs>
          <w:tab w:val="right" w:leader="dot" w:pos="9350"/>
        </w:tabs>
        <w:rPr>
          <w:rFonts w:asciiTheme="minorHAnsi" w:eastAsiaTheme="minorEastAsia" w:hAnsiTheme="minorHAnsi" w:cstheme="minorBidi"/>
          <w:noProof/>
          <w:sz w:val="22"/>
          <w:szCs w:val="22"/>
        </w:rPr>
      </w:pPr>
      <w:hyperlink w:anchor="_Toc162948164" w:history="1">
        <w:r w:rsidRPr="004B7D85">
          <w:rPr>
            <w:rStyle w:val="Hyperlink"/>
            <w:noProof/>
          </w:rPr>
          <w:t>2.4.2. pH</w:t>
        </w:r>
        <w:r>
          <w:rPr>
            <w:noProof/>
            <w:webHidden/>
          </w:rPr>
          <w:tab/>
        </w:r>
        <w:r>
          <w:rPr>
            <w:noProof/>
            <w:webHidden/>
          </w:rPr>
          <w:fldChar w:fldCharType="begin"/>
        </w:r>
        <w:r>
          <w:rPr>
            <w:noProof/>
            <w:webHidden/>
          </w:rPr>
          <w:instrText xml:space="preserve"> PAGEREF _Toc162948164 \h </w:instrText>
        </w:r>
        <w:r>
          <w:rPr>
            <w:noProof/>
            <w:webHidden/>
          </w:rPr>
        </w:r>
        <w:r>
          <w:rPr>
            <w:noProof/>
            <w:webHidden/>
          </w:rPr>
          <w:fldChar w:fldCharType="separate"/>
        </w:r>
        <w:r>
          <w:rPr>
            <w:noProof/>
            <w:webHidden/>
          </w:rPr>
          <w:t>53</w:t>
        </w:r>
        <w:r>
          <w:rPr>
            <w:noProof/>
            <w:webHidden/>
          </w:rPr>
          <w:fldChar w:fldCharType="end"/>
        </w:r>
      </w:hyperlink>
    </w:p>
    <w:p w14:paraId="7E8171F9" w14:textId="1DFE0F1B" w:rsidR="004A78BF" w:rsidRDefault="004A78BF">
      <w:pPr>
        <w:pStyle w:val="TOC3"/>
        <w:tabs>
          <w:tab w:val="right" w:leader="dot" w:pos="9350"/>
        </w:tabs>
        <w:rPr>
          <w:rFonts w:asciiTheme="minorHAnsi" w:eastAsiaTheme="minorEastAsia" w:hAnsiTheme="minorHAnsi" w:cstheme="minorBidi"/>
          <w:noProof/>
          <w:sz w:val="22"/>
          <w:szCs w:val="22"/>
        </w:rPr>
      </w:pPr>
      <w:hyperlink w:anchor="_Toc162948165" w:history="1">
        <w:r w:rsidRPr="004B7D85">
          <w:rPr>
            <w:rStyle w:val="Hyperlink"/>
            <w:noProof/>
          </w:rPr>
          <w:t>2.4.3. Dissolved Oxygen</w:t>
        </w:r>
        <w:r>
          <w:rPr>
            <w:noProof/>
            <w:webHidden/>
          </w:rPr>
          <w:tab/>
        </w:r>
        <w:r>
          <w:rPr>
            <w:noProof/>
            <w:webHidden/>
          </w:rPr>
          <w:fldChar w:fldCharType="begin"/>
        </w:r>
        <w:r>
          <w:rPr>
            <w:noProof/>
            <w:webHidden/>
          </w:rPr>
          <w:instrText xml:space="preserve"> PAGEREF _Toc162948165 \h </w:instrText>
        </w:r>
        <w:r>
          <w:rPr>
            <w:noProof/>
            <w:webHidden/>
          </w:rPr>
        </w:r>
        <w:r>
          <w:rPr>
            <w:noProof/>
            <w:webHidden/>
          </w:rPr>
          <w:fldChar w:fldCharType="separate"/>
        </w:r>
        <w:r>
          <w:rPr>
            <w:noProof/>
            <w:webHidden/>
          </w:rPr>
          <w:t>57</w:t>
        </w:r>
        <w:r>
          <w:rPr>
            <w:noProof/>
            <w:webHidden/>
          </w:rPr>
          <w:fldChar w:fldCharType="end"/>
        </w:r>
      </w:hyperlink>
    </w:p>
    <w:p w14:paraId="46FE672D" w14:textId="2E28C7C2" w:rsidR="004A78BF" w:rsidRDefault="004A78BF">
      <w:pPr>
        <w:pStyle w:val="TOC3"/>
        <w:tabs>
          <w:tab w:val="right" w:leader="dot" w:pos="9350"/>
        </w:tabs>
        <w:rPr>
          <w:rFonts w:asciiTheme="minorHAnsi" w:eastAsiaTheme="minorEastAsia" w:hAnsiTheme="minorHAnsi" w:cstheme="minorBidi"/>
          <w:noProof/>
          <w:sz w:val="22"/>
          <w:szCs w:val="22"/>
        </w:rPr>
      </w:pPr>
      <w:hyperlink w:anchor="_Toc162948166" w:history="1">
        <w:r w:rsidRPr="004B7D85">
          <w:rPr>
            <w:rStyle w:val="Hyperlink"/>
            <w:noProof/>
          </w:rPr>
          <w:t>2.4.4. Conductivity and Total Dissolved Solids</w:t>
        </w:r>
        <w:r>
          <w:rPr>
            <w:noProof/>
            <w:webHidden/>
          </w:rPr>
          <w:tab/>
        </w:r>
        <w:r>
          <w:rPr>
            <w:noProof/>
            <w:webHidden/>
          </w:rPr>
          <w:fldChar w:fldCharType="begin"/>
        </w:r>
        <w:r>
          <w:rPr>
            <w:noProof/>
            <w:webHidden/>
          </w:rPr>
          <w:instrText xml:space="preserve"> PAGEREF _Toc162948166 \h </w:instrText>
        </w:r>
        <w:r>
          <w:rPr>
            <w:noProof/>
            <w:webHidden/>
          </w:rPr>
        </w:r>
        <w:r>
          <w:rPr>
            <w:noProof/>
            <w:webHidden/>
          </w:rPr>
          <w:fldChar w:fldCharType="separate"/>
        </w:r>
        <w:r>
          <w:rPr>
            <w:noProof/>
            <w:webHidden/>
          </w:rPr>
          <w:t>63</w:t>
        </w:r>
        <w:r>
          <w:rPr>
            <w:noProof/>
            <w:webHidden/>
          </w:rPr>
          <w:fldChar w:fldCharType="end"/>
        </w:r>
      </w:hyperlink>
    </w:p>
    <w:p w14:paraId="28C8FDCB" w14:textId="243A68D7" w:rsidR="004A78BF" w:rsidRDefault="004A78BF">
      <w:pPr>
        <w:pStyle w:val="TOC3"/>
        <w:tabs>
          <w:tab w:val="right" w:leader="dot" w:pos="9350"/>
        </w:tabs>
        <w:rPr>
          <w:rFonts w:asciiTheme="minorHAnsi" w:eastAsiaTheme="minorEastAsia" w:hAnsiTheme="minorHAnsi" w:cstheme="minorBidi"/>
          <w:noProof/>
          <w:sz w:val="22"/>
          <w:szCs w:val="22"/>
        </w:rPr>
      </w:pPr>
      <w:hyperlink w:anchor="_Toc162948167" w:history="1">
        <w:r w:rsidRPr="004B7D85">
          <w:rPr>
            <w:rStyle w:val="Hyperlink"/>
            <w:noProof/>
          </w:rPr>
          <w:t>2.4.5. Dissolved Ions</w:t>
        </w:r>
        <w:r>
          <w:rPr>
            <w:noProof/>
            <w:webHidden/>
          </w:rPr>
          <w:tab/>
        </w:r>
        <w:r>
          <w:rPr>
            <w:noProof/>
            <w:webHidden/>
          </w:rPr>
          <w:fldChar w:fldCharType="begin"/>
        </w:r>
        <w:r>
          <w:rPr>
            <w:noProof/>
            <w:webHidden/>
          </w:rPr>
          <w:instrText xml:space="preserve"> PAGEREF _Toc162948167 \h </w:instrText>
        </w:r>
        <w:r>
          <w:rPr>
            <w:noProof/>
            <w:webHidden/>
          </w:rPr>
        </w:r>
        <w:r>
          <w:rPr>
            <w:noProof/>
            <w:webHidden/>
          </w:rPr>
          <w:fldChar w:fldCharType="separate"/>
        </w:r>
        <w:r>
          <w:rPr>
            <w:noProof/>
            <w:webHidden/>
          </w:rPr>
          <w:t>70</w:t>
        </w:r>
        <w:r>
          <w:rPr>
            <w:noProof/>
            <w:webHidden/>
          </w:rPr>
          <w:fldChar w:fldCharType="end"/>
        </w:r>
      </w:hyperlink>
    </w:p>
    <w:p w14:paraId="41BD236C" w14:textId="5846ABA0" w:rsidR="004A78BF" w:rsidRDefault="004A78BF">
      <w:pPr>
        <w:pStyle w:val="TOC3"/>
        <w:tabs>
          <w:tab w:val="right" w:leader="dot" w:pos="9350"/>
        </w:tabs>
        <w:rPr>
          <w:rFonts w:asciiTheme="minorHAnsi" w:eastAsiaTheme="minorEastAsia" w:hAnsiTheme="minorHAnsi" w:cstheme="minorBidi"/>
          <w:noProof/>
          <w:sz w:val="22"/>
          <w:szCs w:val="22"/>
        </w:rPr>
      </w:pPr>
      <w:hyperlink w:anchor="_Toc162948168" w:history="1">
        <w:r w:rsidRPr="004B7D85">
          <w:rPr>
            <w:rStyle w:val="Hyperlink"/>
            <w:noProof/>
          </w:rPr>
          <w:t>2.4.6. Solids</w:t>
        </w:r>
        <w:r>
          <w:rPr>
            <w:noProof/>
            <w:webHidden/>
          </w:rPr>
          <w:tab/>
        </w:r>
        <w:r>
          <w:rPr>
            <w:noProof/>
            <w:webHidden/>
          </w:rPr>
          <w:fldChar w:fldCharType="begin"/>
        </w:r>
        <w:r>
          <w:rPr>
            <w:noProof/>
            <w:webHidden/>
          </w:rPr>
          <w:instrText xml:space="preserve"> PAGEREF _Toc162948168 \h </w:instrText>
        </w:r>
        <w:r>
          <w:rPr>
            <w:noProof/>
            <w:webHidden/>
          </w:rPr>
        </w:r>
        <w:r>
          <w:rPr>
            <w:noProof/>
            <w:webHidden/>
          </w:rPr>
          <w:fldChar w:fldCharType="separate"/>
        </w:r>
        <w:r>
          <w:rPr>
            <w:noProof/>
            <w:webHidden/>
          </w:rPr>
          <w:t>72</w:t>
        </w:r>
        <w:r>
          <w:rPr>
            <w:noProof/>
            <w:webHidden/>
          </w:rPr>
          <w:fldChar w:fldCharType="end"/>
        </w:r>
      </w:hyperlink>
    </w:p>
    <w:p w14:paraId="1004B570" w14:textId="030D2784" w:rsidR="004A78BF" w:rsidRDefault="004A78BF">
      <w:pPr>
        <w:pStyle w:val="TOC3"/>
        <w:tabs>
          <w:tab w:val="right" w:leader="dot" w:pos="9350"/>
        </w:tabs>
        <w:rPr>
          <w:rFonts w:asciiTheme="minorHAnsi" w:eastAsiaTheme="minorEastAsia" w:hAnsiTheme="minorHAnsi" w:cstheme="minorBidi"/>
          <w:noProof/>
          <w:sz w:val="22"/>
          <w:szCs w:val="22"/>
        </w:rPr>
      </w:pPr>
      <w:hyperlink w:anchor="_Toc162948169" w:history="1">
        <w:r w:rsidRPr="004B7D85">
          <w:rPr>
            <w:rStyle w:val="Hyperlink"/>
            <w:noProof/>
          </w:rPr>
          <w:t>2.4.7. Organic Matter</w:t>
        </w:r>
        <w:r>
          <w:rPr>
            <w:noProof/>
            <w:webHidden/>
          </w:rPr>
          <w:tab/>
        </w:r>
        <w:r>
          <w:rPr>
            <w:noProof/>
            <w:webHidden/>
          </w:rPr>
          <w:fldChar w:fldCharType="begin"/>
        </w:r>
        <w:r>
          <w:rPr>
            <w:noProof/>
            <w:webHidden/>
          </w:rPr>
          <w:instrText xml:space="preserve"> PAGEREF _Toc162948169 \h </w:instrText>
        </w:r>
        <w:r>
          <w:rPr>
            <w:noProof/>
            <w:webHidden/>
          </w:rPr>
        </w:r>
        <w:r>
          <w:rPr>
            <w:noProof/>
            <w:webHidden/>
          </w:rPr>
          <w:fldChar w:fldCharType="separate"/>
        </w:r>
        <w:r>
          <w:rPr>
            <w:noProof/>
            <w:webHidden/>
          </w:rPr>
          <w:t>77</w:t>
        </w:r>
        <w:r>
          <w:rPr>
            <w:noProof/>
            <w:webHidden/>
          </w:rPr>
          <w:fldChar w:fldCharType="end"/>
        </w:r>
      </w:hyperlink>
    </w:p>
    <w:p w14:paraId="1FB13CF1" w14:textId="09B5B9FF" w:rsidR="004A78BF" w:rsidRDefault="004A78BF">
      <w:pPr>
        <w:pStyle w:val="TOC3"/>
        <w:tabs>
          <w:tab w:val="right" w:leader="dot" w:pos="9350"/>
        </w:tabs>
        <w:rPr>
          <w:rFonts w:asciiTheme="minorHAnsi" w:eastAsiaTheme="minorEastAsia" w:hAnsiTheme="minorHAnsi" w:cstheme="minorBidi"/>
          <w:noProof/>
          <w:sz w:val="22"/>
          <w:szCs w:val="22"/>
        </w:rPr>
      </w:pPr>
      <w:hyperlink w:anchor="_Toc162948170" w:history="1">
        <w:r w:rsidRPr="004B7D85">
          <w:rPr>
            <w:rStyle w:val="Hyperlink"/>
            <w:noProof/>
          </w:rPr>
          <w:t>2.4.8. Nutrients</w:t>
        </w:r>
        <w:r>
          <w:rPr>
            <w:noProof/>
            <w:webHidden/>
          </w:rPr>
          <w:tab/>
        </w:r>
        <w:r>
          <w:rPr>
            <w:noProof/>
            <w:webHidden/>
          </w:rPr>
          <w:fldChar w:fldCharType="begin"/>
        </w:r>
        <w:r>
          <w:rPr>
            <w:noProof/>
            <w:webHidden/>
          </w:rPr>
          <w:instrText xml:space="preserve"> PAGEREF _Toc162948170 \h </w:instrText>
        </w:r>
        <w:r>
          <w:rPr>
            <w:noProof/>
            <w:webHidden/>
          </w:rPr>
        </w:r>
        <w:r>
          <w:rPr>
            <w:noProof/>
            <w:webHidden/>
          </w:rPr>
          <w:fldChar w:fldCharType="separate"/>
        </w:r>
        <w:r>
          <w:rPr>
            <w:noProof/>
            <w:webHidden/>
          </w:rPr>
          <w:t>78</w:t>
        </w:r>
        <w:r>
          <w:rPr>
            <w:noProof/>
            <w:webHidden/>
          </w:rPr>
          <w:fldChar w:fldCharType="end"/>
        </w:r>
      </w:hyperlink>
    </w:p>
    <w:p w14:paraId="6D7BA651" w14:textId="0EE033C2" w:rsidR="004A78BF" w:rsidRDefault="004A78BF">
      <w:pPr>
        <w:pStyle w:val="TOC4"/>
        <w:tabs>
          <w:tab w:val="right" w:leader="dot" w:pos="9350"/>
        </w:tabs>
        <w:rPr>
          <w:rFonts w:asciiTheme="minorHAnsi" w:eastAsiaTheme="minorEastAsia" w:hAnsiTheme="minorHAnsi" w:cstheme="minorBidi"/>
          <w:noProof/>
          <w:sz w:val="22"/>
          <w:szCs w:val="22"/>
        </w:rPr>
      </w:pPr>
      <w:hyperlink w:anchor="_Toc162948171" w:history="1">
        <w:r w:rsidRPr="004B7D85">
          <w:rPr>
            <w:rStyle w:val="Hyperlink"/>
            <w:noProof/>
          </w:rPr>
          <w:t>2.4.8.1. Phosphorus</w:t>
        </w:r>
        <w:r>
          <w:rPr>
            <w:noProof/>
            <w:webHidden/>
          </w:rPr>
          <w:tab/>
        </w:r>
        <w:r>
          <w:rPr>
            <w:noProof/>
            <w:webHidden/>
          </w:rPr>
          <w:fldChar w:fldCharType="begin"/>
        </w:r>
        <w:r>
          <w:rPr>
            <w:noProof/>
            <w:webHidden/>
          </w:rPr>
          <w:instrText xml:space="preserve"> PAGEREF _Toc162948171 \h </w:instrText>
        </w:r>
        <w:r>
          <w:rPr>
            <w:noProof/>
            <w:webHidden/>
          </w:rPr>
        </w:r>
        <w:r>
          <w:rPr>
            <w:noProof/>
            <w:webHidden/>
          </w:rPr>
          <w:fldChar w:fldCharType="separate"/>
        </w:r>
        <w:r>
          <w:rPr>
            <w:noProof/>
            <w:webHidden/>
          </w:rPr>
          <w:t>79</w:t>
        </w:r>
        <w:r>
          <w:rPr>
            <w:noProof/>
            <w:webHidden/>
          </w:rPr>
          <w:fldChar w:fldCharType="end"/>
        </w:r>
      </w:hyperlink>
    </w:p>
    <w:p w14:paraId="3BA8572E" w14:textId="6A4AB758" w:rsidR="004A78BF" w:rsidRDefault="004A78BF">
      <w:pPr>
        <w:pStyle w:val="TOC4"/>
        <w:tabs>
          <w:tab w:val="right" w:leader="dot" w:pos="9350"/>
        </w:tabs>
        <w:rPr>
          <w:rFonts w:asciiTheme="minorHAnsi" w:eastAsiaTheme="minorEastAsia" w:hAnsiTheme="minorHAnsi" w:cstheme="minorBidi"/>
          <w:noProof/>
          <w:sz w:val="22"/>
          <w:szCs w:val="22"/>
        </w:rPr>
      </w:pPr>
      <w:hyperlink w:anchor="_Toc162948172" w:history="1">
        <w:r w:rsidRPr="004B7D85">
          <w:rPr>
            <w:rStyle w:val="Hyperlink"/>
            <w:noProof/>
          </w:rPr>
          <w:t>2.4.8.2. Nitrogen</w:t>
        </w:r>
        <w:r>
          <w:rPr>
            <w:noProof/>
            <w:webHidden/>
          </w:rPr>
          <w:tab/>
        </w:r>
        <w:r>
          <w:rPr>
            <w:noProof/>
            <w:webHidden/>
          </w:rPr>
          <w:fldChar w:fldCharType="begin"/>
        </w:r>
        <w:r>
          <w:rPr>
            <w:noProof/>
            <w:webHidden/>
          </w:rPr>
          <w:instrText xml:space="preserve"> PAGEREF _Toc162948172 \h </w:instrText>
        </w:r>
        <w:r>
          <w:rPr>
            <w:noProof/>
            <w:webHidden/>
          </w:rPr>
        </w:r>
        <w:r>
          <w:rPr>
            <w:noProof/>
            <w:webHidden/>
          </w:rPr>
          <w:fldChar w:fldCharType="separate"/>
        </w:r>
        <w:r>
          <w:rPr>
            <w:noProof/>
            <w:webHidden/>
          </w:rPr>
          <w:t>82</w:t>
        </w:r>
        <w:r>
          <w:rPr>
            <w:noProof/>
            <w:webHidden/>
          </w:rPr>
          <w:fldChar w:fldCharType="end"/>
        </w:r>
      </w:hyperlink>
    </w:p>
    <w:p w14:paraId="44254CF6" w14:textId="5168527D" w:rsidR="004A78BF" w:rsidRDefault="004A78BF">
      <w:pPr>
        <w:pStyle w:val="TOC4"/>
        <w:tabs>
          <w:tab w:val="right" w:leader="dot" w:pos="9350"/>
        </w:tabs>
        <w:rPr>
          <w:rFonts w:asciiTheme="minorHAnsi" w:eastAsiaTheme="minorEastAsia" w:hAnsiTheme="minorHAnsi" w:cstheme="minorBidi"/>
          <w:noProof/>
          <w:sz w:val="22"/>
          <w:szCs w:val="22"/>
        </w:rPr>
      </w:pPr>
      <w:hyperlink w:anchor="_Toc162948173" w:history="1">
        <w:r w:rsidRPr="004B7D85">
          <w:rPr>
            <w:rStyle w:val="Hyperlink"/>
            <w:noProof/>
          </w:rPr>
          <w:t>2.4.8.3. Algae Growth</w:t>
        </w:r>
        <w:r>
          <w:rPr>
            <w:noProof/>
            <w:webHidden/>
          </w:rPr>
          <w:tab/>
        </w:r>
        <w:r>
          <w:rPr>
            <w:noProof/>
            <w:webHidden/>
          </w:rPr>
          <w:fldChar w:fldCharType="begin"/>
        </w:r>
        <w:r>
          <w:rPr>
            <w:noProof/>
            <w:webHidden/>
          </w:rPr>
          <w:instrText xml:space="preserve"> PAGEREF _Toc162948173 \h </w:instrText>
        </w:r>
        <w:r>
          <w:rPr>
            <w:noProof/>
            <w:webHidden/>
          </w:rPr>
        </w:r>
        <w:r>
          <w:rPr>
            <w:noProof/>
            <w:webHidden/>
          </w:rPr>
          <w:fldChar w:fldCharType="separate"/>
        </w:r>
        <w:r>
          <w:rPr>
            <w:noProof/>
            <w:webHidden/>
          </w:rPr>
          <w:t>85</w:t>
        </w:r>
        <w:r>
          <w:rPr>
            <w:noProof/>
            <w:webHidden/>
          </w:rPr>
          <w:fldChar w:fldCharType="end"/>
        </w:r>
      </w:hyperlink>
    </w:p>
    <w:p w14:paraId="66065D9F" w14:textId="7598F793" w:rsidR="004A78BF" w:rsidRDefault="004A78BF">
      <w:pPr>
        <w:pStyle w:val="TOC3"/>
        <w:tabs>
          <w:tab w:val="right" w:leader="dot" w:pos="9350"/>
        </w:tabs>
        <w:rPr>
          <w:rFonts w:asciiTheme="minorHAnsi" w:eastAsiaTheme="minorEastAsia" w:hAnsiTheme="minorHAnsi" w:cstheme="minorBidi"/>
          <w:noProof/>
          <w:sz w:val="22"/>
          <w:szCs w:val="22"/>
        </w:rPr>
      </w:pPr>
      <w:hyperlink w:anchor="_Toc162948174" w:history="1">
        <w:r w:rsidRPr="004B7D85">
          <w:rPr>
            <w:rStyle w:val="Hyperlink"/>
            <w:noProof/>
          </w:rPr>
          <w:t>2.4.9. Ammonia</w:t>
        </w:r>
        <w:r>
          <w:rPr>
            <w:noProof/>
            <w:webHidden/>
          </w:rPr>
          <w:tab/>
        </w:r>
        <w:r>
          <w:rPr>
            <w:noProof/>
            <w:webHidden/>
          </w:rPr>
          <w:fldChar w:fldCharType="begin"/>
        </w:r>
        <w:r>
          <w:rPr>
            <w:noProof/>
            <w:webHidden/>
          </w:rPr>
          <w:instrText xml:space="preserve"> PAGEREF _Toc162948174 \h </w:instrText>
        </w:r>
        <w:r>
          <w:rPr>
            <w:noProof/>
            <w:webHidden/>
          </w:rPr>
        </w:r>
        <w:r>
          <w:rPr>
            <w:noProof/>
            <w:webHidden/>
          </w:rPr>
          <w:fldChar w:fldCharType="separate"/>
        </w:r>
        <w:r>
          <w:rPr>
            <w:noProof/>
            <w:webHidden/>
          </w:rPr>
          <w:t>87</w:t>
        </w:r>
        <w:r>
          <w:rPr>
            <w:noProof/>
            <w:webHidden/>
          </w:rPr>
          <w:fldChar w:fldCharType="end"/>
        </w:r>
      </w:hyperlink>
    </w:p>
    <w:p w14:paraId="1D4277F4" w14:textId="32597F4A" w:rsidR="004A78BF" w:rsidRDefault="004A78BF">
      <w:pPr>
        <w:pStyle w:val="TOC3"/>
        <w:tabs>
          <w:tab w:val="right" w:leader="dot" w:pos="9350"/>
        </w:tabs>
        <w:rPr>
          <w:rFonts w:asciiTheme="minorHAnsi" w:eastAsiaTheme="minorEastAsia" w:hAnsiTheme="minorHAnsi" w:cstheme="minorBidi"/>
          <w:noProof/>
          <w:sz w:val="22"/>
          <w:szCs w:val="22"/>
        </w:rPr>
      </w:pPr>
      <w:hyperlink w:anchor="_Toc162948175" w:history="1">
        <w:r w:rsidRPr="004B7D85">
          <w:rPr>
            <w:rStyle w:val="Hyperlink"/>
            <w:noProof/>
          </w:rPr>
          <w:t>2.4.10. Dissolved Metals</w:t>
        </w:r>
        <w:r>
          <w:rPr>
            <w:noProof/>
            <w:webHidden/>
          </w:rPr>
          <w:tab/>
        </w:r>
        <w:r>
          <w:rPr>
            <w:noProof/>
            <w:webHidden/>
          </w:rPr>
          <w:fldChar w:fldCharType="begin"/>
        </w:r>
        <w:r>
          <w:rPr>
            <w:noProof/>
            <w:webHidden/>
          </w:rPr>
          <w:instrText xml:space="preserve"> PAGEREF _Toc162948175 \h </w:instrText>
        </w:r>
        <w:r>
          <w:rPr>
            <w:noProof/>
            <w:webHidden/>
          </w:rPr>
        </w:r>
        <w:r>
          <w:rPr>
            <w:noProof/>
            <w:webHidden/>
          </w:rPr>
          <w:fldChar w:fldCharType="separate"/>
        </w:r>
        <w:r>
          <w:rPr>
            <w:noProof/>
            <w:webHidden/>
          </w:rPr>
          <w:t>90</w:t>
        </w:r>
        <w:r>
          <w:rPr>
            <w:noProof/>
            <w:webHidden/>
          </w:rPr>
          <w:fldChar w:fldCharType="end"/>
        </w:r>
      </w:hyperlink>
    </w:p>
    <w:p w14:paraId="1A00814B" w14:textId="0B6BA1A8" w:rsidR="004A78BF" w:rsidRDefault="004A78BF">
      <w:pPr>
        <w:pStyle w:val="TOC3"/>
        <w:tabs>
          <w:tab w:val="right" w:leader="dot" w:pos="9350"/>
        </w:tabs>
        <w:rPr>
          <w:rFonts w:asciiTheme="minorHAnsi" w:eastAsiaTheme="minorEastAsia" w:hAnsiTheme="minorHAnsi" w:cstheme="minorBidi"/>
          <w:noProof/>
          <w:sz w:val="22"/>
          <w:szCs w:val="22"/>
        </w:rPr>
      </w:pPr>
      <w:hyperlink w:anchor="_Toc162948176" w:history="1">
        <w:r w:rsidRPr="004B7D85">
          <w:rPr>
            <w:rStyle w:val="Hyperlink"/>
            <w:noProof/>
          </w:rPr>
          <w:t>2.4.11. Water Column Toxics</w:t>
        </w:r>
        <w:r>
          <w:rPr>
            <w:noProof/>
            <w:webHidden/>
          </w:rPr>
          <w:tab/>
        </w:r>
        <w:r>
          <w:rPr>
            <w:noProof/>
            <w:webHidden/>
          </w:rPr>
          <w:fldChar w:fldCharType="begin"/>
        </w:r>
        <w:r>
          <w:rPr>
            <w:noProof/>
            <w:webHidden/>
          </w:rPr>
          <w:instrText xml:space="preserve"> PAGEREF _Toc162948176 \h </w:instrText>
        </w:r>
        <w:r>
          <w:rPr>
            <w:noProof/>
            <w:webHidden/>
          </w:rPr>
        </w:r>
        <w:r>
          <w:rPr>
            <w:noProof/>
            <w:webHidden/>
          </w:rPr>
          <w:fldChar w:fldCharType="separate"/>
        </w:r>
        <w:r>
          <w:rPr>
            <w:noProof/>
            <w:webHidden/>
          </w:rPr>
          <w:t>94</w:t>
        </w:r>
        <w:r>
          <w:rPr>
            <w:noProof/>
            <w:webHidden/>
          </w:rPr>
          <w:fldChar w:fldCharType="end"/>
        </w:r>
      </w:hyperlink>
    </w:p>
    <w:p w14:paraId="206CCFD2" w14:textId="62F235F3" w:rsidR="004A78BF" w:rsidRDefault="004A78BF">
      <w:pPr>
        <w:pStyle w:val="TOC3"/>
        <w:tabs>
          <w:tab w:val="right" w:leader="dot" w:pos="9350"/>
        </w:tabs>
        <w:rPr>
          <w:rFonts w:asciiTheme="minorHAnsi" w:eastAsiaTheme="minorEastAsia" w:hAnsiTheme="minorHAnsi" w:cstheme="minorBidi"/>
          <w:noProof/>
          <w:sz w:val="22"/>
          <w:szCs w:val="22"/>
        </w:rPr>
      </w:pPr>
      <w:hyperlink w:anchor="_Toc162948177" w:history="1">
        <w:r w:rsidRPr="004B7D85">
          <w:rPr>
            <w:rStyle w:val="Hyperlink"/>
            <w:noProof/>
          </w:rPr>
          <w:t>2.4.12. PFAS</w:t>
        </w:r>
        <w:r>
          <w:rPr>
            <w:noProof/>
            <w:webHidden/>
          </w:rPr>
          <w:tab/>
        </w:r>
        <w:r>
          <w:rPr>
            <w:noProof/>
            <w:webHidden/>
          </w:rPr>
          <w:fldChar w:fldCharType="begin"/>
        </w:r>
        <w:r>
          <w:rPr>
            <w:noProof/>
            <w:webHidden/>
          </w:rPr>
          <w:instrText xml:space="preserve"> PAGEREF _Toc162948177 \h </w:instrText>
        </w:r>
        <w:r>
          <w:rPr>
            <w:noProof/>
            <w:webHidden/>
          </w:rPr>
        </w:r>
        <w:r>
          <w:rPr>
            <w:noProof/>
            <w:webHidden/>
          </w:rPr>
          <w:fldChar w:fldCharType="separate"/>
        </w:r>
        <w:r>
          <w:rPr>
            <w:noProof/>
            <w:webHidden/>
          </w:rPr>
          <w:t>96</w:t>
        </w:r>
        <w:r>
          <w:rPr>
            <w:noProof/>
            <w:webHidden/>
          </w:rPr>
          <w:fldChar w:fldCharType="end"/>
        </w:r>
      </w:hyperlink>
    </w:p>
    <w:p w14:paraId="096D8043" w14:textId="77E54D4D" w:rsidR="004A78BF" w:rsidRDefault="004A78BF">
      <w:pPr>
        <w:pStyle w:val="TOC3"/>
        <w:tabs>
          <w:tab w:val="right" w:leader="dot" w:pos="9350"/>
        </w:tabs>
        <w:rPr>
          <w:rFonts w:asciiTheme="minorHAnsi" w:eastAsiaTheme="minorEastAsia" w:hAnsiTheme="minorHAnsi" w:cstheme="minorBidi"/>
          <w:noProof/>
          <w:sz w:val="22"/>
          <w:szCs w:val="22"/>
        </w:rPr>
      </w:pPr>
      <w:hyperlink w:anchor="_Toc162948178" w:history="1">
        <w:r w:rsidRPr="004B7D85">
          <w:rPr>
            <w:rStyle w:val="Hyperlink"/>
            <w:noProof/>
          </w:rPr>
          <w:t>2.4.13. Sediment Toxics - Metals</w:t>
        </w:r>
        <w:r>
          <w:rPr>
            <w:noProof/>
            <w:webHidden/>
          </w:rPr>
          <w:tab/>
        </w:r>
        <w:r>
          <w:rPr>
            <w:noProof/>
            <w:webHidden/>
          </w:rPr>
          <w:fldChar w:fldCharType="begin"/>
        </w:r>
        <w:r>
          <w:rPr>
            <w:noProof/>
            <w:webHidden/>
          </w:rPr>
          <w:instrText xml:space="preserve"> PAGEREF _Toc162948178 \h </w:instrText>
        </w:r>
        <w:r>
          <w:rPr>
            <w:noProof/>
            <w:webHidden/>
          </w:rPr>
        </w:r>
        <w:r>
          <w:rPr>
            <w:noProof/>
            <w:webHidden/>
          </w:rPr>
          <w:fldChar w:fldCharType="separate"/>
        </w:r>
        <w:r>
          <w:rPr>
            <w:noProof/>
            <w:webHidden/>
          </w:rPr>
          <w:t>98</w:t>
        </w:r>
        <w:r>
          <w:rPr>
            <w:noProof/>
            <w:webHidden/>
          </w:rPr>
          <w:fldChar w:fldCharType="end"/>
        </w:r>
      </w:hyperlink>
    </w:p>
    <w:p w14:paraId="48DE3D11" w14:textId="29D31FB7" w:rsidR="004A78BF" w:rsidRDefault="004A78BF">
      <w:pPr>
        <w:pStyle w:val="TOC3"/>
        <w:tabs>
          <w:tab w:val="right" w:leader="dot" w:pos="9350"/>
        </w:tabs>
        <w:rPr>
          <w:rFonts w:asciiTheme="minorHAnsi" w:eastAsiaTheme="minorEastAsia" w:hAnsiTheme="minorHAnsi" w:cstheme="minorBidi"/>
          <w:noProof/>
          <w:sz w:val="22"/>
          <w:szCs w:val="22"/>
        </w:rPr>
      </w:pPr>
      <w:hyperlink w:anchor="_Toc162948179" w:history="1">
        <w:r w:rsidRPr="004B7D85">
          <w:rPr>
            <w:rStyle w:val="Hyperlink"/>
            <w:noProof/>
          </w:rPr>
          <w:t>2.4.14. Sediment Toxics - PAHs</w:t>
        </w:r>
        <w:r>
          <w:rPr>
            <w:noProof/>
            <w:webHidden/>
          </w:rPr>
          <w:tab/>
        </w:r>
        <w:r>
          <w:rPr>
            <w:noProof/>
            <w:webHidden/>
          </w:rPr>
          <w:fldChar w:fldCharType="begin"/>
        </w:r>
        <w:r>
          <w:rPr>
            <w:noProof/>
            <w:webHidden/>
          </w:rPr>
          <w:instrText xml:space="preserve"> PAGEREF _Toc162948179 \h </w:instrText>
        </w:r>
        <w:r>
          <w:rPr>
            <w:noProof/>
            <w:webHidden/>
          </w:rPr>
        </w:r>
        <w:r>
          <w:rPr>
            <w:noProof/>
            <w:webHidden/>
          </w:rPr>
          <w:fldChar w:fldCharType="separate"/>
        </w:r>
        <w:r>
          <w:rPr>
            <w:noProof/>
            <w:webHidden/>
          </w:rPr>
          <w:t>99</w:t>
        </w:r>
        <w:r>
          <w:rPr>
            <w:noProof/>
            <w:webHidden/>
          </w:rPr>
          <w:fldChar w:fldCharType="end"/>
        </w:r>
      </w:hyperlink>
    </w:p>
    <w:p w14:paraId="10D98DE5" w14:textId="1987DD12" w:rsidR="004A78BF" w:rsidRDefault="004A78BF">
      <w:pPr>
        <w:pStyle w:val="TOC3"/>
        <w:tabs>
          <w:tab w:val="right" w:leader="dot" w:pos="9350"/>
        </w:tabs>
        <w:rPr>
          <w:rFonts w:asciiTheme="minorHAnsi" w:eastAsiaTheme="minorEastAsia" w:hAnsiTheme="minorHAnsi" w:cstheme="minorBidi"/>
          <w:noProof/>
          <w:sz w:val="22"/>
          <w:szCs w:val="22"/>
        </w:rPr>
      </w:pPr>
      <w:hyperlink w:anchor="_Toc162948180" w:history="1">
        <w:r w:rsidRPr="004B7D85">
          <w:rPr>
            <w:rStyle w:val="Hyperlink"/>
            <w:noProof/>
          </w:rPr>
          <w:t>2.4.15. Sediment Toxics - PCBs</w:t>
        </w:r>
        <w:r>
          <w:rPr>
            <w:noProof/>
            <w:webHidden/>
          </w:rPr>
          <w:tab/>
        </w:r>
        <w:r>
          <w:rPr>
            <w:noProof/>
            <w:webHidden/>
          </w:rPr>
          <w:fldChar w:fldCharType="begin"/>
        </w:r>
        <w:r>
          <w:rPr>
            <w:noProof/>
            <w:webHidden/>
          </w:rPr>
          <w:instrText xml:space="preserve"> PAGEREF _Toc162948180 \h </w:instrText>
        </w:r>
        <w:r>
          <w:rPr>
            <w:noProof/>
            <w:webHidden/>
          </w:rPr>
        </w:r>
        <w:r>
          <w:rPr>
            <w:noProof/>
            <w:webHidden/>
          </w:rPr>
          <w:fldChar w:fldCharType="separate"/>
        </w:r>
        <w:r>
          <w:rPr>
            <w:noProof/>
            <w:webHidden/>
          </w:rPr>
          <w:t>100</w:t>
        </w:r>
        <w:r>
          <w:rPr>
            <w:noProof/>
            <w:webHidden/>
          </w:rPr>
          <w:fldChar w:fldCharType="end"/>
        </w:r>
      </w:hyperlink>
    </w:p>
    <w:p w14:paraId="05254012" w14:textId="2768A4DC" w:rsidR="004A78BF" w:rsidRDefault="004A78BF">
      <w:pPr>
        <w:pStyle w:val="TOC3"/>
        <w:tabs>
          <w:tab w:val="right" w:leader="dot" w:pos="9350"/>
        </w:tabs>
        <w:rPr>
          <w:rFonts w:asciiTheme="minorHAnsi" w:eastAsiaTheme="minorEastAsia" w:hAnsiTheme="minorHAnsi" w:cstheme="minorBidi"/>
          <w:noProof/>
          <w:sz w:val="22"/>
          <w:szCs w:val="22"/>
        </w:rPr>
      </w:pPr>
      <w:hyperlink w:anchor="_Toc162948181" w:history="1">
        <w:r w:rsidRPr="004B7D85">
          <w:rPr>
            <w:rStyle w:val="Hyperlink"/>
            <w:noProof/>
          </w:rPr>
          <w:t>2.4.16. Sediment Toxics – Pesticides and Organics</w:t>
        </w:r>
        <w:r>
          <w:rPr>
            <w:noProof/>
            <w:webHidden/>
          </w:rPr>
          <w:tab/>
        </w:r>
        <w:r>
          <w:rPr>
            <w:noProof/>
            <w:webHidden/>
          </w:rPr>
          <w:fldChar w:fldCharType="begin"/>
        </w:r>
        <w:r>
          <w:rPr>
            <w:noProof/>
            <w:webHidden/>
          </w:rPr>
          <w:instrText xml:space="preserve"> PAGEREF _Toc162948181 \h </w:instrText>
        </w:r>
        <w:r>
          <w:rPr>
            <w:noProof/>
            <w:webHidden/>
          </w:rPr>
        </w:r>
        <w:r>
          <w:rPr>
            <w:noProof/>
            <w:webHidden/>
          </w:rPr>
          <w:fldChar w:fldCharType="separate"/>
        </w:r>
        <w:r>
          <w:rPr>
            <w:noProof/>
            <w:webHidden/>
          </w:rPr>
          <w:t>101</w:t>
        </w:r>
        <w:r>
          <w:rPr>
            <w:noProof/>
            <w:webHidden/>
          </w:rPr>
          <w:fldChar w:fldCharType="end"/>
        </w:r>
      </w:hyperlink>
    </w:p>
    <w:p w14:paraId="011796A9" w14:textId="479743D9" w:rsidR="004A78BF" w:rsidRDefault="004A78BF">
      <w:pPr>
        <w:pStyle w:val="TOC3"/>
        <w:tabs>
          <w:tab w:val="right" w:leader="dot" w:pos="9350"/>
        </w:tabs>
        <w:rPr>
          <w:rFonts w:asciiTheme="minorHAnsi" w:eastAsiaTheme="minorEastAsia" w:hAnsiTheme="minorHAnsi" w:cstheme="minorBidi"/>
          <w:noProof/>
          <w:sz w:val="22"/>
          <w:szCs w:val="22"/>
        </w:rPr>
      </w:pPr>
      <w:hyperlink w:anchor="_Toc162948182" w:history="1">
        <w:r w:rsidRPr="004B7D85">
          <w:rPr>
            <w:rStyle w:val="Hyperlink"/>
            <w:noProof/>
          </w:rPr>
          <w:t>2.4.17. Water Quality Regressions</w:t>
        </w:r>
        <w:r>
          <w:rPr>
            <w:noProof/>
            <w:webHidden/>
          </w:rPr>
          <w:tab/>
        </w:r>
        <w:r>
          <w:rPr>
            <w:noProof/>
            <w:webHidden/>
          </w:rPr>
          <w:fldChar w:fldCharType="begin"/>
        </w:r>
        <w:r>
          <w:rPr>
            <w:noProof/>
            <w:webHidden/>
          </w:rPr>
          <w:instrText xml:space="preserve"> PAGEREF _Toc162948182 \h </w:instrText>
        </w:r>
        <w:r>
          <w:rPr>
            <w:noProof/>
            <w:webHidden/>
          </w:rPr>
        </w:r>
        <w:r>
          <w:rPr>
            <w:noProof/>
            <w:webHidden/>
          </w:rPr>
          <w:fldChar w:fldCharType="separate"/>
        </w:r>
        <w:r>
          <w:rPr>
            <w:noProof/>
            <w:webHidden/>
          </w:rPr>
          <w:t>101</w:t>
        </w:r>
        <w:r>
          <w:rPr>
            <w:noProof/>
            <w:webHidden/>
          </w:rPr>
          <w:fldChar w:fldCharType="end"/>
        </w:r>
      </w:hyperlink>
    </w:p>
    <w:p w14:paraId="00FB73A4" w14:textId="3DE45F08" w:rsidR="004A78BF" w:rsidRDefault="004A78BF">
      <w:pPr>
        <w:pStyle w:val="TOC2"/>
        <w:rPr>
          <w:rFonts w:asciiTheme="minorHAnsi" w:eastAsiaTheme="minorEastAsia" w:hAnsiTheme="minorHAnsi" w:cstheme="minorBidi"/>
          <w:sz w:val="22"/>
          <w:szCs w:val="22"/>
        </w:rPr>
      </w:pPr>
      <w:hyperlink w:anchor="_Toc162948183" w:history="1">
        <w:r w:rsidRPr="004B7D85">
          <w:rPr>
            <w:rStyle w:val="Hyperlink"/>
          </w:rPr>
          <w:t>2.5. Supplemental Non-Agency Data</w:t>
        </w:r>
        <w:r>
          <w:rPr>
            <w:webHidden/>
          </w:rPr>
          <w:tab/>
        </w:r>
        <w:r>
          <w:rPr>
            <w:webHidden/>
          </w:rPr>
          <w:fldChar w:fldCharType="begin"/>
        </w:r>
        <w:r>
          <w:rPr>
            <w:webHidden/>
          </w:rPr>
          <w:instrText xml:space="preserve"> PAGEREF _Toc162948183 \h </w:instrText>
        </w:r>
        <w:r>
          <w:rPr>
            <w:webHidden/>
          </w:rPr>
        </w:r>
        <w:r>
          <w:rPr>
            <w:webHidden/>
          </w:rPr>
          <w:fldChar w:fldCharType="separate"/>
        </w:r>
        <w:r>
          <w:rPr>
            <w:webHidden/>
          </w:rPr>
          <w:t>105</w:t>
        </w:r>
        <w:r>
          <w:rPr>
            <w:webHidden/>
          </w:rPr>
          <w:fldChar w:fldCharType="end"/>
        </w:r>
      </w:hyperlink>
    </w:p>
    <w:p w14:paraId="49900E6E" w14:textId="6DB904B3" w:rsidR="004A78BF" w:rsidRDefault="004A78BF">
      <w:pPr>
        <w:pStyle w:val="TOC3"/>
        <w:tabs>
          <w:tab w:val="right" w:leader="dot" w:pos="9350"/>
        </w:tabs>
        <w:rPr>
          <w:rFonts w:asciiTheme="minorHAnsi" w:eastAsiaTheme="minorEastAsia" w:hAnsiTheme="minorHAnsi" w:cstheme="minorBidi"/>
          <w:noProof/>
          <w:sz w:val="22"/>
          <w:szCs w:val="22"/>
        </w:rPr>
      </w:pPr>
      <w:hyperlink w:anchor="_Toc162948184" w:history="1">
        <w:r w:rsidRPr="004B7D85">
          <w:rPr>
            <w:rStyle w:val="Hyperlink"/>
            <w:noProof/>
          </w:rPr>
          <w:t>2.5.1. BMI Report</w:t>
        </w:r>
        <w:r>
          <w:rPr>
            <w:noProof/>
            <w:webHidden/>
          </w:rPr>
          <w:tab/>
        </w:r>
        <w:r>
          <w:rPr>
            <w:noProof/>
            <w:webHidden/>
          </w:rPr>
          <w:fldChar w:fldCharType="begin"/>
        </w:r>
        <w:r>
          <w:rPr>
            <w:noProof/>
            <w:webHidden/>
          </w:rPr>
          <w:instrText xml:space="preserve"> PAGEREF _Toc162948184 \h </w:instrText>
        </w:r>
        <w:r>
          <w:rPr>
            <w:noProof/>
            <w:webHidden/>
          </w:rPr>
        </w:r>
        <w:r>
          <w:rPr>
            <w:noProof/>
            <w:webHidden/>
          </w:rPr>
          <w:fldChar w:fldCharType="separate"/>
        </w:r>
        <w:r>
          <w:rPr>
            <w:noProof/>
            <w:webHidden/>
          </w:rPr>
          <w:t>105</w:t>
        </w:r>
        <w:r>
          <w:rPr>
            <w:noProof/>
            <w:webHidden/>
          </w:rPr>
          <w:fldChar w:fldCharType="end"/>
        </w:r>
      </w:hyperlink>
    </w:p>
    <w:p w14:paraId="36866B9C" w14:textId="0D526F15" w:rsidR="004A78BF" w:rsidRDefault="004A78BF">
      <w:pPr>
        <w:pStyle w:val="TOC3"/>
        <w:tabs>
          <w:tab w:val="right" w:leader="dot" w:pos="9350"/>
        </w:tabs>
        <w:rPr>
          <w:rFonts w:asciiTheme="minorHAnsi" w:eastAsiaTheme="minorEastAsia" w:hAnsiTheme="minorHAnsi" w:cstheme="minorBidi"/>
          <w:noProof/>
          <w:sz w:val="22"/>
          <w:szCs w:val="22"/>
        </w:rPr>
      </w:pPr>
      <w:hyperlink w:anchor="_Toc162948185" w:history="1">
        <w:r w:rsidRPr="004B7D85">
          <w:rPr>
            <w:rStyle w:val="Hyperlink"/>
            <w:noProof/>
          </w:rPr>
          <w:t>2.5.1. Nutrient Model</w:t>
        </w:r>
        <w:r>
          <w:rPr>
            <w:noProof/>
            <w:webHidden/>
          </w:rPr>
          <w:tab/>
        </w:r>
        <w:r>
          <w:rPr>
            <w:noProof/>
            <w:webHidden/>
          </w:rPr>
          <w:fldChar w:fldCharType="begin"/>
        </w:r>
        <w:r>
          <w:rPr>
            <w:noProof/>
            <w:webHidden/>
          </w:rPr>
          <w:instrText xml:space="preserve"> PAGEREF _Toc162948185 \h </w:instrText>
        </w:r>
        <w:r>
          <w:rPr>
            <w:noProof/>
            <w:webHidden/>
          </w:rPr>
        </w:r>
        <w:r>
          <w:rPr>
            <w:noProof/>
            <w:webHidden/>
          </w:rPr>
          <w:fldChar w:fldCharType="separate"/>
        </w:r>
        <w:r>
          <w:rPr>
            <w:noProof/>
            <w:webHidden/>
          </w:rPr>
          <w:t>106</w:t>
        </w:r>
        <w:r>
          <w:rPr>
            <w:noProof/>
            <w:webHidden/>
          </w:rPr>
          <w:fldChar w:fldCharType="end"/>
        </w:r>
      </w:hyperlink>
    </w:p>
    <w:p w14:paraId="5DDB2280" w14:textId="30C349AA" w:rsidR="004A78BF" w:rsidRDefault="004A78BF">
      <w:pPr>
        <w:pStyle w:val="TOC3"/>
        <w:tabs>
          <w:tab w:val="right" w:leader="dot" w:pos="9350"/>
        </w:tabs>
        <w:rPr>
          <w:rFonts w:asciiTheme="minorHAnsi" w:eastAsiaTheme="minorEastAsia" w:hAnsiTheme="minorHAnsi" w:cstheme="minorBidi"/>
          <w:noProof/>
          <w:sz w:val="22"/>
          <w:szCs w:val="22"/>
        </w:rPr>
      </w:pPr>
      <w:hyperlink w:anchor="_Toc162948186" w:history="1">
        <w:r w:rsidRPr="004B7D85">
          <w:rPr>
            <w:rStyle w:val="Hyperlink"/>
            <w:noProof/>
          </w:rPr>
          <w:t>2.5.1. FERC Report</w:t>
        </w:r>
        <w:r>
          <w:rPr>
            <w:noProof/>
            <w:webHidden/>
          </w:rPr>
          <w:tab/>
        </w:r>
        <w:r>
          <w:rPr>
            <w:noProof/>
            <w:webHidden/>
          </w:rPr>
          <w:fldChar w:fldCharType="begin"/>
        </w:r>
        <w:r>
          <w:rPr>
            <w:noProof/>
            <w:webHidden/>
          </w:rPr>
          <w:instrText xml:space="preserve"> PAGEREF _Toc162948186 \h </w:instrText>
        </w:r>
        <w:r>
          <w:rPr>
            <w:noProof/>
            <w:webHidden/>
          </w:rPr>
        </w:r>
        <w:r>
          <w:rPr>
            <w:noProof/>
            <w:webHidden/>
          </w:rPr>
          <w:fldChar w:fldCharType="separate"/>
        </w:r>
        <w:r>
          <w:rPr>
            <w:noProof/>
            <w:webHidden/>
          </w:rPr>
          <w:t>107</w:t>
        </w:r>
        <w:r>
          <w:rPr>
            <w:noProof/>
            <w:webHidden/>
          </w:rPr>
          <w:fldChar w:fldCharType="end"/>
        </w:r>
      </w:hyperlink>
    </w:p>
    <w:p w14:paraId="3AC778BE" w14:textId="7627AAA0" w:rsidR="004A78BF" w:rsidRDefault="004A78BF">
      <w:pPr>
        <w:pStyle w:val="TOC1"/>
        <w:rPr>
          <w:rFonts w:asciiTheme="minorHAnsi" w:eastAsiaTheme="minorEastAsia" w:hAnsiTheme="minorHAnsi" w:cstheme="minorBidi"/>
          <w:caps w:val="0"/>
          <w:sz w:val="22"/>
          <w:szCs w:val="22"/>
        </w:rPr>
      </w:pPr>
      <w:hyperlink w:anchor="_Toc162948187" w:history="1">
        <w:r w:rsidRPr="004B7D85">
          <w:rPr>
            <w:rStyle w:val="Hyperlink"/>
          </w:rPr>
          <w:t>3.0 Causal Analysis</w:t>
        </w:r>
        <w:r>
          <w:rPr>
            <w:webHidden/>
          </w:rPr>
          <w:tab/>
        </w:r>
        <w:r>
          <w:rPr>
            <w:webHidden/>
          </w:rPr>
          <w:fldChar w:fldCharType="begin"/>
        </w:r>
        <w:r>
          <w:rPr>
            <w:webHidden/>
          </w:rPr>
          <w:instrText xml:space="preserve"> PAGEREF _Toc162948187 \h </w:instrText>
        </w:r>
        <w:r>
          <w:rPr>
            <w:webHidden/>
          </w:rPr>
        </w:r>
        <w:r>
          <w:rPr>
            <w:webHidden/>
          </w:rPr>
          <w:fldChar w:fldCharType="separate"/>
        </w:r>
        <w:r>
          <w:rPr>
            <w:webHidden/>
          </w:rPr>
          <w:t>109</w:t>
        </w:r>
        <w:r>
          <w:rPr>
            <w:webHidden/>
          </w:rPr>
          <w:fldChar w:fldCharType="end"/>
        </w:r>
      </w:hyperlink>
    </w:p>
    <w:p w14:paraId="116FEE9D" w14:textId="0415B358" w:rsidR="004A78BF" w:rsidRDefault="004A78BF">
      <w:pPr>
        <w:pStyle w:val="TOC2"/>
        <w:rPr>
          <w:rFonts w:asciiTheme="minorHAnsi" w:eastAsiaTheme="minorEastAsia" w:hAnsiTheme="minorHAnsi" w:cstheme="minorBidi"/>
          <w:sz w:val="22"/>
          <w:szCs w:val="22"/>
        </w:rPr>
      </w:pPr>
      <w:hyperlink w:anchor="_Toc162948188" w:history="1">
        <w:r w:rsidRPr="004B7D85">
          <w:rPr>
            <w:rStyle w:val="Hyperlink"/>
          </w:rPr>
          <w:t>3.1. Temperature</w:t>
        </w:r>
        <w:r>
          <w:rPr>
            <w:webHidden/>
          </w:rPr>
          <w:tab/>
        </w:r>
        <w:r>
          <w:rPr>
            <w:webHidden/>
          </w:rPr>
          <w:fldChar w:fldCharType="begin"/>
        </w:r>
        <w:r>
          <w:rPr>
            <w:webHidden/>
          </w:rPr>
          <w:instrText xml:space="preserve"> PAGEREF _Toc162948188 \h </w:instrText>
        </w:r>
        <w:r>
          <w:rPr>
            <w:webHidden/>
          </w:rPr>
        </w:r>
        <w:r>
          <w:rPr>
            <w:webHidden/>
          </w:rPr>
          <w:fldChar w:fldCharType="separate"/>
        </w:r>
        <w:r>
          <w:rPr>
            <w:webHidden/>
          </w:rPr>
          <w:t>111</w:t>
        </w:r>
        <w:r>
          <w:rPr>
            <w:webHidden/>
          </w:rPr>
          <w:fldChar w:fldCharType="end"/>
        </w:r>
      </w:hyperlink>
    </w:p>
    <w:p w14:paraId="0E21AB7E" w14:textId="53914A3D" w:rsidR="004A78BF" w:rsidRDefault="004A78BF">
      <w:pPr>
        <w:pStyle w:val="TOC2"/>
        <w:rPr>
          <w:rFonts w:asciiTheme="minorHAnsi" w:eastAsiaTheme="minorEastAsia" w:hAnsiTheme="minorHAnsi" w:cstheme="minorBidi"/>
          <w:sz w:val="22"/>
          <w:szCs w:val="22"/>
        </w:rPr>
      </w:pPr>
      <w:hyperlink w:anchor="_Toc162948189" w:history="1">
        <w:r w:rsidRPr="004B7D85">
          <w:rPr>
            <w:rStyle w:val="Hyperlink"/>
          </w:rPr>
          <w:t>3.2. pH</w:t>
        </w:r>
        <w:r>
          <w:rPr>
            <w:webHidden/>
          </w:rPr>
          <w:tab/>
        </w:r>
        <w:r>
          <w:rPr>
            <w:webHidden/>
          </w:rPr>
          <w:fldChar w:fldCharType="begin"/>
        </w:r>
        <w:r>
          <w:rPr>
            <w:webHidden/>
          </w:rPr>
          <w:instrText xml:space="preserve"> PAGEREF _Toc162948189 \h </w:instrText>
        </w:r>
        <w:r>
          <w:rPr>
            <w:webHidden/>
          </w:rPr>
        </w:r>
        <w:r>
          <w:rPr>
            <w:webHidden/>
          </w:rPr>
          <w:fldChar w:fldCharType="separate"/>
        </w:r>
        <w:r>
          <w:rPr>
            <w:webHidden/>
          </w:rPr>
          <w:t>112</w:t>
        </w:r>
        <w:r>
          <w:rPr>
            <w:webHidden/>
          </w:rPr>
          <w:fldChar w:fldCharType="end"/>
        </w:r>
      </w:hyperlink>
    </w:p>
    <w:p w14:paraId="3CBCCBED" w14:textId="36036B46" w:rsidR="004A78BF" w:rsidRDefault="004A78BF">
      <w:pPr>
        <w:pStyle w:val="TOC2"/>
        <w:rPr>
          <w:rFonts w:asciiTheme="minorHAnsi" w:eastAsiaTheme="minorEastAsia" w:hAnsiTheme="minorHAnsi" w:cstheme="minorBidi"/>
          <w:sz w:val="22"/>
          <w:szCs w:val="22"/>
        </w:rPr>
      </w:pPr>
      <w:hyperlink w:anchor="_Toc162948190" w:history="1">
        <w:r w:rsidRPr="004B7D85">
          <w:rPr>
            <w:rStyle w:val="Hyperlink"/>
          </w:rPr>
          <w:t>3.3. Dissolved Oxygen</w:t>
        </w:r>
        <w:r>
          <w:rPr>
            <w:webHidden/>
          </w:rPr>
          <w:tab/>
        </w:r>
        <w:r>
          <w:rPr>
            <w:webHidden/>
          </w:rPr>
          <w:fldChar w:fldCharType="begin"/>
        </w:r>
        <w:r>
          <w:rPr>
            <w:webHidden/>
          </w:rPr>
          <w:instrText xml:space="preserve"> PAGEREF _Toc162948190 \h </w:instrText>
        </w:r>
        <w:r>
          <w:rPr>
            <w:webHidden/>
          </w:rPr>
        </w:r>
        <w:r>
          <w:rPr>
            <w:webHidden/>
          </w:rPr>
          <w:fldChar w:fldCharType="separate"/>
        </w:r>
        <w:r>
          <w:rPr>
            <w:webHidden/>
          </w:rPr>
          <w:t>114</w:t>
        </w:r>
        <w:r>
          <w:rPr>
            <w:webHidden/>
          </w:rPr>
          <w:fldChar w:fldCharType="end"/>
        </w:r>
      </w:hyperlink>
    </w:p>
    <w:p w14:paraId="31E8240E" w14:textId="0E14070A" w:rsidR="004A78BF" w:rsidRDefault="004A78BF">
      <w:pPr>
        <w:pStyle w:val="TOC2"/>
        <w:rPr>
          <w:rFonts w:asciiTheme="minorHAnsi" w:eastAsiaTheme="minorEastAsia" w:hAnsiTheme="minorHAnsi" w:cstheme="minorBidi"/>
          <w:sz w:val="22"/>
          <w:szCs w:val="22"/>
        </w:rPr>
      </w:pPr>
      <w:hyperlink w:anchor="_Toc162948191" w:history="1">
        <w:r w:rsidRPr="004B7D85">
          <w:rPr>
            <w:rStyle w:val="Hyperlink"/>
          </w:rPr>
          <w:t>3.4. Conductivity and Total Dissolved Solids</w:t>
        </w:r>
        <w:r>
          <w:rPr>
            <w:webHidden/>
          </w:rPr>
          <w:tab/>
        </w:r>
        <w:r>
          <w:rPr>
            <w:webHidden/>
          </w:rPr>
          <w:fldChar w:fldCharType="begin"/>
        </w:r>
        <w:r>
          <w:rPr>
            <w:webHidden/>
          </w:rPr>
          <w:instrText xml:space="preserve"> PAGEREF _Toc162948191 \h </w:instrText>
        </w:r>
        <w:r>
          <w:rPr>
            <w:webHidden/>
          </w:rPr>
        </w:r>
        <w:r>
          <w:rPr>
            <w:webHidden/>
          </w:rPr>
          <w:fldChar w:fldCharType="separate"/>
        </w:r>
        <w:r>
          <w:rPr>
            <w:webHidden/>
          </w:rPr>
          <w:t>115</w:t>
        </w:r>
        <w:r>
          <w:rPr>
            <w:webHidden/>
          </w:rPr>
          <w:fldChar w:fldCharType="end"/>
        </w:r>
      </w:hyperlink>
    </w:p>
    <w:p w14:paraId="31BC0893" w14:textId="3DB4C013" w:rsidR="004A78BF" w:rsidRDefault="004A78BF">
      <w:pPr>
        <w:pStyle w:val="TOC2"/>
        <w:rPr>
          <w:rFonts w:asciiTheme="minorHAnsi" w:eastAsiaTheme="minorEastAsia" w:hAnsiTheme="minorHAnsi" w:cstheme="minorBidi"/>
          <w:sz w:val="22"/>
          <w:szCs w:val="22"/>
        </w:rPr>
      </w:pPr>
      <w:hyperlink w:anchor="_Toc162948192" w:history="1">
        <w:r w:rsidRPr="004B7D85">
          <w:rPr>
            <w:rStyle w:val="Hyperlink"/>
          </w:rPr>
          <w:t>3.5. Dissolved Sodium</w:t>
        </w:r>
        <w:r>
          <w:rPr>
            <w:webHidden/>
          </w:rPr>
          <w:tab/>
        </w:r>
        <w:r>
          <w:rPr>
            <w:webHidden/>
          </w:rPr>
          <w:fldChar w:fldCharType="begin"/>
        </w:r>
        <w:r>
          <w:rPr>
            <w:webHidden/>
          </w:rPr>
          <w:instrText xml:space="preserve"> PAGEREF _Toc162948192 \h </w:instrText>
        </w:r>
        <w:r>
          <w:rPr>
            <w:webHidden/>
          </w:rPr>
        </w:r>
        <w:r>
          <w:rPr>
            <w:webHidden/>
          </w:rPr>
          <w:fldChar w:fldCharType="separate"/>
        </w:r>
        <w:r>
          <w:rPr>
            <w:webHidden/>
          </w:rPr>
          <w:t>117</w:t>
        </w:r>
        <w:r>
          <w:rPr>
            <w:webHidden/>
          </w:rPr>
          <w:fldChar w:fldCharType="end"/>
        </w:r>
      </w:hyperlink>
    </w:p>
    <w:p w14:paraId="15A1C0ED" w14:textId="05E59DB0" w:rsidR="004A78BF" w:rsidRDefault="004A78BF">
      <w:pPr>
        <w:pStyle w:val="TOC2"/>
        <w:rPr>
          <w:rFonts w:asciiTheme="minorHAnsi" w:eastAsiaTheme="minorEastAsia" w:hAnsiTheme="minorHAnsi" w:cstheme="minorBidi"/>
          <w:sz w:val="22"/>
          <w:szCs w:val="22"/>
        </w:rPr>
      </w:pPr>
      <w:hyperlink w:anchor="_Toc162948193" w:history="1">
        <w:r w:rsidRPr="004B7D85">
          <w:rPr>
            <w:rStyle w:val="Hyperlink"/>
          </w:rPr>
          <w:t>3.6. Dissolved Potassium</w:t>
        </w:r>
        <w:r>
          <w:rPr>
            <w:webHidden/>
          </w:rPr>
          <w:tab/>
        </w:r>
        <w:r>
          <w:rPr>
            <w:webHidden/>
          </w:rPr>
          <w:fldChar w:fldCharType="begin"/>
        </w:r>
        <w:r>
          <w:rPr>
            <w:webHidden/>
          </w:rPr>
          <w:instrText xml:space="preserve"> PAGEREF _Toc162948193 \h </w:instrText>
        </w:r>
        <w:r>
          <w:rPr>
            <w:webHidden/>
          </w:rPr>
        </w:r>
        <w:r>
          <w:rPr>
            <w:webHidden/>
          </w:rPr>
          <w:fldChar w:fldCharType="separate"/>
        </w:r>
        <w:r>
          <w:rPr>
            <w:webHidden/>
          </w:rPr>
          <w:t>118</w:t>
        </w:r>
        <w:r>
          <w:rPr>
            <w:webHidden/>
          </w:rPr>
          <w:fldChar w:fldCharType="end"/>
        </w:r>
      </w:hyperlink>
    </w:p>
    <w:p w14:paraId="79730F8C" w14:textId="33340F22" w:rsidR="004A78BF" w:rsidRDefault="004A78BF">
      <w:pPr>
        <w:pStyle w:val="TOC2"/>
        <w:rPr>
          <w:rFonts w:asciiTheme="minorHAnsi" w:eastAsiaTheme="minorEastAsia" w:hAnsiTheme="minorHAnsi" w:cstheme="minorBidi"/>
          <w:sz w:val="22"/>
          <w:szCs w:val="22"/>
        </w:rPr>
      </w:pPr>
      <w:hyperlink w:anchor="_Toc162948194" w:history="1">
        <w:r w:rsidRPr="004B7D85">
          <w:rPr>
            <w:rStyle w:val="Hyperlink"/>
          </w:rPr>
          <w:t>3.7. Dissolved Chloride</w:t>
        </w:r>
        <w:r>
          <w:rPr>
            <w:webHidden/>
          </w:rPr>
          <w:tab/>
        </w:r>
        <w:r>
          <w:rPr>
            <w:webHidden/>
          </w:rPr>
          <w:fldChar w:fldCharType="begin"/>
        </w:r>
        <w:r>
          <w:rPr>
            <w:webHidden/>
          </w:rPr>
          <w:instrText xml:space="preserve"> PAGEREF _Toc162948194 \h </w:instrText>
        </w:r>
        <w:r>
          <w:rPr>
            <w:webHidden/>
          </w:rPr>
        </w:r>
        <w:r>
          <w:rPr>
            <w:webHidden/>
          </w:rPr>
          <w:fldChar w:fldCharType="separate"/>
        </w:r>
        <w:r>
          <w:rPr>
            <w:webHidden/>
          </w:rPr>
          <w:t>120</w:t>
        </w:r>
        <w:r>
          <w:rPr>
            <w:webHidden/>
          </w:rPr>
          <w:fldChar w:fldCharType="end"/>
        </w:r>
      </w:hyperlink>
    </w:p>
    <w:p w14:paraId="4E286AB0" w14:textId="15756D5A" w:rsidR="004A78BF" w:rsidRDefault="004A78BF">
      <w:pPr>
        <w:pStyle w:val="TOC2"/>
        <w:rPr>
          <w:rFonts w:asciiTheme="minorHAnsi" w:eastAsiaTheme="minorEastAsia" w:hAnsiTheme="minorHAnsi" w:cstheme="minorBidi"/>
          <w:sz w:val="22"/>
          <w:szCs w:val="22"/>
        </w:rPr>
      </w:pPr>
      <w:hyperlink w:anchor="_Toc162948195" w:history="1">
        <w:r w:rsidRPr="004B7D85">
          <w:rPr>
            <w:rStyle w:val="Hyperlink"/>
          </w:rPr>
          <w:t>3.8. Dissolved Sulfate</w:t>
        </w:r>
        <w:r>
          <w:rPr>
            <w:webHidden/>
          </w:rPr>
          <w:tab/>
        </w:r>
        <w:r>
          <w:rPr>
            <w:webHidden/>
          </w:rPr>
          <w:fldChar w:fldCharType="begin"/>
        </w:r>
        <w:r>
          <w:rPr>
            <w:webHidden/>
          </w:rPr>
          <w:instrText xml:space="preserve"> PAGEREF _Toc162948195 \h </w:instrText>
        </w:r>
        <w:r>
          <w:rPr>
            <w:webHidden/>
          </w:rPr>
        </w:r>
        <w:r>
          <w:rPr>
            <w:webHidden/>
          </w:rPr>
          <w:fldChar w:fldCharType="separate"/>
        </w:r>
        <w:r>
          <w:rPr>
            <w:webHidden/>
          </w:rPr>
          <w:t>121</w:t>
        </w:r>
        <w:r>
          <w:rPr>
            <w:webHidden/>
          </w:rPr>
          <w:fldChar w:fldCharType="end"/>
        </w:r>
      </w:hyperlink>
    </w:p>
    <w:p w14:paraId="7F91D373" w14:textId="11B43B63" w:rsidR="004A78BF" w:rsidRDefault="004A78BF">
      <w:pPr>
        <w:pStyle w:val="TOC2"/>
        <w:rPr>
          <w:rFonts w:asciiTheme="minorHAnsi" w:eastAsiaTheme="minorEastAsia" w:hAnsiTheme="minorHAnsi" w:cstheme="minorBidi"/>
          <w:sz w:val="22"/>
          <w:szCs w:val="22"/>
        </w:rPr>
      </w:pPr>
      <w:hyperlink w:anchor="_Toc162948196" w:history="1">
        <w:r w:rsidRPr="004B7D85">
          <w:rPr>
            <w:rStyle w:val="Hyperlink"/>
          </w:rPr>
          <w:t>3.9. Suspended Solids and Deposited Sediment</w:t>
        </w:r>
        <w:r>
          <w:rPr>
            <w:webHidden/>
          </w:rPr>
          <w:tab/>
        </w:r>
        <w:r>
          <w:rPr>
            <w:webHidden/>
          </w:rPr>
          <w:fldChar w:fldCharType="begin"/>
        </w:r>
        <w:r>
          <w:rPr>
            <w:webHidden/>
          </w:rPr>
          <w:instrText xml:space="preserve"> PAGEREF _Toc162948196 \h </w:instrText>
        </w:r>
        <w:r>
          <w:rPr>
            <w:webHidden/>
          </w:rPr>
        </w:r>
        <w:r>
          <w:rPr>
            <w:webHidden/>
          </w:rPr>
          <w:fldChar w:fldCharType="separate"/>
        </w:r>
        <w:r>
          <w:rPr>
            <w:webHidden/>
          </w:rPr>
          <w:t>123</w:t>
        </w:r>
        <w:r>
          <w:rPr>
            <w:webHidden/>
          </w:rPr>
          <w:fldChar w:fldCharType="end"/>
        </w:r>
      </w:hyperlink>
    </w:p>
    <w:p w14:paraId="1869EA1A" w14:textId="473F8A3E" w:rsidR="004A78BF" w:rsidRDefault="004A78BF">
      <w:pPr>
        <w:pStyle w:val="TOC2"/>
        <w:rPr>
          <w:rFonts w:asciiTheme="minorHAnsi" w:eastAsiaTheme="minorEastAsia" w:hAnsiTheme="minorHAnsi" w:cstheme="minorBidi"/>
          <w:sz w:val="22"/>
          <w:szCs w:val="22"/>
        </w:rPr>
      </w:pPr>
      <w:hyperlink w:anchor="_Toc162948197" w:history="1">
        <w:r w:rsidRPr="004B7D85">
          <w:rPr>
            <w:rStyle w:val="Hyperlink"/>
          </w:rPr>
          <w:t>3.10. Organic Matter</w:t>
        </w:r>
        <w:r>
          <w:rPr>
            <w:webHidden/>
          </w:rPr>
          <w:tab/>
        </w:r>
        <w:r>
          <w:rPr>
            <w:webHidden/>
          </w:rPr>
          <w:fldChar w:fldCharType="begin"/>
        </w:r>
        <w:r>
          <w:rPr>
            <w:webHidden/>
          </w:rPr>
          <w:instrText xml:space="preserve"> PAGEREF _Toc162948197 \h </w:instrText>
        </w:r>
        <w:r>
          <w:rPr>
            <w:webHidden/>
          </w:rPr>
        </w:r>
        <w:r>
          <w:rPr>
            <w:webHidden/>
          </w:rPr>
          <w:fldChar w:fldCharType="separate"/>
        </w:r>
        <w:r>
          <w:rPr>
            <w:webHidden/>
          </w:rPr>
          <w:t>126</w:t>
        </w:r>
        <w:r>
          <w:rPr>
            <w:webHidden/>
          </w:rPr>
          <w:fldChar w:fldCharType="end"/>
        </w:r>
      </w:hyperlink>
    </w:p>
    <w:p w14:paraId="32469CB8" w14:textId="410BC1EF" w:rsidR="004A78BF" w:rsidRDefault="004A78BF">
      <w:pPr>
        <w:pStyle w:val="TOC2"/>
        <w:rPr>
          <w:rFonts w:asciiTheme="minorHAnsi" w:eastAsiaTheme="minorEastAsia" w:hAnsiTheme="minorHAnsi" w:cstheme="minorBidi"/>
          <w:sz w:val="22"/>
          <w:szCs w:val="22"/>
        </w:rPr>
      </w:pPr>
      <w:hyperlink w:anchor="_Toc162948198" w:history="1">
        <w:r w:rsidRPr="004B7D85">
          <w:rPr>
            <w:rStyle w:val="Hyperlink"/>
          </w:rPr>
          <w:t>3.11. Total Phosphorus</w:t>
        </w:r>
        <w:r>
          <w:rPr>
            <w:webHidden/>
          </w:rPr>
          <w:tab/>
        </w:r>
        <w:r>
          <w:rPr>
            <w:webHidden/>
          </w:rPr>
          <w:fldChar w:fldCharType="begin"/>
        </w:r>
        <w:r>
          <w:rPr>
            <w:webHidden/>
          </w:rPr>
          <w:instrText xml:space="preserve"> PAGEREF _Toc162948198 \h </w:instrText>
        </w:r>
        <w:r>
          <w:rPr>
            <w:webHidden/>
          </w:rPr>
        </w:r>
        <w:r>
          <w:rPr>
            <w:webHidden/>
          </w:rPr>
          <w:fldChar w:fldCharType="separate"/>
        </w:r>
        <w:r>
          <w:rPr>
            <w:webHidden/>
          </w:rPr>
          <w:t>127</w:t>
        </w:r>
        <w:r>
          <w:rPr>
            <w:webHidden/>
          </w:rPr>
          <w:fldChar w:fldCharType="end"/>
        </w:r>
      </w:hyperlink>
    </w:p>
    <w:p w14:paraId="59F71E4D" w14:textId="1905352C" w:rsidR="004A78BF" w:rsidRDefault="004A78BF">
      <w:pPr>
        <w:pStyle w:val="TOC2"/>
        <w:rPr>
          <w:rFonts w:asciiTheme="minorHAnsi" w:eastAsiaTheme="minorEastAsia" w:hAnsiTheme="minorHAnsi" w:cstheme="minorBidi"/>
          <w:sz w:val="22"/>
          <w:szCs w:val="22"/>
        </w:rPr>
      </w:pPr>
      <w:hyperlink w:anchor="_Toc162948199" w:history="1">
        <w:r w:rsidRPr="004B7D85">
          <w:rPr>
            <w:rStyle w:val="Hyperlink"/>
          </w:rPr>
          <w:t>3.12. Total Nitrogen</w:t>
        </w:r>
        <w:r>
          <w:rPr>
            <w:webHidden/>
          </w:rPr>
          <w:tab/>
        </w:r>
        <w:r>
          <w:rPr>
            <w:webHidden/>
          </w:rPr>
          <w:fldChar w:fldCharType="begin"/>
        </w:r>
        <w:r>
          <w:rPr>
            <w:webHidden/>
          </w:rPr>
          <w:instrText xml:space="preserve"> PAGEREF _Toc162948199 \h </w:instrText>
        </w:r>
        <w:r>
          <w:rPr>
            <w:webHidden/>
          </w:rPr>
        </w:r>
        <w:r>
          <w:rPr>
            <w:webHidden/>
          </w:rPr>
          <w:fldChar w:fldCharType="separate"/>
        </w:r>
        <w:r>
          <w:rPr>
            <w:webHidden/>
          </w:rPr>
          <w:t>129</w:t>
        </w:r>
        <w:r>
          <w:rPr>
            <w:webHidden/>
          </w:rPr>
          <w:fldChar w:fldCharType="end"/>
        </w:r>
      </w:hyperlink>
    </w:p>
    <w:p w14:paraId="7852598B" w14:textId="2725DAF0" w:rsidR="004A78BF" w:rsidRDefault="004A78BF">
      <w:pPr>
        <w:pStyle w:val="TOC2"/>
        <w:rPr>
          <w:rFonts w:asciiTheme="minorHAnsi" w:eastAsiaTheme="minorEastAsia" w:hAnsiTheme="minorHAnsi" w:cstheme="minorBidi"/>
          <w:sz w:val="22"/>
          <w:szCs w:val="22"/>
        </w:rPr>
      </w:pPr>
      <w:hyperlink w:anchor="_Toc162948200" w:history="1">
        <w:r w:rsidRPr="004B7D85">
          <w:rPr>
            <w:rStyle w:val="Hyperlink"/>
          </w:rPr>
          <w:t>3.13. Ammonia</w:t>
        </w:r>
        <w:r>
          <w:rPr>
            <w:webHidden/>
          </w:rPr>
          <w:tab/>
        </w:r>
        <w:r>
          <w:rPr>
            <w:webHidden/>
          </w:rPr>
          <w:fldChar w:fldCharType="begin"/>
        </w:r>
        <w:r>
          <w:rPr>
            <w:webHidden/>
          </w:rPr>
          <w:instrText xml:space="preserve"> PAGEREF _Toc162948200 \h </w:instrText>
        </w:r>
        <w:r>
          <w:rPr>
            <w:webHidden/>
          </w:rPr>
        </w:r>
        <w:r>
          <w:rPr>
            <w:webHidden/>
          </w:rPr>
          <w:fldChar w:fldCharType="separate"/>
        </w:r>
        <w:r>
          <w:rPr>
            <w:webHidden/>
          </w:rPr>
          <w:t>132</w:t>
        </w:r>
        <w:r>
          <w:rPr>
            <w:webHidden/>
          </w:rPr>
          <w:fldChar w:fldCharType="end"/>
        </w:r>
      </w:hyperlink>
    </w:p>
    <w:p w14:paraId="0A422714" w14:textId="07023E25" w:rsidR="004A78BF" w:rsidRDefault="004A78BF">
      <w:pPr>
        <w:pStyle w:val="TOC2"/>
        <w:rPr>
          <w:rFonts w:asciiTheme="minorHAnsi" w:eastAsiaTheme="minorEastAsia" w:hAnsiTheme="minorHAnsi" w:cstheme="minorBidi"/>
          <w:sz w:val="22"/>
          <w:szCs w:val="22"/>
        </w:rPr>
      </w:pPr>
      <w:hyperlink w:anchor="_Toc162948201" w:history="1">
        <w:r w:rsidRPr="004B7D85">
          <w:rPr>
            <w:rStyle w:val="Hyperlink"/>
          </w:rPr>
          <w:t>3.14. Dissolved Metals</w:t>
        </w:r>
        <w:r>
          <w:rPr>
            <w:webHidden/>
          </w:rPr>
          <w:tab/>
        </w:r>
        <w:r>
          <w:rPr>
            <w:webHidden/>
          </w:rPr>
          <w:fldChar w:fldCharType="begin"/>
        </w:r>
        <w:r>
          <w:rPr>
            <w:webHidden/>
          </w:rPr>
          <w:instrText xml:space="preserve"> PAGEREF _Toc162948201 \h </w:instrText>
        </w:r>
        <w:r>
          <w:rPr>
            <w:webHidden/>
          </w:rPr>
        </w:r>
        <w:r>
          <w:rPr>
            <w:webHidden/>
          </w:rPr>
          <w:fldChar w:fldCharType="separate"/>
        </w:r>
        <w:r>
          <w:rPr>
            <w:webHidden/>
          </w:rPr>
          <w:t>133</w:t>
        </w:r>
        <w:r>
          <w:rPr>
            <w:webHidden/>
          </w:rPr>
          <w:fldChar w:fldCharType="end"/>
        </w:r>
      </w:hyperlink>
    </w:p>
    <w:p w14:paraId="26E1EE3A" w14:textId="7AB56A6A" w:rsidR="004A78BF" w:rsidRDefault="004A78BF">
      <w:pPr>
        <w:pStyle w:val="TOC2"/>
        <w:rPr>
          <w:rFonts w:asciiTheme="minorHAnsi" w:eastAsiaTheme="minorEastAsia" w:hAnsiTheme="minorHAnsi" w:cstheme="minorBidi"/>
          <w:sz w:val="22"/>
          <w:szCs w:val="22"/>
        </w:rPr>
      </w:pPr>
      <w:hyperlink w:anchor="_Toc162948202" w:history="1">
        <w:r w:rsidRPr="004B7D85">
          <w:rPr>
            <w:rStyle w:val="Hyperlink"/>
          </w:rPr>
          <w:t>3.15. PFAS</w:t>
        </w:r>
        <w:r>
          <w:rPr>
            <w:webHidden/>
          </w:rPr>
          <w:tab/>
        </w:r>
        <w:r>
          <w:rPr>
            <w:webHidden/>
          </w:rPr>
          <w:fldChar w:fldCharType="begin"/>
        </w:r>
        <w:r>
          <w:rPr>
            <w:webHidden/>
          </w:rPr>
          <w:instrText xml:space="preserve"> PAGEREF _Toc162948202 \h </w:instrText>
        </w:r>
        <w:r>
          <w:rPr>
            <w:webHidden/>
          </w:rPr>
        </w:r>
        <w:r>
          <w:rPr>
            <w:webHidden/>
          </w:rPr>
          <w:fldChar w:fldCharType="separate"/>
        </w:r>
        <w:r>
          <w:rPr>
            <w:webHidden/>
          </w:rPr>
          <w:t>134</w:t>
        </w:r>
        <w:r>
          <w:rPr>
            <w:webHidden/>
          </w:rPr>
          <w:fldChar w:fldCharType="end"/>
        </w:r>
      </w:hyperlink>
    </w:p>
    <w:p w14:paraId="447CF73E" w14:textId="5519B1B7" w:rsidR="004A78BF" w:rsidRDefault="004A78BF">
      <w:pPr>
        <w:pStyle w:val="TOC2"/>
        <w:rPr>
          <w:rFonts w:asciiTheme="minorHAnsi" w:eastAsiaTheme="minorEastAsia" w:hAnsiTheme="minorHAnsi" w:cstheme="minorBidi"/>
          <w:sz w:val="22"/>
          <w:szCs w:val="22"/>
        </w:rPr>
      </w:pPr>
      <w:hyperlink w:anchor="_Toc162948203" w:history="1">
        <w:r w:rsidRPr="004B7D85">
          <w:rPr>
            <w:rStyle w:val="Hyperlink"/>
          </w:rPr>
          <w:t>3.16. Sediment Metals</w:t>
        </w:r>
        <w:r>
          <w:rPr>
            <w:webHidden/>
          </w:rPr>
          <w:tab/>
        </w:r>
        <w:r>
          <w:rPr>
            <w:webHidden/>
          </w:rPr>
          <w:fldChar w:fldCharType="begin"/>
        </w:r>
        <w:r>
          <w:rPr>
            <w:webHidden/>
          </w:rPr>
          <w:instrText xml:space="preserve"> PAGEREF _Toc162948203 \h </w:instrText>
        </w:r>
        <w:r>
          <w:rPr>
            <w:webHidden/>
          </w:rPr>
        </w:r>
        <w:r>
          <w:rPr>
            <w:webHidden/>
          </w:rPr>
          <w:fldChar w:fldCharType="separate"/>
        </w:r>
        <w:r>
          <w:rPr>
            <w:webHidden/>
          </w:rPr>
          <w:t>135</w:t>
        </w:r>
        <w:r>
          <w:rPr>
            <w:webHidden/>
          </w:rPr>
          <w:fldChar w:fldCharType="end"/>
        </w:r>
      </w:hyperlink>
    </w:p>
    <w:p w14:paraId="0925ED01" w14:textId="1FBB2A70" w:rsidR="004A78BF" w:rsidRDefault="004A78BF">
      <w:pPr>
        <w:pStyle w:val="TOC2"/>
        <w:rPr>
          <w:rFonts w:asciiTheme="minorHAnsi" w:eastAsiaTheme="minorEastAsia" w:hAnsiTheme="minorHAnsi" w:cstheme="minorBidi"/>
          <w:sz w:val="22"/>
          <w:szCs w:val="22"/>
        </w:rPr>
      </w:pPr>
      <w:hyperlink w:anchor="_Toc162948204" w:history="1">
        <w:r w:rsidRPr="004B7D85">
          <w:rPr>
            <w:rStyle w:val="Hyperlink"/>
          </w:rPr>
          <w:t>3.17. Sediment PAHs</w:t>
        </w:r>
        <w:r>
          <w:rPr>
            <w:webHidden/>
          </w:rPr>
          <w:tab/>
        </w:r>
        <w:r>
          <w:rPr>
            <w:webHidden/>
          </w:rPr>
          <w:fldChar w:fldCharType="begin"/>
        </w:r>
        <w:r>
          <w:rPr>
            <w:webHidden/>
          </w:rPr>
          <w:instrText xml:space="preserve"> PAGEREF _Toc162948204 \h </w:instrText>
        </w:r>
        <w:r>
          <w:rPr>
            <w:webHidden/>
          </w:rPr>
        </w:r>
        <w:r>
          <w:rPr>
            <w:webHidden/>
          </w:rPr>
          <w:fldChar w:fldCharType="separate"/>
        </w:r>
        <w:r>
          <w:rPr>
            <w:webHidden/>
          </w:rPr>
          <w:t>136</w:t>
        </w:r>
        <w:r>
          <w:rPr>
            <w:webHidden/>
          </w:rPr>
          <w:fldChar w:fldCharType="end"/>
        </w:r>
      </w:hyperlink>
    </w:p>
    <w:p w14:paraId="0F01ECEC" w14:textId="4E11E2BE" w:rsidR="004A78BF" w:rsidRDefault="004A78BF">
      <w:pPr>
        <w:pStyle w:val="TOC2"/>
        <w:rPr>
          <w:rFonts w:asciiTheme="minorHAnsi" w:eastAsiaTheme="minorEastAsia" w:hAnsiTheme="minorHAnsi" w:cstheme="minorBidi"/>
          <w:sz w:val="22"/>
          <w:szCs w:val="22"/>
        </w:rPr>
      </w:pPr>
      <w:hyperlink w:anchor="_Toc162948205" w:history="1">
        <w:r w:rsidRPr="004B7D85">
          <w:rPr>
            <w:rStyle w:val="Hyperlink"/>
          </w:rPr>
          <w:t>3.18. Sediment PCBs</w:t>
        </w:r>
        <w:r>
          <w:rPr>
            <w:webHidden/>
          </w:rPr>
          <w:tab/>
        </w:r>
        <w:r>
          <w:rPr>
            <w:webHidden/>
          </w:rPr>
          <w:fldChar w:fldCharType="begin"/>
        </w:r>
        <w:r>
          <w:rPr>
            <w:webHidden/>
          </w:rPr>
          <w:instrText xml:space="preserve"> PAGEREF _Toc162948205 \h </w:instrText>
        </w:r>
        <w:r>
          <w:rPr>
            <w:webHidden/>
          </w:rPr>
        </w:r>
        <w:r>
          <w:rPr>
            <w:webHidden/>
          </w:rPr>
          <w:fldChar w:fldCharType="separate"/>
        </w:r>
        <w:r>
          <w:rPr>
            <w:webHidden/>
          </w:rPr>
          <w:t>137</w:t>
        </w:r>
        <w:r>
          <w:rPr>
            <w:webHidden/>
          </w:rPr>
          <w:fldChar w:fldCharType="end"/>
        </w:r>
      </w:hyperlink>
    </w:p>
    <w:p w14:paraId="57EADDFE" w14:textId="5ED931CF" w:rsidR="004A78BF" w:rsidRDefault="004A78BF">
      <w:pPr>
        <w:pStyle w:val="TOC2"/>
        <w:rPr>
          <w:rFonts w:asciiTheme="minorHAnsi" w:eastAsiaTheme="minorEastAsia" w:hAnsiTheme="minorHAnsi" w:cstheme="minorBidi"/>
          <w:sz w:val="22"/>
          <w:szCs w:val="22"/>
        </w:rPr>
      </w:pPr>
      <w:hyperlink w:anchor="_Toc162948206" w:history="1">
        <w:r w:rsidRPr="004B7D85">
          <w:rPr>
            <w:rStyle w:val="Hyperlink"/>
          </w:rPr>
          <w:t>3.19. Sediment Pesticides and Toxic Organics</w:t>
        </w:r>
        <w:r>
          <w:rPr>
            <w:webHidden/>
          </w:rPr>
          <w:tab/>
        </w:r>
        <w:r>
          <w:rPr>
            <w:webHidden/>
          </w:rPr>
          <w:fldChar w:fldCharType="begin"/>
        </w:r>
        <w:r>
          <w:rPr>
            <w:webHidden/>
          </w:rPr>
          <w:instrText xml:space="preserve"> PAGEREF _Toc162948206 \h </w:instrText>
        </w:r>
        <w:r>
          <w:rPr>
            <w:webHidden/>
          </w:rPr>
        </w:r>
        <w:r>
          <w:rPr>
            <w:webHidden/>
          </w:rPr>
          <w:fldChar w:fldCharType="separate"/>
        </w:r>
        <w:r>
          <w:rPr>
            <w:webHidden/>
          </w:rPr>
          <w:t>138</w:t>
        </w:r>
        <w:r>
          <w:rPr>
            <w:webHidden/>
          </w:rPr>
          <w:fldChar w:fldCharType="end"/>
        </w:r>
      </w:hyperlink>
    </w:p>
    <w:p w14:paraId="68534551" w14:textId="48A15470" w:rsidR="004A78BF" w:rsidRDefault="004A78BF">
      <w:pPr>
        <w:pStyle w:val="TOC2"/>
        <w:rPr>
          <w:rFonts w:asciiTheme="minorHAnsi" w:eastAsiaTheme="minorEastAsia" w:hAnsiTheme="minorHAnsi" w:cstheme="minorBidi"/>
          <w:sz w:val="22"/>
          <w:szCs w:val="22"/>
        </w:rPr>
      </w:pPr>
      <w:hyperlink w:anchor="_Toc162948207" w:history="1">
        <w:r w:rsidRPr="004B7D85">
          <w:rPr>
            <w:rStyle w:val="Hyperlink"/>
          </w:rPr>
          <w:t>3.20. Niagara Dam</w:t>
        </w:r>
        <w:r>
          <w:rPr>
            <w:webHidden/>
          </w:rPr>
          <w:tab/>
        </w:r>
        <w:r>
          <w:rPr>
            <w:webHidden/>
          </w:rPr>
          <w:fldChar w:fldCharType="begin"/>
        </w:r>
        <w:r>
          <w:rPr>
            <w:webHidden/>
          </w:rPr>
          <w:instrText xml:space="preserve"> PAGEREF _Toc162948207 \h </w:instrText>
        </w:r>
        <w:r>
          <w:rPr>
            <w:webHidden/>
          </w:rPr>
        </w:r>
        <w:r>
          <w:rPr>
            <w:webHidden/>
          </w:rPr>
          <w:fldChar w:fldCharType="separate"/>
        </w:r>
        <w:r>
          <w:rPr>
            <w:webHidden/>
          </w:rPr>
          <w:t>138</w:t>
        </w:r>
        <w:r>
          <w:rPr>
            <w:webHidden/>
          </w:rPr>
          <w:fldChar w:fldCharType="end"/>
        </w:r>
      </w:hyperlink>
    </w:p>
    <w:p w14:paraId="5D9731C8" w14:textId="6193D38C" w:rsidR="004A78BF" w:rsidRDefault="004A78BF">
      <w:pPr>
        <w:pStyle w:val="TOC1"/>
        <w:rPr>
          <w:rFonts w:asciiTheme="minorHAnsi" w:eastAsiaTheme="minorEastAsia" w:hAnsiTheme="minorHAnsi" w:cstheme="minorBidi"/>
          <w:caps w:val="0"/>
          <w:sz w:val="22"/>
          <w:szCs w:val="22"/>
        </w:rPr>
      </w:pPr>
      <w:hyperlink w:anchor="_Toc162948208" w:history="1">
        <w:r w:rsidRPr="004B7D85">
          <w:rPr>
            <w:rStyle w:val="Hyperlink"/>
          </w:rPr>
          <w:t>4.0 Causal Analysis Summary</w:t>
        </w:r>
        <w:r>
          <w:rPr>
            <w:webHidden/>
          </w:rPr>
          <w:tab/>
        </w:r>
        <w:r>
          <w:rPr>
            <w:webHidden/>
          </w:rPr>
          <w:fldChar w:fldCharType="begin"/>
        </w:r>
        <w:r>
          <w:rPr>
            <w:webHidden/>
          </w:rPr>
          <w:instrText xml:space="preserve"> PAGEREF _Toc162948208 \h </w:instrText>
        </w:r>
        <w:r>
          <w:rPr>
            <w:webHidden/>
          </w:rPr>
        </w:r>
        <w:r>
          <w:rPr>
            <w:webHidden/>
          </w:rPr>
          <w:fldChar w:fldCharType="separate"/>
        </w:r>
        <w:r>
          <w:rPr>
            <w:webHidden/>
          </w:rPr>
          <w:t>139</w:t>
        </w:r>
        <w:r>
          <w:rPr>
            <w:webHidden/>
          </w:rPr>
          <w:fldChar w:fldCharType="end"/>
        </w:r>
      </w:hyperlink>
    </w:p>
    <w:p w14:paraId="0C5D9B14" w14:textId="2F884154" w:rsidR="004A78BF" w:rsidRDefault="004A78BF">
      <w:pPr>
        <w:pStyle w:val="TOC2"/>
        <w:rPr>
          <w:rFonts w:asciiTheme="minorHAnsi" w:eastAsiaTheme="minorEastAsia" w:hAnsiTheme="minorHAnsi" w:cstheme="minorBidi"/>
          <w:sz w:val="22"/>
          <w:szCs w:val="22"/>
        </w:rPr>
      </w:pPr>
      <w:hyperlink w:anchor="_Toc162948209" w:history="1">
        <w:r w:rsidRPr="004B7D85">
          <w:rPr>
            <w:rStyle w:val="Hyperlink"/>
          </w:rPr>
          <w:t>4.1. Probable Stressors</w:t>
        </w:r>
        <w:r>
          <w:rPr>
            <w:webHidden/>
          </w:rPr>
          <w:tab/>
        </w:r>
        <w:r>
          <w:rPr>
            <w:webHidden/>
          </w:rPr>
          <w:fldChar w:fldCharType="begin"/>
        </w:r>
        <w:r>
          <w:rPr>
            <w:webHidden/>
          </w:rPr>
          <w:instrText xml:space="preserve"> PAGEREF _Toc162948209 \h </w:instrText>
        </w:r>
        <w:r>
          <w:rPr>
            <w:webHidden/>
          </w:rPr>
        </w:r>
        <w:r>
          <w:rPr>
            <w:webHidden/>
          </w:rPr>
          <w:fldChar w:fldCharType="separate"/>
        </w:r>
        <w:r>
          <w:rPr>
            <w:webHidden/>
          </w:rPr>
          <w:t>141</w:t>
        </w:r>
        <w:r>
          <w:rPr>
            <w:webHidden/>
          </w:rPr>
          <w:fldChar w:fldCharType="end"/>
        </w:r>
      </w:hyperlink>
    </w:p>
    <w:p w14:paraId="7E13046F" w14:textId="049AB955" w:rsidR="004A78BF" w:rsidRDefault="004A78BF">
      <w:pPr>
        <w:pStyle w:val="TOC3"/>
        <w:tabs>
          <w:tab w:val="right" w:leader="dot" w:pos="9350"/>
        </w:tabs>
        <w:rPr>
          <w:rFonts w:asciiTheme="minorHAnsi" w:eastAsiaTheme="minorEastAsia" w:hAnsiTheme="minorHAnsi" w:cstheme="minorBidi"/>
          <w:noProof/>
          <w:sz w:val="22"/>
          <w:szCs w:val="22"/>
        </w:rPr>
      </w:pPr>
      <w:hyperlink w:anchor="_Toc162948210" w:history="1">
        <w:r w:rsidRPr="004B7D85">
          <w:rPr>
            <w:rStyle w:val="Hyperlink"/>
            <w:noProof/>
          </w:rPr>
          <w:t>4.1.1. Sediment</w:t>
        </w:r>
        <w:r>
          <w:rPr>
            <w:noProof/>
            <w:webHidden/>
          </w:rPr>
          <w:tab/>
        </w:r>
        <w:r>
          <w:rPr>
            <w:noProof/>
            <w:webHidden/>
          </w:rPr>
          <w:fldChar w:fldCharType="begin"/>
        </w:r>
        <w:r>
          <w:rPr>
            <w:noProof/>
            <w:webHidden/>
          </w:rPr>
          <w:instrText xml:space="preserve"> PAGEREF _Toc162948210 \h </w:instrText>
        </w:r>
        <w:r>
          <w:rPr>
            <w:noProof/>
            <w:webHidden/>
          </w:rPr>
        </w:r>
        <w:r>
          <w:rPr>
            <w:noProof/>
            <w:webHidden/>
          </w:rPr>
          <w:fldChar w:fldCharType="separate"/>
        </w:r>
        <w:r>
          <w:rPr>
            <w:noProof/>
            <w:webHidden/>
          </w:rPr>
          <w:t>141</w:t>
        </w:r>
        <w:r>
          <w:rPr>
            <w:noProof/>
            <w:webHidden/>
          </w:rPr>
          <w:fldChar w:fldCharType="end"/>
        </w:r>
      </w:hyperlink>
    </w:p>
    <w:p w14:paraId="3A9E230A" w14:textId="7E3CB2A6" w:rsidR="004A78BF" w:rsidRDefault="004A78BF">
      <w:pPr>
        <w:pStyle w:val="TOC4"/>
        <w:tabs>
          <w:tab w:val="right" w:leader="dot" w:pos="9350"/>
        </w:tabs>
        <w:rPr>
          <w:rFonts w:asciiTheme="minorHAnsi" w:eastAsiaTheme="minorEastAsia" w:hAnsiTheme="minorHAnsi" w:cstheme="minorBidi"/>
          <w:noProof/>
          <w:sz w:val="22"/>
          <w:szCs w:val="22"/>
        </w:rPr>
      </w:pPr>
      <w:hyperlink w:anchor="_Toc162948211" w:history="1">
        <w:r w:rsidRPr="004B7D85">
          <w:rPr>
            <w:rStyle w:val="Hyperlink"/>
            <w:noProof/>
          </w:rPr>
          <w:t>4.1.1.1. Contributing Factors</w:t>
        </w:r>
        <w:r>
          <w:rPr>
            <w:noProof/>
            <w:webHidden/>
          </w:rPr>
          <w:tab/>
        </w:r>
        <w:r>
          <w:rPr>
            <w:noProof/>
            <w:webHidden/>
          </w:rPr>
          <w:fldChar w:fldCharType="begin"/>
        </w:r>
        <w:r>
          <w:rPr>
            <w:noProof/>
            <w:webHidden/>
          </w:rPr>
          <w:instrText xml:space="preserve"> PAGEREF _Toc162948211 \h </w:instrText>
        </w:r>
        <w:r>
          <w:rPr>
            <w:noProof/>
            <w:webHidden/>
          </w:rPr>
        </w:r>
        <w:r>
          <w:rPr>
            <w:noProof/>
            <w:webHidden/>
          </w:rPr>
          <w:fldChar w:fldCharType="separate"/>
        </w:r>
        <w:r>
          <w:rPr>
            <w:noProof/>
            <w:webHidden/>
          </w:rPr>
          <w:t>142</w:t>
        </w:r>
        <w:r>
          <w:rPr>
            <w:noProof/>
            <w:webHidden/>
          </w:rPr>
          <w:fldChar w:fldCharType="end"/>
        </w:r>
      </w:hyperlink>
    </w:p>
    <w:p w14:paraId="5FB31544" w14:textId="098CF71E" w:rsidR="004A78BF" w:rsidRDefault="004A78BF">
      <w:pPr>
        <w:pStyle w:val="TOC4"/>
        <w:tabs>
          <w:tab w:val="right" w:leader="dot" w:pos="9350"/>
        </w:tabs>
        <w:rPr>
          <w:rFonts w:asciiTheme="minorHAnsi" w:eastAsiaTheme="minorEastAsia" w:hAnsiTheme="minorHAnsi" w:cstheme="minorBidi"/>
          <w:noProof/>
          <w:sz w:val="22"/>
          <w:szCs w:val="22"/>
        </w:rPr>
      </w:pPr>
      <w:hyperlink w:anchor="_Toc162948212" w:history="1">
        <w:r w:rsidRPr="004B7D85">
          <w:rPr>
            <w:rStyle w:val="Hyperlink"/>
            <w:noProof/>
          </w:rPr>
          <w:t>4.1.1.2. Ameliorating Factors</w:t>
        </w:r>
        <w:r>
          <w:rPr>
            <w:noProof/>
            <w:webHidden/>
          </w:rPr>
          <w:tab/>
        </w:r>
        <w:r>
          <w:rPr>
            <w:noProof/>
            <w:webHidden/>
          </w:rPr>
          <w:fldChar w:fldCharType="begin"/>
        </w:r>
        <w:r>
          <w:rPr>
            <w:noProof/>
            <w:webHidden/>
          </w:rPr>
          <w:instrText xml:space="preserve"> PAGEREF _Toc162948212 \h </w:instrText>
        </w:r>
        <w:r>
          <w:rPr>
            <w:noProof/>
            <w:webHidden/>
          </w:rPr>
        </w:r>
        <w:r>
          <w:rPr>
            <w:noProof/>
            <w:webHidden/>
          </w:rPr>
          <w:fldChar w:fldCharType="separate"/>
        </w:r>
        <w:r>
          <w:rPr>
            <w:noProof/>
            <w:webHidden/>
          </w:rPr>
          <w:t>143</w:t>
        </w:r>
        <w:r>
          <w:rPr>
            <w:noProof/>
            <w:webHidden/>
          </w:rPr>
          <w:fldChar w:fldCharType="end"/>
        </w:r>
      </w:hyperlink>
    </w:p>
    <w:p w14:paraId="7443BB59" w14:textId="0904EAE3" w:rsidR="004A78BF" w:rsidRDefault="004A78BF">
      <w:pPr>
        <w:pStyle w:val="TOC3"/>
        <w:tabs>
          <w:tab w:val="right" w:leader="dot" w:pos="9350"/>
        </w:tabs>
        <w:rPr>
          <w:rFonts w:asciiTheme="minorHAnsi" w:eastAsiaTheme="minorEastAsia" w:hAnsiTheme="minorHAnsi" w:cstheme="minorBidi"/>
          <w:noProof/>
          <w:sz w:val="22"/>
          <w:szCs w:val="22"/>
        </w:rPr>
      </w:pPr>
      <w:hyperlink w:anchor="_Toc162948213" w:history="1">
        <w:r w:rsidRPr="004B7D85">
          <w:rPr>
            <w:rStyle w:val="Hyperlink"/>
            <w:noProof/>
          </w:rPr>
          <w:t>4.1.2. Sediment PCBs</w:t>
        </w:r>
        <w:r>
          <w:rPr>
            <w:noProof/>
            <w:webHidden/>
          </w:rPr>
          <w:tab/>
        </w:r>
        <w:r>
          <w:rPr>
            <w:noProof/>
            <w:webHidden/>
          </w:rPr>
          <w:fldChar w:fldCharType="begin"/>
        </w:r>
        <w:r>
          <w:rPr>
            <w:noProof/>
            <w:webHidden/>
          </w:rPr>
          <w:instrText xml:space="preserve"> PAGEREF _Toc162948213 \h </w:instrText>
        </w:r>
        <w:r>
          <w:rPr>
            <w:noProof/>
            <w:webHidden/>
          </w:rPr>
        </w:r>
        <w:r>
          <w:rPr>
            <w:noProof/>
            <w:webHidden/>
          </w:rPr>
          <w:fldChar w:fldCharType="separate"/>
        </w:r>
        <w:r>
          <w:rPr>
            <w:noProof/>
            <w:webHidden/>
          </w:rPr>
          <w:t>143</w:t>
        </w:r>
        <w:r>
          <w:rPr>
            <w:noProof/>
            <w:webHidden/>
          </w:rPr>
          <w:fldChar w:fldCharType="end"/>
        </w:r>
      </w:hyperlink>
    </w:p>
    <w:p w14:paraId="657749E1" w14:textId="3CD0C62E" w:rsidR="004A78BF" w:rsidRDefault="004A78BF">
      <w:pPr>
        <w:pStyle w:val="TOC3"/>
        <w:tabs>
          <w:tab w:val="right" w:leader="dot" w:pos="9350"/>
        </w:tabs>
        <w:rPr>
          <w:rFonts w:asciiTheme="minorHAnsi" w:eastAsiaTheme="minorEastAsia" w:hAnsiTheme="minorHAnsi" w:cstheme="minorBidi"/>
          <w:noProof/>
          <w:sz w:val="22"/>
          <w:szCs w:val="22"/>
        </w:rPr>
      </w:pPr>
      <w:hyperlink w:anchor="_Toc162948214" w:history="1">
        <w:r w:rsidRPr="004B7D85">
          <w:rPr>
            <w:rStyle w:val="Hyperlink"/>
            <w:noProof/>
          </w:rPr>
          <w:t>4.1.3. Niagara Dam</w:t>
        </w:r>
        <w:r>
          <w:rPr>
            <w:noProof/>
            <w:webHidden/>
          </w:rPr>
          <w:tab/>
        </w:r>
        <w:r>
          <w:rPr>
            <w:noProof/>
            <w:webHidden/>
          </w:rPr>
          <w:fldChar w:fldCharType="begin"/>
        </w:r>
        <w:r>
          <w:rPr>
            <w:noProof/>
            <w:webHidden/>
          </w:rPr>
          <w:instrText xml:space="preserve"> PAGEREF _Toc162948214 \h </w:instrText>
        </w:r>
        <w:r>
          <w:rPr>
            <w:noProof/>
            <w:webHidden/>
          </w:rPr>
        </w:r>
        <w:r>
          <w:rPr>
            <w:noProof/>
            <w:webHidden/>
          </w:rPr>
          <w:fldChar w:fldCharType="separate"/>
        </w:r>
        <w:r>
          <w:rPr>
            <w:noProof/>
            <w:webHidden/>
          </w:rPr>
          <w:t>144</w:t>
        </w:r>
        <w:r>
          <w:rPr>
            <w:noProof/>
            <w:webHidden/>
          </w:rPr>
          <w:fldChar w:fldCharType="end"/>
        </w:r>
      </w:hyperlink>
    </w:p>
    <w:p w14:paraId="2C5A2304" w14:textId="21CC8324" w:rsidR="004A78BF" w:rsidRDefault="004A78BF">
      <w:pPr>
        <w:pStyle w:val="TOC3"/>
        <w:tabs>
          <w:tab w:val="right" w:leader="dot" w:pos="9350"/>
        </w:tabs>
        <w:rPr>
          <w:rFonts w:asciiTheme="minorHAnsi" w:eastAsiaTheme="minorEastAsia" w:hAnsiTheme="minorHAnsi" w:cstheme="minorBidi"/>
          <w:noProof/>
          <w:sz w:val="22"/>
          <w:szCs w:val="22"/>
        </w:rPr>
      </w:pPr>
      <w:hyperlink w:anchor="_Toc162948215" w:history="1">
        <w:r w:rsidRPr="004B7D85">
          <w:rPr>
            <w:rStyle w:val="Hyperlink"/>
            <w:noProof/>
          </w:rPr>
          <w:t>4.1.4. Nutrients (Phosphorus and Nitrogen)</w:t>
        </w:r>
        <w:r>
          <w:rPr>
            <w:noProof/>
            <w:webHidden/>
          </w:rPr>
          <w:tab/>
        </w:r>
        <w:r>
          <w:rPr>
            <w:noProof/>
            <w:webHidden/>
          </w:rPr>
          <w:fldChar w:fldCharType="begin"/>
        </w:r>
        <w:r>
          <w:rPr>
            <w:noProof/>
            <w:webHidden/>
          </w:rPr>
          <w:instrText xml:space="preserve"> PAGEREF _Toc162948215 \h </w:instrText>
        </w:r>
        <w:r>
          <w:rPr>
            <w:noProof/>
            <w:webHidden/>
          </w:rPr>
        </w:r>
        <w:r>
          <w:rPr>
            <w:noProof/>
            <w:webHidden/>
          </w:rPr>
          <w:fldChar w:fldCharType="separate"/>
        </w:r>
        <w:r>
          <w:rPr>
            <w:noProof/>
            <w:webHidden/>
          </w:rPr>
          <w:t>145</w:t>
        </w:r>
        <w:r>
          <w:rPr>
            <w:noProof/>
            <w:webHidden/>
          </w:rPr>
          <w:fldChar w:fldCharType="end"/>
        </w:r>
      </w:hyperlink>
    </w:p>
    <w:p w14:paraId="18FE27F9" w14:textId="400CCD94" w:rsidR="004A78BF" w:rsidRDefault="004A78BF">
      <w:pPr>
        <w:pStyle w:val="TOC4"/>
        <w:tabs>
          <w:tab w:val="right" w:leader="dot" w:pos="9350"/>
        </w:tabs>
        <w:rPr>
          <w:rFonts w:asciiTheme="minorHAnsi" w:eastAsiaTheme="minorEastAsia" w:hAnsiTheme="minorHAnsi" w:cstheme="minorBidi"/>
          <w:noProof/>
          <w:sz w:val="22"/>
          <w:szCs w:val="22"/>
        </w:rPr>
      </w:pPr>
      <w:hyperlink w:anchor="_Toc162948216" w:history="1">
        <w:r w:rsidRPr="004B7D85">
          <w:rPr>
            <w:rStyle w:val="Hyperlink"/>
            <w:noProof/>
          </w:rPr>
          <w:t>4.1.4.1. Contributing Factors</w:t>
        </w:r>
        <w:r>
          <w:rPr>
            <w:noProof/>
            <w:webHidden/>
          </w:rPr>
          <w:tab/>
        </w:r>
        <w:r>
          <w:rPr>
            <w:noProof/>
            <w:webHidden/>
          </w:rPr>
          <w:fldChar w:fldCharType="begin"/>
        </w:r>
        <w:r>
          <w:rPr>
            <w:noProof/>
            <w:webHidden/>
          </w:rPr>
          <w:instrText xml:space="preserve"> PAGEREF _Toc162948216 \h </w:instrText>
        </w:r>
        <w:r>
          <w:rPr>
            <w:noProof/>
            <w:webHidden/>
          </w:rPr>
        </w:r>
        <w:r>
          <w:rPr>
            <w:noProof/>
            <w:webHidden/>
          </w:rPr>
          <w:fldChar w:fldCharType="separate"/>
        </w:r>
        <w:r>
          <w:rPr>
            <w:noProof/>
            <w:webHidden/>
          </w:rPr>
          <w:t>147</w:t>
        </w:r>
        <w:r>
          <w:rPr>
            <w:noProof/>
            <w:webHidden/>
          </w:rPr>
          <w:fldChar w:fldCharType="end"/>
        </w:r>
      </w:hyperlink>
    </w:p>
    <w:p w14:paraId="695034ED" w14:textId="4677928E" w:rsidR="004A78BF" w:rsidRDefault="004A78BF">
      <w:pPr>
        <w:pStyle w:val="TOC2"/>
        <w:rPr>
          <w:rFonts w:asciiTheme="minorHAnsi" w:eastAsiaTheme="minorEastAsia" w:hAnsiTheme="minorHAnsi" w:cstheme="minorBidi"/>
          <w:sz w:val="22"/>
          <w:szCs w:val="22"/>
        </w:rPr>
      </w:pPr>
      <w:hyperlink w:anchor="_Toc162948217" w:history="1">
        <w:r w:rsidRPr="004B7D85">
          <w:rPr>
            <w:rStyle w:val="Hyperlink"/>
          </w:rPr>
          <w:t>4.2. TMDL Targets</w:t>
        </w:r>
        <w:r>
          <w:rPr>
            <w:webHidden/>
          </w:rPr>
          <w:tab/>
        </w:r>
        <w:r>
          <w:rPr>
            <w:webHidden/>
          </w:rPr>
          <w:fldChar w:fldCharType="begin"/>
        </w:r>
        <w:r>
          <w:rPr>
            <w:webHidden/>
          </w:rPr>
          <w:instrText xml:space="preserve"> PAGEREF _Toc162948217 \h </w:instrText>
        </w:r>
        <w:r>
          <w:rPr>
            <w:webHidden/>
          </w:rPr>
        </w:r>
        <w:r>
          <w:rPr>
            <w:webHidden/>
          </w:rPr>
          <w:fldChar w:fldCharType="separate"/>
        </w:r>
        <w:r>
          <w:rPr>
            <w:webHidden/>
          </w:rPr>
          <w:t>147</w:t>
        </w:r>
        <w:r>
          <w:rPr>
            <w:webHidden/>
          </w:rPr>
          <w:fldChar w:fldCharType="end"/>
        </w:r>
      </w:hyperlink>
    </w:p>
    <w:p w14:paraId="450B4E26" w14:textId="11025C4B" w:rsidR="004A78BF" w:rsidRDefault="004A78BF">
      <w:pPr>
        <w:pStyle w:val="TOC1"/>
        <w:rPr>
          <w:rFonts w:asciiTheme="minorHAnsi" w:eastAsiaTheme="minorEastAsia" w:hAnsiTheme="minorHAnsi" w:cstheme="minorBidi"/>
          <w:caps w:val="0"/>
          <w:sz w:val="22"/>
          <w:szCs w:val="22"/>
        </w:rPr>
      </w:pPr>
      <w:hyperlink w:anchor="_Toc162948218" w:history="1">
        <w:r w:rsidRPr="004B7D85">
          <w:rPr>
            <w:rStyle w:val="Hyperlink"/>
          </w:rPr>
          <w:t>5.0 References</w:t>
        </w:r>
        <w:r>
          <w:rPr>
            <w:webHidden/>
          </w:rPr>
          <w:tab/>
        </w:r>
        <w:r>
          <w:rPr>
            <w:webHidden/>
          </w:rPr>
          <w:fldChar w:fldCharType="begin"/>
        </w:r>
        <w:r>
          <w:rPr>
            <w:webHidden/>
          </w:rPr>
          <w:instrText xml:space="preserve"> PAGEREF _Toc162948218 \h </w:instrText>
        </w:r>
        <w:r>
          <w:rPr>
            <w:webHidden/>
          </w:rPr>
        </w:r>
        <w:r>
          <w:rPr>
            <w:webHidden/>
          </w:rPr>
          <w:fldChar w:fldCharType="separate"/>
        </w:r>
        <w:r>
          <w:rPr>
            <w:webHidden/>
          </w:rPr>
          <w:t>152</w:t>
        </w:r>
        <w:r>
          <w:rPr>
            <w:webHidden/>
          </w:rPr>
          <w:fldChar w:fldCharType="end"/>
        </w:r>
      </w:hyperlink>
    </w:p>
    <w:p w14:paraId="32C55469" w14:textId="5579C870" w:rsidR="00B37FEF" w:rsidRPr="007129D1" w:rsidRDefault="00421E5C" w:rsidP="00C046E1">
      <w:pPr>
        <w:rPr>
          <w:noProof/>
        </w:rPr>
      </w:pPr>
      <w:r w:rsidRPr="007129D1">
        <w:rPr>
          <w:rFonts w:eastAsiaTheme="majorEastAsia" w:cstheme="majorBidi"/>
          <w:noProof/>
          <w:szCs w:val="32"/>
        </w:rPr>
        <w:fldChar w:fldCharType="end"/>
      </w:r>
    </w:p>
    <w:p w14:paraId="1C14A0B2" w14:textId="2D6BA0F4" w:rsidR="00677B8D" w:rsidRPr="007129D1" w:rsidRDefault="00677B8D" w:rsidP="00C046E1">
      <w:pPr>
        <w:rPr>
          <w:b/>
          <w:u w:val="single"/>
        </w:rPr>
      </w:pPr>
      <w:r w:rsidRPr="007129D1">
        <w:rPr>
          <w:b/>
          <w:u w:val="single"/>
        </w:rPr>
        <w:t>Figures</w:t>
      </w:r>
    </w:p>
    <w:p w14:paraId="7B9CEC0B" w14:textId="539EC4DE" w:rsidR="004A78BF" w:rsidRDefault="005771B7">
      <w:pPr>
        <w:pStyle w:val="TableofFigures"/>
        <w:tabs>
          <w:tab w:val="right" w:leader="dot" w:pos="9350"/>
        </w:tabs>
        <w:rPr>
          <w:rFonts w:asciiTheme="minorHAnsi" w:eastAsiaTheme="minorEastAsia" w:hAnsiTheme="minorHAnsi" w:cstheme="minorBidi"/>
          <w:noProof/>
          <w:sz w:val="22"/>
          <w:szCs w:val="22"/>
        </w:rPr>
      </w:pPr>
      <w:r w:rsidRPr="007129D1">
        <w:fldChar w:fldCharType="begin"/>
      </w:r>
      <w:r w:rsidRPr="007129D1">
        <w:instrText xml:space="preserve"> TOC \h \z \c "Figure" </w:instrText>
      </w:r>
      <w:r w:rsidRPr="007129D1">
        <w:fldChar w:fldCharType="separate"/>
      </w:r>
      <w:hyperlink w:anchor="_Toc162948219" w:history="1">
        <w:r w:rsidR="004A78BF" w:rsidRPr="00435000">
          <w:rPr>
            <w:rStyle w:val="Hyperlink"/>
            <w:noProof/>
          </w:rPr>
          <w:t>Figure 1. Location of benthic impairments in the Roanoke River Project.</w:t>
        </w:r>
        <w:r w:rsidR="004A78BF">
          <w:rPr>
            <w:noProof/>
            <w:webHidden/>
          </w:rPr>
          <w:tab/>
        </w:r>
        <w:r w:rsidR="004A78BF">
          <w:rPr>
            <w:noProof/>
            <w:webHidden/>
          </w:rPr>
          <w:fldChar w:fldCharType="begin"/>
        </w:r>
        <w:r w:rsidR="004A78BF">
          <w:rPr>
            <w:noProof/>
            <w:webHidden/>
          </w:rPr>
          <w:instrText xml:space="preserve"> PAGEREF _Toc162948219 \h </w:instrText>
        </w:r>
        <w:r w:rsidR="004A78BF">
          <w:rPr>
            <w:noProof/>
            <w:webHidden/>
          </w:rPr>
        </w:r>
        <w:r w:rsidR="004A78BF">
          <w:rPr>
            <w:noProof/>
            <w:webHidden/>
          </w:rPr>
          <w:fldChar w:fldCharType="separate"/>
        </w:r>
        <w:r w:rsidR="004A78BF">
          <w:rPr>
            <w:noProof/>
            <w:webHidden/>
          </w:rPr>
          <w:t>13</w:t>
        </w:r>
        <w:r w:rsidR="004A78BF">
          <w:rPr>
            <w:noProof/>
            <w:webHidden/>
          </w:rPr>
          <w:fldChar w:fldCharType="end"/>
        </w:r>
      </w:hyperlink>
    </w:p>
    <w:p w14:paraId="4E18590E" w14:textId="65A1D29B"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20" w:history="1">
        <w:r w:rsidRPr="00435000">
          <w:rPr>
            <w:rStyle w:val="Hyperlink"/>
            <w:noProof/>
          </w:rPr>
          <w:t>Figure 2. Stressor identification analysis process.</w:t>
        </w:r>
        <w:r>
          <w:rPr>
            <w:noProof/>
            <w:webHidden/>
          </w:rPr>
          <w:tab/>
        </w:r>
        <w:r>
          <w:rPr>
            <w:noProof/>
            <w:webHidden/>
          </w:rPr>
          <w:fldChar w:fldCharType="begin"/>
        </w:r>
        <w:r>
          <w:rPr>
            <w:noProof/>
            <w:webHidden/>
          </w:rPr>
          <w:instrText xml:space="preserve"> PAGEREF _Toc162948220 \h </w:instrText>
        </w:r>
        <w:r>
          <w:rPr>
            <w:noProof/>
            <w:webHidden/>
          </w:rPr>
        </w:r>
        <w:r>
          <w:rPr>
            <w:noProof/>
            <w:webHidden/>
          </w:rPr>
          <w:fldChar w:fldCharType="separate"/>
        </w:r>
        <w:r>
          <w:rPr>
            <w:noProof/>
            <w:webHidden/>
          </w:rPr>
          <w:t>14</w:t>
        </w:r>
        <w:r>
          <w:rPr>
            <w:noProof/>
            <w:webHidden/>
          </w:rPr>
          <w:fldChar w:fldCharType="end"/>
        </w:r>
      </w:hyperlink>
    </w:p>
    <w:p w14:paraId="171D600E" w14:textId="7F78DBAA"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21" w:history="1">
        <w:r w:rsidRPr="00435000">
          <w:rPr>
            <w:rStyle w:val="Hyperlink"/>
            <w:noProof/>
          </w:rPr>
          <w:t>Figure 3. Primary benthic stations in the Roanoke River Project.</w:t>
        </w:r>
        <w:r>
          <w:rPr>
            <w:noProof/>
            <w:webHidden/>
          </w:rPr>
          <w:tab/>
        </w:r>
        <w:r>
          <w:rPr>
            <w:noProof/>
            <w:webHidden/>
          </w:rPr>
          <w:fldChar w:fldCharType="begin"/>
        </w:r>
        <w:r>
          <w:rPr>
            <w:noProof/>
            <w:webHidden/>
          </w:rPr>
          <w:instrText xml:space="preserve"> PAGEREF _Toc162948221 \h </w:instrText>
        </w:r>
        <w:r>
          <w:rPr>
            <w:noProof/>
            <w:webHidden/>
          </w:rPr>
        </w:r>
        <w:r>
          <w:rPr>
            <w:noProof/>
            <w:webHidden/>
          </w:rPr>
          <w:fldChar w:fldCharType="separate"/>
        </w:r>
        <w:r>
          <w:rPr>
            <w:noProof/>
            <w:webHidden/>
          </w:rPr>
          <w:t>18</w:t>
        </w:r>
        <w:r>
          <w:rPr>
            <w:noProof/>
            <w:webHidden/>
          </w:rPr>
          <w:fldChar w:fldCharType="end"/>
        </w:r>
      </w:hyperlink>
    </w:p>
    <w:p w14:paraId="5CFAB720" w14:textId="3174808B"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22" w:history="1">
        <w:r w:rsidRPr="00435000">
          <w:rPr>
            <w:rStyle w:val="Hyperlink"/>
            <w:noProof/>
          </w:rPr>
          <w:t>Figure 4. Benthic scores at monitoring stations within the Roanoke River Project area.</w:t>
        </w:r>
        <w:r>
          <w:rPr>
            <w:noProof/>
            <w:webHidden/>
          </w:rPr>
          <w:tab/>
        </w:r>
        <w:r>
          <w:rPr>
            <w:noProof/>
            <w:webHidden/>
          </w:rPr>
          <w:fldChar w:fldCharType="begin"/>
        </w:r>
        <w:r>
          <w:rPr>
            <w:noProof/>
            <w:webHidden/>
          </w:rPr>
          <w:instrText xml:space="preserve"> PAGEREF _Toc162948222 \h </w:instrText>
        </w:r>
        <w:r>
          <w:rPr>
            <w:noProof/>
            <w:webHidden/>
          </w:rPr>
        </w:r>
        <w:r>
          <w:rPr>
            <w:noProof/>
            <w:webHidden/>
          </w:rPr>
          <w:fldChar w:fldCharType="separate"/>
        </w:r>
        <w:r>
          <w:rPr>
            <w:noProof/>
            <w:webHidden/>
          </w:rPr>
          <w:t>22</w:t>
        </w:r>
        <w:r>
          <w:rPr>
            <w:noProof/>
            <w:webHidden/>
          </w:rPr>
          <w:fldChar w:fldCharType="end"/>
        </w:r>
      </w:hyperlink>
    </w:p>
    <w:p w14:paraId="19502FC1" w14:textId="24CC51BE"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23" w:history="1">
        <w:r w:rsidRPr="00435000">
          <w:rPr>
            <w:rStyle w:val="Hyperlink"/>
            <w:noProof/>
          </w:rPr>
          <w:t>Figure 5. Benthic SCI scores along the length of Tinker Creek and the Roanoke River.</w:t>
        </w:r>
        <w:r>
          <w:rPr>
            <w:noProof/>
            <w:webHidden/>
          </w:rPr>
          <w:tab/>
        </w:r>
        <w:r>
          <w:rPr>
            <w:noProof/>
            <w:webHidden/>
          </w:rPr>
          <w:fldChar w:fldCharType="begin"/>
        </w:r>
        <w:r>
          <w:rPr>
            <w:noProof/>
            <w:webHidden/>
          </w:rPr>
          <w:instrText xml:space="preserve"> PAGEREF _Toc162948223 \h </w:instrText>
        </w:r>
        <w:r>
          <w:rPr>
            <w:noProof/>
            <w:webHidden/>
          </w:rPr>
        </w:r>
        <w:r>
          <w:rPr>
            <w:noProof/>
            <w:webHidden/>
          </w:rPr>
          <w:fldChar w:fldCharType="separate"/>
        </w:r>
        <w:r>
          <w:rPr>
            <w:noProof/>
            <w:webHidden/>
          </w:rPr>
          <w:t>23</w:t>
        </w:r>
        <w:r>
          <w:rPr>
            <w:noProof/>
            <w:webHidden/>
          </w:rPr>
          <w:fldChar w:fldCharType="end"/>
        </w:r>
      </w:hyperlink>
    </w:p>
    <w:p w14:paraId="3444AC85" w14:textId="566C1C35"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24" w:history="1">
        <w:r w:rsidRPr="00435000">
          <w:rPr>
            <w:rStyle w:val="Hyperlink"/>
            <w:noProof/>
          </w:rPr>
          <w:t>Figure 6. Temporal trends in benthic data for Roanoke River Project streams.</w:t>
        </w:r>
        <w:r>
          <w:rPr>
            <w:noProof/>
            <w:webHidden/>
          </w:rPr>
          <w:tab/>
        </w:r>
        <w:r>
          <w:rPr>
            <w:noProof/>
            <w:webHidden/>
          </w:rPr>
          <w:fldChar w:fldCharType="begin"/>
        </w:r>
        <w:r>
          <w:rPr>
            <w:noProof/>
            <w:webHidden/>
          </w:rPr>
          <w:instrText xml:space="preserve"> PAGEREF _Toc162948224 \h </w:instrText>
        </w:r>
        <w:r>
          <w:rPr>
            <w:noProof/>
            <w:webHidden/>
          </w:rPr>
        </w:r>
        <w:r>
          <w:rPr>
            <w:noProof/>
            <w:webHidden/>
          </w:rPr>
          <w:fldChar w:fldCharType="separate"/>
        </w:r>
        <w:r>
          <w:rPr>
            <w:noProof/>
            <w:webHidden/>
          </w:rPr>
          <w:t>25</w:t>
        </w:r>
        <w:r>
          <w:rPr>
            <w:noProof/>
            <w:webHidden/>
          </w:rPr>
          <w:fldChar w:fldCharType="end"/>
        </w:r>
      </w:hyperlink>
    </w:p>
    <w:p w14:paraId="499B4701" w14:textId="77257535"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25" w:history="1">
        <w:r w:rsidRPr="00435000">
          <w:rPr>
            <w:rStyle w:val="Hyperlink"/>
            <w:noProof/>
          </w:rPr>
          <w:t>Figure 7. Seasonal trends in benthic data for Roanoke River Project streams. “D” indicates that there was a statistically significant difference (alpha = 0.05) between seasons.</w:t>
        </w:r>
        <w:r>
          <w:rPr>
            <w:noProof/>
            <w:webHidden/>
          </w:rPr>
          <w:tab/>
        </w:r>
        <w:r>
          <w:rPr>
            <w:noProof/>
            <w:webHidden/>
          </w:rPr>
          <w:fldChar w:fldCharType="begin"/>
        </w:r>
        <w:r>
          <w:rPr>
            <w:noProof/>
            <w:webHidden/>
          </w:rPr>
          <w:instrText xml:space="preserve"> PAGEREF _Toc162948225 \h </w:instrText>
        </w:r>
        <w:r>
          <w:rPr>
            <w:noProof/>
            <w:webHidden/>
          </w:rPr>
        </w:r>
        <w:r>
          <w:rPr>
            <w:noProof/>
            <w:webHidden/>
          </w:rPr>
          <w:fldChar w:fldCharType="separate"/>
        </w:r>
        <w:r>
          <w:rPr>
            <w:noProof/>
            <w:webHidden/>
          </w:rPr>
          <w:t>26</w:t>
        </w:r>
        <w:r>
          <w:rPr>
            <w:noProof/>
            <w:webHidden/>
          </w:rPr>
          <w:fldChar w:fldCharType="end"/>
        </w:r>
      </w:hyperlink>
    </w:p>
    <w:p w14:paraId="64FFBF49" w14:textId="5BB0F6D3"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26" w:history="1">
        <w:r w:rsidRPr="00435000">
          <w:rPr>
            <w:rStyle w:val="Hyperlink"/>
            <w:noProof/>
          </w:rPr>
          <w:t>Figure 8. Seasonal trends in benthic data at unimpaired Roanoke River stations. “D” indicates that there was a statistically significant difference (alpha = 0.05) between seasons.</w:t>
        </w:r>
        <w:r>
          <w:rPr>
            <w:noProof/>
            <w:webHidden/>
          </w:rPr>
          <w:tab/>
        </w:r>
        <w:r>
          <w:rPr>
            <w:noProof/>
            <w:webHidden/>
          </w:rPr>
          <w:fldChar w:fldCharType="begin"/>
        </w:r>
        <w:r>
          <w:rPr>
            <w:noProof/>
            <w:webHidden/>
          </w:rPr>
          <w:instrText xml:space="preserve"> PAGEREF _Toc162948226 \h </w:instrText>
        </w:r>
        <w:r>
          <w:rPr>
            <w:noProof/>
            <w:webHidden/>
          </w:rPr>
        </w:r>
        <w:r>
          <w:rPr>
            <w:noProof/>
            <w:webHidden/>
          </w:rPr>
          <w:fldChar w:fldCharType="separate"/>
        </w:r>
        <w:r>
          <w:rPr>
            <w:noProof/>
            <w:webHidden/>
          </w:rPr>
          <w:t>28</w:t>
        </w:r>
        <w:r>
          <w:rPr>
            <w:noProof/>
            <w:webHidden/>
          </w:rPr>
          <w:fldChar w:fldCharType="end"/>
        </w:r>
      </w:hyperlink>
    </w:p>
    <w:p w14:paraId="425A5020" w14:textId="0A6226DB"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27" w:history="1">
        <w:r w:rsidRPr="00435000">
          <w:rPr>
            <w:rStyle w:val="Hyperlink"/>
            <w:noProof/>
          </w:rPr>
          <w:t>Figure 9. Relationship between spring SCI scores at impaired Roanoke River stations and river flow volume for 90 days prior to benthic sampling. Dotted trend lines are not statistically significant, and solid trend lines are statistically significant at the alpha = 0.05 level.</w:t>
        </w:r>
        <w:r>
          <w:rPr>
            <w:noProof/>
            <w:webHidden/>
          </w:rPr>
          <w:tab/>
        </w:r>
        <w:r>
          <w:rPr>
            <w:noProof/>
            <w:webHidden/>
          </w:rPr>
          <w:fldChar w:fldCharType="begin"/>
        </w:r>
        <w:r>
          <w:rPr>
            <w:noProof/>
            <w:webHidden/>
          </w:rPr>
          <w:instrText xml:space="preserve"> PAGEREF _Toc162948227 \h </w:instrText>
        </w:r>
        <w:r>
          <w:rPr>
            <w:noProof/>
            <w:webHidden/>
          </w:rPr>
        </w:r>
        <w:r>
          <w:rPr>
            <w:noProof/>
            <w:webHidden/>
          </w:rPr>
          <w:fldChar w:fldCharType="separate"/>
        </w:r>
        <w:r>
          <w:rPr>
            <w:noProof/>
            <w:webHidden/>
          </w:rPr>
          <w:t>28</w:t>
        </w:r>
        <w:r>
          <w:rPr>
            <w:noProof/>
            <w:webHidden/>
          </w:rPr>
          <w:fldChar w:fldCharType="end"/>
        </w:r>
      </w:hyperlink>
    </w:p>
    <w:p w14:paraId="1DC0B817" w14:textId="1CE1CCD6"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28" w:history="1">
        <w:r w:rsidRPr="00435000">
          <w:rPr>
            <w:rStyle w:val="Hyperlink"/>
            <w:noProof/>
          </w:rPr>
          <w:t>Figure 10. Individual metric scores comprising the stream condition index (SCI) in Roanoke River Project streams. “D” indicates that the metric was significantly lower (alpha = 0.05) than the benthic reference. The benthic reference was 4AROA212.17 for the Roanoke River and 4ATKR014.16 for Wolf Creek and Tinker Creek.</w:t>
        </w:r>
        <w:r>
          <w:rPr>
            <w:noProof/>
            <w:webHidden/>
          </w:rPr>
          <w:tab/>
        </w:r>
        <w:r>
          <w:rPr>
            <w:noProof/>
            <w:webHidden/>
          </w:rPr>
          <w:fldChar w:fldCharType="begin"/>
        </w:r>
        <w:r>
          <w:rPr>
            <w:noProof/>
            <w:webHidden/>
          </w:rPr>
          <w:instrText xml:space="preserve"> PAGEREF _Toc162948228 \h </w:instrText>
        </w:r>
        <w:r>
          <w:rPr>
            <w:noProof/>
            <w:webHidden/>
          </w:rPr>
        </w:r>
        <w:r>
          <w:rPr>
            <w:noProof/>
            <w:webHidden/>
          </w:rPr>
          <w:fldChar w:fldCharType="separate"/>
        </w:r>
        <w:r>
          <w:rPr>
            <w:noProof/>
            <w:webHidden/>
          </w:rPr>
          <w:t>32</w:t>
        </w:r>
        <w:r>
          <w:rPr>
            <w:noProof/>
            <w:webHidden/>
          </w:rPr>
          <w:fldChar w:fldCharType="end"/>
        </w:r>
      </w:hyperlink>
    </w:p>
    <w:p w14:paraId="05630361" w14:textId="49510829"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29" w:history="1">
        <w:r w:rsidRPr="00435000">
          <w:rPr>
            <w:rStyle w:val="Hyperlink"/>
            <w:noProof/>
          </w:rPr>
          <w:t>Figure 11. Taxonomic composition of Wolf Creek and Tinker Creek impaired stations compared to a reference (4ATKR014.16).</w:t>
        </w:r>
        <w:r>
          <w:rPr>
            <w:noProof/>
            <w:webHidden/>
          </w:rPr>
          <w:tab/>
        </w:r>
        <w:r>
          <w:rPr>
            <w:noProof/>
            <w:webHidden/>
          </w:rPr>
          <w:fldChar w:fldCharType="begin"/>
        </w:r>
        <w:r>
          <w:rPr>
            <w:noProof/>
            <w:webHidden/>
          </w:rPr>
          <w:instrText xml:space="preserve"> PAGEREF _Toc162948229 \h </w:instrText>
        </w:r>
        <w:r>
          <w:rPr>
            <w:noProof/>
            <w:webHidden/>
          </w:rPr>
        </w:r>
        <w:r>
          <w:rPr>
            <w:noProof/>
            <w:webHidden/>
          </w:rPr>
          <w:fldChar w:fldCharType="separate"/>
        </w:r>
        <w:r>
          <w:rPr>
            <w:noProof/>
            <w:webHidden/>
          </w:rPr>
          <w:t>35</w:t>
        </w:r>
        <w:r>
          <w:rPr>
            <w:noProof/>
            <w:webHidden/>
          </w:rPr>
          <w:fldChar w:fldCharType="end"/>
        </w:r>
      </w:hyperlink>
    </w:p>
    <w:p w14:paraId="42855C7B" w14:textId="5B90DFC6"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30" w:history="1">
        <w:r w:rsidRPr="00435000">
          <w:rPr>
            <w:rStyle w:val="Hyperlink"/>
            <w:noProof/>
          </w:rPr>
          <w:t>Figure 12. Taxonomic composition of Roanoke River impaired stations compared to a reference (4AROA212.17).</w:t>
        </w:r>
        <w:r>
          <w:rPr>
            <w:noProof/>
            <w:webHidden/>
          </w:rPr>
          <w:tab/>
        </w:r>
        <w:r>
          <w:rPr>
            <w:noProof/>
            <w:webHidden/>
          </w:rPr>
          <w:fldChar w:fldCharType="begin"/>
        </w:r>
        <w:r>
          <w:rPr>
            <w:noProof/>
            <w:webHidden/>
          </w:rPr>
          <w:instrText xml:space="preserve"> PAGEREF _Toc162948230 \h </w:instrText>
        </w:r>
        <w:r>
          <w:rPr>
            <w:noProof/>
            <w:webHidden/>
          </w:rPr>
        </w:r>
        <w:r>
          <w:rPr>
            <w:noProof/>
            <w:webHidden/>
          </w:rPr>
          <w:fldChar w:fldCharType="separate"/>
        </w:r>
        <w:r>
          <w:rPr>
            <w:noProof/>
            <w:webHidden/>
          </w:rPr>
          <w:t>36</w:t>
        </w:r>
        <w:r>
          <w:rPr>
            <w:noProof/>
            <w:webHidden/>
          </w:rPr>
          <w:fldChar w:fldCharType="end"/>
        </w:r>
      </w:hyperlink>
    </w:p>
    <w:p w14:paraId="1139B606" w14:textId="38510615"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31" w:history="1">
        <w:r w:rsidRPr="00435000">
          <w:rPr>
            <w:rStyle w:val="Hyperlink"/>
            <w:noProof/>
          </w:rPr>
          <w:t>Figure 13. Functional feeding group composition in Roanoke River Project streams compared to a reference. The benthic reference was 4AROA212.17 for the Roanoke River and 4ATKR014.16 for Wolf Creek and Tinker Creek.</w:t>
        </w:r>
        <w:r>
          <w:rPr>
            <w:noProof/>
            <w:webHidden/>
          </w:rPr>
          <w:tab/>
        </w:r>
        <w:r>
          <w:rPr>
            <w:noProof/>
            <w:webHidden/>
          </w:rPr>
          <w:fldChar w:fldCharType="begin"/>
        </w:r>
        <w:r>
          <w:rPr>
            <w:noProof/>
            <w:webHidden/>
          </w:rPr>
          <w:instrText xml:space="preserve"> PAGEREF _Toc162948231 \h </w:instrText>
        </w:r>
        <w:r>
          <w:rPr>
            <w:noProof/>
            <w:webHidden/>
          </w:rPr>
        </w:r>
        <w:r>
          <w:rPr>
            <w:noProof/>
            <w:webHidden/>
          </w:rPr>
          <w:fldChar w:fldCharType="separate"/>
        </w:r>
        <w:r>
          <w:rPr>
            <w:noProof/>
            <w:webHidden/>
          </w:rPr>
          <w:t>40</w:t>
        </w:r>
        <w:r>
          <w:rPr>
            <w:noProof/>
            <w:webHidden/>
          </w:rPr>
          <w:fldChar w:fldCharType="end"/>
        </w:r>
      </w:hyperlink>
    </w:p>
    <w:p w14:paraId="6E08C7C3" w14:textId="4C36EE41"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32" w:history="1">
        <w:r w:rsidRPr="00435000">
          <w:rPr>
            <w:rStyle w:val="Hyperlink"/>
            <w:noProof/>
          </w:rPr>
          <w:t>Figure 14. Total habitat scores for Roanoke River Project streams compared to a reference. Streams with a "D" have statistically lower (alpha = 0.05) habitat scores than the reference site. Colors represent the probability that data within that range would be responsible for causing stress. The benthic reference was 4AROA212.17 for the Roanoke River and 4ATKR014.16 for Wolf Creek and Tinker Creek.</w:t>
        </w:r>
        <w:r>
          <w:rPr>
            <w:noProof/>
            <w:webHidden/>
          </w:rPr>
          <w:tab/>
        </w:r>
        <w:r>
          <w:rPr>
            <w:noProof/>
            <w:webHidden/>
          </w:rPr>
          <w:fldChar w:fldCharType="begin"/>
        </w:r>
        <w:r>
          <w:rPr>
            <w:noProof/>
            <w:webHidden/>
          </w:rPr>
          <w:instrText xml:space="preserve"> PAGEREF _Toc162948232 \h </w:instrText>
        </w:r>
        <w:r>
          <w:rPr>
            <w:noProof/>
            <w:webHidden/>
          </w:rPr>
        </w:r>
        <w:r>
          <w:rPr>
            <w:noProof/>
            <w:webHidden/>
          </w:rPr>
          <w:fldChar w:fldCharType="separate"/>
        </w:r>
        <w:r>
          <w:rPr>
            <w:noProof/>
            <w:webHidden/>
          </w:rPr>
          <w:t>42</w:t>
        </w:r>
        <w:r>
          <w:rPr>
            <w:noProof/>
            <w:webHidden/>
          </w:rPr>
          <w:fldChar w:fldCharType="end"/>
        </w:r>
      </w:hyperlink>
    </w:p>
    <w:p w14:paraId="61E47DE5" w14:textId="799647A9"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33" w:history="1">
        <w:r w:rsidRPr="00435000">
          <w:rPr>
            <w:rStyle w:val="Hyperlink"/>
            <w:noProof/>
          </w:rPr>
          <w:t>Figure 15. Habitat metric scores for Roanoke River Project streams compared to a reference. Metrics with a "D" are statistically lower than the reference site. The benthic reference was 4AROA212.17 for the Roanoke River and 4ATKR014.16 for Wolf Creek and Tinker Creek.</w:t>
        </w:r>
        <w:r>
          <w:rPr>
            <w:noProof/>
            <w:webHidden/>
          </w:rPr>
          <w:tab/>
        </w:r>
        <w:r>
          <w:rPr>
            <w:noProof/>
            <w:webHidden/>
          </w:rPr>
          <w:fldChar w:fldCharType="begin"/>
        </w:r>
        <w:r>
          <w:rPr>
            <w:noProof/>
            <w:webHidden/>
          </w:rPr>
          <w:instrText xml:space="preserve"> PAGEREF _Toc162948233 \h </w:instrText>
        </w:r>
        <w:r>
          <w:rPr>
            <w:noProof/>
            <w:webHidden/>
          </w:rPr>
        </w:r>
        <w:r>
          <w:rPr>
            <w:noProof/>
            <w:webHidden/>
          </w:rPr>
          <w:fldChar w:fldCharType="separate"/>
        </w:r>
        <w:r>
          <w:rPr>
            <w:noProof/>
            <w:webHidden/>
          </w:rPr>
          <w:t>44</w:t>
        </w:r>
        <w:r>
          <w:rPr>
            <w:noProof/>
            <w:webHidden/>
          </w:rPr>
          <w:fldChar w:fldCharType="end"/>
        </w:r>
      </w:hyperlink>
    </w:p>
    <w:p w14:paraId="15BEB65A" w14:textId="2DC92D5E"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34" w:history="1">
        <w:r w:rsidRPr="00435000">
          <w:rPr>
            <w:rStyle w:val="Hyperlink"/>
            <w:noProof/>
          </w:rPr>
          <w:t>Figure 16. Temperature in Roanoke River Project streams. Boxes represent the inter-quartile range, whiskers represent minimum and maximum values excluding outliers, lines represent the median, and the X represents the mean. The "D" indicates a statistically significant difference from the reference station. The solid red line represents the Virginia water quality standard for the mountainous zone, and the dashed red line represents the special standard for stocked trout in Tinker Creek.</w:t>
        </w:r>
        <w:r>
          <w:rPr>
            <w:noProof/>
            <w:webHidden/>
          </w:rPr>
          <w:tab/>
        </w:r>
        <w:r>
          <w:rPr>
            <w:noProof/>
            <w:webHidden/>
          </w:rPr>
          <w:fldChar w:fldCharType="begin"/>
        </w:r>
        <w:r>
          <w:rPr>
            <w:noProof/>
            <w:webHidden/>
          </w:rPr>
          <w:instrText xml:space="preserve"> PAGEREF _Toc162948234 \h </w:instrText>
        </w:r>
        <w:r>
          <w:rPr>
            <w:noProof/>
            <w:webHidden/>
          </w:rPr>
        </w:r>
        <w:r>
          <w:rPr>
            <w:noProof/>
            <w:webHidden/>
          </w:rPr>
          <w:fldChar w:fldCharType="separate"/>
        </w:r>
        <w:r>
          <w:rPr>
            <w:noProof/>
            <w:webHidden/>
          </w:rPr>
          <w:t>51</w:t>
        </w:r>
        <w:r>
          <w:rPr>
            <w:noProof/>
            <w:webHidden/>
          </w:rPr>
          <w:fldChar w:fldCharType="end"/>
        </w:r>
      </w:hyperlink>
    </w:p>
    <w:p w14:paraId="50664D59" w14:textId="219F935F"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35" w:history="1">
        <w:r w:rsidRPr="00435000">
          <w:rPr>
            <w:rStyle w:val="Hyperlink"/>
            <w:noProof/>
          </w:rPr>
          <w:t>Figure 17. Temperature over time in Roanoke River Project streams. The red line represents the relevant Virginia water quality standard.</w:t>
        </w:r>
        <w:r>
          <w:rPr>
            <w:noProof/>
            <w:webHidden/>
          </w:rPr>
          <w:tab/>
        </w:r>
        <w:r>
          <w:rPr>
            <w:noProof/>
            <w:webHidden/>
          </w:rPr>
          <w:fldChar w:fldCharType="begin"/>
        </w:r>
        <w:r>
          <w:rPr>
            <w:noProof/>
            <w:webHidden/>
          </w:rPr>
          <w:instrText xml:space="preserve"> PAGEREF _Toc162948235 \h </w:instrText>
        </w:r>
        <w:r>
          <w:rPr>
            <w:noProof/>
            <w:webHidden/>
          </w:rPr>
        </w:r>
        <w:r>
          <w:rPr>
            <w:noProof/>
            <w:webHidden/>
          </w:rPr>
          <w:fldChar w:fldCharType="separate"/>
        </w:r>
        <w:r>
          <w:rPr>
            <w:noProof/>
            <w:webHidden/>
          </w:rPr>
          <w:t>52</w:t>
        </w:r>
        <w:r>
          <w:rPr>
            <w:noProof/>
            <w:webHidden/>
          </w:rPr>
          <w:fldChar w:fldCharType="end"/>
        </w:r>
      </w:hyperlink>
    </w:p>
    <w:p w14:paraId="7FB22113" w14:textId="5C8E45C7"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36" w:history="1">
        <w:r w:rsidRPr="00435000">
          <w:rPr>
            <w:rStyle w:val="Hyperlink"/>
            <w:noProof/>
          </w:rPr>
          <w:t>Figure 18. Continuous temperature monitoring by the USGS in Tinker Creek and the Roanoke River. The red line represents the relevant Virginia water quality standard.</w:t>
        </w:r>
        <w:r>
          <w:rPr>
            <w:noProof/>
            <w:webHidden/>
          </w:rPr>
          <w:tab/>
        </w:r>
        <w:r>
          <w:rPr>
            <w:noProof/>
            <w:webHidden/>
          </w:rPr>
          <w:fldChar w:fldCharType="begin"/>
        </w:r>
        <w:r>
          <w:rPr>
            <w:noProof/>
            <w:webHidden/>
          </w:rPr>
          <w:instrText xml:space="preserve"> PAGEREF _Toc162948236 \h </w:instrText>
        </w:r>
        <w:r>
          <w:rPr>
            <w:noProof/>
            <w:webHidden/>
          </w:rPr>
        </w:r>
        <w:r>
          <w:rPr>
            <w:noProof/>
            <w:webHidden/>
          </w:rPr>
          <w:fldChar w:fldCharType="separate"/>
        </w:r>
        <w:r>
          <w:rPr>
            <w:noProof/>
            <w:webHidden/>
          </w:rPr>
          <w:t>53</w:t>
        </w:r>
        <w:r>
          <w:rPr>
            <w:noProof/>
            <w:webHidden/>
          </w:rPr>
          <w:fldChar w:fldCharType="end"/>
        </w:r>
      </w:hyperlink>
    </w:p>
    <w:p w14:paraId="6FABDC9F" w14:textId="1E2A925B"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37" w:history="1">
        <w:r w:rsidRPr="00435000">
          <w:rPr>
            <w:rStyle w:val="Hyperlink"/>
            <w:noProof/>
          </w:rPr>
          <w:t>Figure 19. pH in Roanoke River Project streams. Boxes represent the inter-quartile range, whiskers represent minimum and maximum values excluding outliers, lines represent the median, and the X represents the mean. Dots represent outliers that are greater than 1.5 times the inter-quartile range away from the mean. The "D" indicates a statistically significant difference from the reference station. The red line represents the Virginia water quality standard. Colors represent the probability that data within that range would be responsible for causing stress.</w:t>
        </w:r>
        <w:r>
          <w:rPr>
            <w:noProof/>
            <w:webHidden/>
          </w:rPr>
          <w:tab/>
        </w:r>
        <w:r>
          <w:rPr>
            <w:noProof/>
            <w:webHidden/>
          </w:rPr>
          <w:fldChar w:fldCharType="begin"/>
        </w:r>
        <w:r>
          <w:rPr>
            <w:noProof/>
            <w:webHidden/>
          </w:rPr>
          <w:instrText xml:space="preserve"> PAGEREF _Toc162948237 \h </w:instrText>
        </w:r>
        <w:r>
          <w:rPr>
            <w:noProof/>
            <w:webHidden/>
          </w:rPr>
        </w:r>
        <w:r>
          <w:rPr>
            <w:noProof/>
            <w:webHidden/>
          </w:rPr>
          <w:fldChar w:fldCharType="separate"/>
        </w:r>
        <w:r>
          <w:rPr>
            <w:noProof/>
            <w:webHidden/>
          </w:rPr>
          <w:t>55</w:t>
        </w:r>
        <w:r>
          <w:rPr>
            <w:noProof/>
            <w:webHidden/>
          </w:rPr>
          <w:fldChar w:fldCharType="end"/>
        </w:r>
      </w:hyperlink>
    </w:p>
    <w:p w14:paraId="2F3BB061" w14:textId="51120ED0"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38" w:history="1">
        <w:r w:rsidRPr="00435000">
          <w:rPr>
            <w:rStyle w:val="Hyperlink"/>
            <w:noProof/>
          </w:rPr>
          <w:t>Figure 20. pH over time in Roanoke River Project streams. The red line represents the relevant Virginia water quality standard. Colors represent the probability that data within that range would be responsible for causing stress.</w:t>
        </w:r>
        <w:r>
          <w:rPr>
            <w:noProof/>
            <w:webHidden/>
          </w:rPr>
          <w:tab/>
        </w:r>
        <w:r>
          <w:rPr>
            <w:noProof/>
            <w:webHidden/>
          </w:rPr>
          <w:fldChar w:fldCharType="begin"/>
        </w:r>
        <w:r>
          <w:rPr>
            <w:noProof/>
            <w:webHidden/>
          </w:rPr>
          <w:instrText xml:space="preserve"> PAGEREF _Toc162948238 \h </w:instrText>
        </w:r>
        <w:r>
          <w:rPr>
            <w:noProof/>
            <w:webHidden/>
          </w:rPr>
        </w:r>
        <w:r>
          <w:rPr>
            <w:noProof/>
            <w:webHidden/>
          </w:rPr>
          <w:fldChar w:fldCharType="separate"/>
        </w:r>
        <w:r>
          <w:rPr>
            <w:noProof/>
            <w:webHidden/>
          </w:rPr>
          <w:t>56</w:t>
        </w:r>
        <w:r>
          <w:rPr>
            <w:noProof/>
            <w:webHidden/>
          </w:rPr>
          <w:fldChar w:fldCharType="end"/>
        </w:r>
      </w:hyperlink>
    </w:p>
    <w:p w14:paraId="1FEA5361" w14:textId="67B603D3"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39" w:history="1">
        <w:r w:rsidRPr="00435000">
          <w:rPr>
            <w:rStyle w:val="Hyperlink"/>
            <w:noProof/>
          </w:rPr>
          <w:t>Figure 21. Continuous pH monitoring by the USGS in Tinker Creek and the Roanoke River. The red line represents the relevant Virginia water quality standard. Colors represent the probability that data within that range would be responsible for causing stress.</w:t>
        </w:r>
        <w:r>
          <w:rPr>
            <w:noProof/>
            <w:webHidden/>
          </w:rPr>
          <w:tab/>
        </w:r>
        <w:r>
          <w:rPr>
            <w:noProof/>
            <w:webHidden/>
          </w:rPr>
          <w:fldChar w:fldCharType="begin"/>
        </w:r>
        <w:r>
          <w:rPr>
            <w:noProof/>
            <w:webHidden/>
          </w:rPr>
          <w:instrText xml:space="preserve"> PAGEREF _Toc162948239 \h </w:instrText>
        </w:r>
        <w:r>
          <w:rPr>
            <w:noProof/>
            <w:webHidden/>
          </w:rPr>
        </w:r>
        <w:r>
          <w:rPr>
            <w:noProof/>
            <w:webHidden/>
          </w:rPr>
          <w:fldChar w:fldCharType="separate"/>
        </w:r>
        <w:r>
          <w:rPr>
            <w:noProof/>
            <w:webHidden/>
          </w:rPr>
          <w:t>57</w:t>
        </w:r>
        <w:r>
          <w:rPr>
            <w:noProof/>
            <w:webHidden/>
          </w:rPr>
          <w:fldChar w:fldCharType="end"/>
        </w:r>
      </w:hyperlink>
    </w:p>
    <w:p w14:paraId="7B8D776B" w14:textId="7615F3B1"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40" w:history="1">
        <w:r w:rsidRPr="00435000">
          <w:rPr>
            <w:rStyle w:val="Hyperlink"/>
            <w:noProof/>
          </w:rPr>
          <w:t>Figure 22. Dissolved oxygen in Roanoke River Project streams. Boxes represent the inter-quartile range, whiskers represent minimum and maximum values excluding outliers, lines represent the median, and the X represents the mean. Dots represent outliers that are greater than 1.5 times the inter-quartile range away from the mean. The red line represents the Virginia water quality standard. Colors represent the probability that data within that range would be responsible for causing stress.</w:t>
        </w:r>
        <w:r>
          <w:rPr>
            <w:noProof/>
            <w:webHidden/>
          </w:rPr>
          <w:tab/>
        </w:r>
        <w:r>
          <w:rPr>
            <w:noProof/>
            <w:webHidden/>
          </w:rPr>
          <w:fldChar w:fldCharType="begin"/>
        </w:r>
        <w:r>
          <w:rPr>
            <w:noProof/>
            <w:webHidden/>
          </w:rPr>
          <w:instrText xml:space="preserve"> PAGEREF _Toc162948240 \h </w:instrText>
        </w:r>
        <w:r>
          <w:rPr>
            <w:noProof/>
            <w:webHidden/>
          </w:rPr>
        </w:r>
        <w:r>
          <w:rPr>
            <w:noProof/>
            <w:webHidden/>
          </w:rPr>
          <w:fldChar w:fldCharType="separate"/>
        </w:r>
        <w:r>
          <w:rPr>
            <w:noProof/>
            <w:webHidden/>
          </w:rPr>
          <w:t>59</w:t>
        </w:r>
        <w:r>
          <w:rPr>
            <w:noProof/>
            <w:webHidden/>
          </w:rPr>
          <w:fldChar w:fldCharType="end"/>
        </w:r>
      </w:hyperlink>
    </w:p>
    <w:p w14:paraId="7D2B3323" w14:textId="17A3F41F"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41" w:history="1">
        <w:r w:rsidRPr="00435000">
          <w:rPr>
            <w:rStyle w:val="Hyperlink"/>
            <w:noProof/>
          </w:rPr>
          <w:t>Figure 23. Dissolved oxygen over time in Roanoke River Project streams. The red line represents the Virginia water quality standard. Colors represent the probability that data within that range would be responsible for causing stress.</w:t>
        </w:r>
        <w:r>
          <w:rPr>
            <w:noProof/>
            <w:webHidden/>
          </w:rPr>
          <w:tab/>
        </w:r>
        <w:r>
          <w:rPr>
            <w:noProof/>
            <w:webHidden/>
          </w:rPr>
          <w:fldChar w:fldCharType="begin"/>
        </w:r>
        <w:r>
          <w:rPr>
            <w:noProof/>
            <w:webHidden/>
          </w:rPr>
          <w:instrText xml:space="preserve"> PAGEREF _Toc162948241 \h </w:instrText>
        </w:r>
        <w:r>
          <w:rPr>
            <w:noProof/>
            <w:webHidden/>
          </w:rPr>
        </w:r>
        <w:r>
          <w:rPr>
            <w:noProof/>
            <w:webHidden/>
          </w:rPr>
          <w:fldChar w:fldCharType="separate"/>
        </w:r>
        <w:r>
          <w:rPr>
            <w:noProof/>
            <w:webHidden/>
          </w:rPr>
          <w:t>60</w:t>
        </w:r>
        <w:r>
          <w:rPr>
            <w:noProof/>
            <w:webHidden/>
          </w:rPr>
          <w:fldChar w:fldCharType="end"/>
        </w:r>
      </w:hyperlink>
    </w:p>
    <w:p w14:paraId="7D55BBE0" w14:textId="7D5D023E"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42" w:history="1">
        <w:r w:rsidRPr="00435000">
          <w:rPr>
            <w:rStyle w:val="Hyperlink"/>
            <w:noProof/>
          </w:rPr>
          <w:t>Figure 24. Continuous dissolved oxygen monitoring by the USGS in Tinker Creek and the Roanoke River. The red line represents the relevant Virginia water quality standard. Colors represent the probability that data within that range would be responsible for causing stress.</w:t>
        </w:r>
        <w:r>
          <w:rPr>
            <w:noProof/>
            <w:webHidden/>
          </w:rPr>
          <w:tab/>
        </w:r>
        <w:r>
          <w:rPr>
            <w:noProof/>
            <w:webHidden/>
          </w:rPr>
          <w:fldChar w:fldCharType="begin"/>
        </w:r>
        <w:r>
          <w:rPr>
            <w:noProof/>
            <w:webHidden/>
          </w:rPr>
          <w:instrText xml:space="preserve"> PAGEREF _Toc162948242 \h </w:instrText>
        </w:r>
        <w:r>
          <w:rPr>
            <w:noProof/>
            <w:webHidden/>
          </w:rPr>
        </w:r>
        <w:r>
          <w:rPr>
            <w:noProof/>
            <w:webHidden/>
          </w:rPr>
          <w:fldChar w:fldCharType="separate"/>
        </w:r>
        <w:r>
          <w:rPr>
            <w:noProof/>
            <w:webHidden/>
          </w:rPr>
          <w:t>61</w:t>
        </w:r>
        <w:r>
          <w:rPr>
            <w:noProof/>
            <w:webHidden/>
          </w:rPr>
          <w:fldChar w:fldCharType="end"/>
        </w:r>
      </w:hyperlink>
    </w:p>
    <w:p w14:paraId="5D156B72" w14:textId="4AED0DB4"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43" w:history="1">
        <w:r w:rsidRPr="00435000">
          <w:rPr>
            <w:rStyle w:val="Hyperlink"/>
            <w:noProof/>
          </w:rPr>
          <w:t>Figure 25. Diurnal dissolved oxygen as a percentage of saturation in Tinker Creek and the Roanoke River.</w:t>
        </w:r>
        <w:r>
          <w:rPr>
            <w:noProof/>
            <w:webHidden/>
          </w:rPr>
          <w:tab/>
        </w:r>
        <w:r>
          <w:rPr>
            <w:noProof/>
            <w:webHidden/>
          </w:rPr>
          <w:fldChar w:fldCharType="begin"/>
        </w:r>
        <w:r>
          <w:rPr>
            <w:noProof/>
            <w:webHidden/>
          </w:rPr>
          <w:instrText xml:space="preserve"> PAGEREF _Toc162948243 \h </w:instrText>
        </w:r>
        <w:r>
          <w:rPr>
            <w:noProof/>
            <w:webHidden/>
          </w:rPr>
        </w:r>
        <w:r>
          <w:rPr>
            <w:noProof/>
            <w:webHidden/>
          </w:rPr>
          <w:fldChar w:fldCharType="separate"/>
        </w:r>
        <w:r>
          <w:rPr>
            <w:noProof/>
            <w:webHidden/>
          </w:rPr>
          <w:t>62</w:t>
        </w:r>
        <w:r>
          <w:rPr>
            <w:noProof/>
            <w:webHidden/>
          </w:rPr>
          <w:fldChar w:fldCharType="end"/>
        </w:r>
      </w:hyperlink>
    </w:p>
    <w:p w14:paraId="19C7E3FC" w14:textId="72E2D409"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44" w:history="1">
        <w:r w:rsidRPr="00435000">
          <w:rPr>
            <w:rStyle w:val="Hyperlink"/>
            <w:noProof/>
          </w:rPr>
          <w:t>Figure 26. Conductivity in Roanoke River Project streams. Boxes represent the inter-quartile range, whiskers represent minimum and maximum values excluding outliers, lines represent the median, and the X represents the mean. Dots represent outliers that are greater than 1.5 times the inter-quartile range away from the mean. Arrow indicates a value above the scale of the graph. The "D" indicates statistically higher conductivity than the reference station. Colors represent the probability that data within that range would be responsible for causing stress.</w:t>
        </w:r>
        <w:r>
          <w:rPr>
            <w:noProof/>
            <w:webHidden/>
          </w:rPr>
          <w:tab/>
        </w:r>
        <w:r>
          <w:rPr>
            <w:noProof/>
            <w:webHidden/>
          </w:rPr>
          <w:fldChar w:fldCharType="begin"/>
        </w:r>
        <w:r>
          <w:rPr>
            <w:noProof/>
            <w:webHidden/>
          </w:rPr>
          <w:instrText xml:space="preserve"> PAGEREF _Toc162948244 \h </w:instrText>
        </w:r>
        <w:r>
          <w:rPr>
            <w:noProof/>
            <w:webHidden/>
          </w:rPr>
        </w:r>
        <w:r>
          <w:rPr>
            <w:noProof/>
            <w:webHidden/>
          </w:rPr>
          <w:fldChar w:fldCharType="separate"/>
        </w:r>
        <w:r>
          <w:rPr>
            <w:noProof/>
            <w:webHidden/>
          </w:rPr>
          <w:t>65</w:t>
        </w:r>
        <w:r>
          <w:rPr>
            <w:noProof/>
            <w:webHidden/>
          </w:rPr>
          <w:fldChar w:fldCharType="end"/>
        </w:r>
      </w:hyperlink>
    </w:p>
    <w:p w14:paraId="2481FFC8" w14:textId="4351AAD0"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45" w:history="1">
        <w:r w:rsidRPr="00435000">
          <w:rPr>
            <w:rStyle w:val="Hyperlink"/>
            <w:noProof/>
          </w:rPr>
          <w:t>Figure 27. Conductivity over time in Roanoke River Project streams. Colors represent the probability that data within that range would be responsible for causing stress.</w:t>
        </w:r>
        <w:r>
          <w:rPr>
            <w:noProof/>
            <w:webHidden/>
          </w:rPr>
          <w:tab/>
        </w:r>
        <w:r>
          <w:rPr>
            <w:noProof/>
            <w:webHidden/>
          </w:rPr>
          <w:fldChar w:fldCharType="begin"/>
        </w:r>
        <w:r>
          <w:rPr>
            <w:noProof/>
            <w:webHidden/>
          </w:rPr>
          <w:instrText xml:space="preserve"> PAGEREF _Toc162948245 \h </w:instrText>
        </w:r>
        <w:r>
          <w:rPr>
            <w:noProof/>
            <w:webHidden/>
          </w:rPr>
        </w:r>
        <w:r>
          <w:rPr>
            <w:noProof/>
            <w:webHidden/>
          </w:rPr>
          <w:fldChar w:fldCharType="separate"/>
        </w:r>
        <w:r>
          <w:rPr>
            <w:noProof/>
            <w:webHidden/>
          </w:rPr>
          <w:t>66</w:t>
        </w:r>
        <w:r>
          <w:rPr>
            <w:noProof/>
            <w:webHidden/>
          </w:rPr>
          <w:fldChar w:fldCharType="end"/>
        </w:r>
      </w:hyperlink>
    </w:p>
    <w:p w14:paraId="2A3E6F34" w14:textId="7B38F4C0"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46" w:history="1">
        <w:r w:rsidRPr="00435000">
          <w:rPr>
            <w:rStyle w:val="Hyperlink"/>
            <w:noProof/>
          </w:rPr>
          <w:t>Figure 28. Continuous conductivity monitoring by the USGS in Tinker Creek and the Roanoke River. Colors represent the probability that data within that range would be responsible for causing stress.</w:t>
        </w:r>
        <w:r>
          <w:rPr>
            <w:noProof/>
            <w:webHidden/>
          </w:rPr>
          <w:tab/>
        </w:r>
        <w:r>
          <w:rPr>
            <w:noProof/>
            <w:webHidden/>
          </w:rPr>
          <w:fldChar w:fldCharType="begin"/>
        </w:r>
        <w:r>
          <w:rPr>
            <w:noProof/>
            <w:webHidden/>
          </w:rPr>
          <w:instrText xml:space="preserve"> PAGEREF _Toc162948246 \h </w:instrText>
        </w:r>
        <w:r>
          <w:rPr>
            <w:noProof/>
            <w:webHidden/>
          </w:rPr>
        </w:r>
        <w:r>
          <w:rPr>
            <w:noProof/>
            <w:webHidden/>
          </w:rPr>
          <w:fldChar w:fldCharType="separate"/>
        </w:r>
        <w:r>
          <w:rPr>
            <w:noProof/>
            <w:webHidden/>
          </w:rPr>
          <w:t>67</w:t>
        </w:r>
        <w:r>
          <w:rPr>
            <w:noProof/>
            <w:webHidden/>
          </w:rPr>
          <w:fldChar w:fldCharType="end"/>
        </w:r>
      </w:hyperlink>
    </w:p>
    <w:p w14:paraId="383CE5AC" w14:textId="1F0022B9"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47" w:history="1">
        <w:r w:rsidRPr="00435000">
          <w:rPr>
            <w:rStyle w:val="Hyperlink"/>
            <w:noProof/>
          </w:rPr>
          <w:t>Figure 29. Total dissolved solids in Roanoke River Project streams. Boxes represent the inter-quartile range, whiskers represent minimum and maximum values excluding outliers, lines represent the median, and the X represents the mean. Dots represent outliers that are greater than 1.5 times the inter-quartile range away from the mean. The "D" indicates statistically higher total dissolved solids than the reference station. Colors represent the probability that data within that range would be responsible for causing stress.</w:t>
        </w:r>
        <w:r>
          <w:rPr>
            <w:noProof/>
            <w:webHidden/>
          </w:rPr>
          <w:tab/>
        </w:r>
        <w:r>
          <w:rPr>
            <w:noProof/>
            <w:webHidden/>
          </w:rPr>
          <w:fldChar w:fldCharType="begin"/>
        </w:r>
        <w:r>
          <w:rPr>
            <w:noProof/>
            <w:webHidden/>
          </w:rPr>
          <w:instrText xml:space="preserve"> PAGEREF _Toc162948247 \h </w:instrText>
        </w:r>
        <w:r>
          <w:rPr>
            <w:noProof/>
            <w:webHidden/>
          </w:rPr>
        </w:r>
        <w:r>
          <w:rPr>
            <w:noProof/>
            <w:webHidden/>
          </w:rPr>
          <w:fldChar w:fldCharType="separate"/>
        </w:r>
        <w:r>
          <w:rPr>
            <w:noProof/>
            <w:webHidden/>
          </w:rPr>
          <w:t>68</w:t>
        </w:r>
        <w:r>
          <w:rPr>
            <w:noProof/>
            <w:webHidden/>
          </w:rPr>
          <w:fldChar w:fldCharType="end"/>
        </w:r>
      </w:hyperlink>
    </w:p>
    <w:p w14:paraId="1343D1C7" w14:textId="14D0F50B"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48" w:history="1">
        <w:r w:rsidRPr="00435000">
          <w:rPr>
            <w:rStyle w:val="Hyperlink"/>
            <w:noProof/>
          </w:rPr>
          <w:t>Figure 30. Total dissolved solids over time in Roanoke River Project streams. Colors represent the probability that data within that range would be responsible for causing stress.</w:t>
        </w:r>
        <w:r>
          <w:rPr>
            <w:noProof/>
            <w:webHidden/>
          </w:rPr>
          <w:tab/>
        </w:r>
        <w:r>
          <w:rPr>
            <w:noProof/>
            <w:webHidden/>
          </w:rPr>
          <w:fldChar w:fldCharType="begin"/>
        </w:r>
        <w:r>
          <w:rPr>
            <w:noProof/>
            <w:webHidden/>
          </w:rPr>
          <w:instrText xml:space="preserve"> PAGEREF _Toc162948248 \h </w:instrText>
        </w:r>
        <w:r>
          <w:rPr>
            <w:noProof/>
            <w:webHidden/>
          </w:rPr>
        </w:r>
        <w:r>
          <w:rPr>
            <w:noProof/>
            <w:webHidden/>
          </w:rPr>
          <w:fldChar w:fldCharType="separate"/>
        </w:r>
        <w:r>
          <w:rPr>
            <w:noProof/>
            <w:webHidden/>
          </w:rPr>
          <w:t>69</w:t>
        </w:r>
        <w:r>
          <w:rPr>
            <w:noProof/>
            <w:webHidden/>
          </w:rPr>
          <w:fldChar w:fldCharType="end"/>
        </w:r>
      </w:hyperlink>
    </w:p>
    <w:p w14:paraId="2BD36E0D" w14:textId="78AE4133"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49" w:history="1">
        <w:r w:rsidRPr="00435000">
          <w:rPr>
            <w:rStyle w:val="Hyperlink"/>
            <w:noProof/>
          </w:rPr>
          <w:t>Figure 31. Dissolved ions in Roanoke River Project streams. Boxes represent the inter-quartile range, whiskers represent minimum and maximum values excluding outliers, lines represent the median, and the X represents the mean. Dots represent outliers that are greater than 1.5 times the inter-quartile range away from the mean. The "D" indicates statistically higher dissolved ions than the reference station. Colors represent the probability that data within that range would be responsible for causing stress.</w:t>
        </w:r>
        <w:r>
          <w:rPr>
            <w:noProof/>
            <w:webHidden/>
          </w:rPr>
          <w:tab/>
        </w:r>
        <w:r>
          <w:rPr>
            <w:noProof/>
            <w:webHidden/>
          </w:rPr>
          <w:fldChar w:fldCharType="begin"/>
        </w:r>
        <w:r>
          <w:rPr>
            <w:noProof/>
            <w:webHidden/>
          </w:rPr>
          <w:instrText xml:space="preserve"> PAGEREF _Toc162948249 \h </w:instrText>
        </w:r>
        <w:r>
          <w:rPr>
            <w:noProof/>
            <w:webHidden/>
          </w:rPr>
        </w:r>
        <w:r>
          <w:rPr>
            <w:noProof/>
            <w:webHidden/>
          </w:rPr>
          <w:fldChar w:fldCharType="separate"/>
        </w:r>
        <w:r>
          <w:rPr>
            <w:noProof/>
            <w:webHidden/>
          </w:rPr>
          <w:t>72</w:t>
        </w:r>
        <w:r>
          <w:rPr>
            <w:noProof/>
            <w:webHidden/>
          </w:rPr>
          <w:fldChar w:fldCharType="end"/>
        </w:r>
      </w:hyperlink>
    </w:p>
    <w:p w14:paraId="6931A962" w14:textId="0AB0C566"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50" w:history="1">
        <w:r w:rsidRPr="00435000">
          <w:rPr>
            <w:rStyle w:val="Hyperlink"/>
            <w:noProof/>
          </w:rPr>
          <w:t>Figure 32. Total suspended solids in Roanoke River Project streams. Boxes represent the inter-quartile range, whiskers represent minimum and maximum values excluding outliers, lines represent the median, and the X represents the mean. Dots represent outliers that are greater than 1.5 times the inter-quartile range away from the mean. Arrows indicate values exceeding the range of the graph.</w:t>
        </w:r>
        <w:r>
          <w:rPr>
            <w:noProof/>
            <w:webHidden/>
          </w:rPr>
          <w:tab/>
        </w:r>
        <w:r>
          <w:rPr>
            <w:noProof/>
            <w:webHidden/>
          </w:rPr>
          <w:fldChar w:fldCharType="begin"/>
        </w:r>
        <w:r>
          <w:rPr>
            <w:noProof/>
            <w:webHidden/>
          </w:rPr>
          <w:instrText xml:space="preserve"> PAGEREF _Toc162948250 \h </w:instrText>
        </w:r>
        <w:r>
          <w:rPr>
            <w:noProof/>
            <w:webHidden/>
          </w:rPr>
        </w:r>
        <w:r>
          <w:rPr>
            <w:noProof/>
            <w:webHidden/>
          </w:rPr>
          <w:fldChar w:fldCharType="separate"/>
        </w:r>
        <w:r>
          <w:rPr>
            <w:noProof/>
            <w:webHidden/>
          </w:rPr>
          <w:t>74</w:t>
        </w:r>
        <w:r>
          <w:rPr>
            <w:noProof/>
            <w:webHidden/>
          </w:rPr>
          <w:fldChar w:fldCharType="end"/>
        </w:r>
      </w:hyperlink>
    </w:p>
    <w:p w14:paraId="313C0B70" w14:textId="61B2D08A"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51" w:history="1">
        <w:r w:rsidRPr="00435000">
          <w:rPr>
            <w:rStyle w:val="Hyperlink"/>
            <w:noProof/>
          </w:rPr>
          <w:t>Figure 33. Cumulative probability distribution of total suspended solids in Roanoke River Project streams.</w:t>
        </w:r>
        <w:r>
          <w:rPr>
            <w:noProof/>
            <w:webHidden/>
          </w:rPr>
          <w:tab/>
        </w:r>
        <w:r>
          <w:rPr>
            <w:noProof/>
            <w:webHidden/>
          </w:rPr>
          <w:fldChar w:fldCharType="begin"/>
        </w:r>
        <w:r>
          <w:rPr>
            <w:noProof/>
            <w:webHidden/>
          </w:rPr>
          <w:instrText xml:space="preserve"> PAGEREF _Toc162948251 \h </w:instrText>
        </w:r>
        <w:r>
          <w:rPr>
            <w:noProof/>
            <w:webHidden/>
          </w:rPr>
        </w:r>
        <w:r>
          <w:rPr>
            <w:noProof/>
            <w:webHidden/>
          </w:rPr>
          <w:fldChar w:fldCharType="separate"/>
        </w:r>
        <w:r>
          <w:rPr>
            <w:noProof/>
            <w:webHidden/>
          </w:rPr>
          <w:t>74</w:t>
        </w:r>
        <w:r>
          <w:rPr>
            <w:noProof/>
            <w:webHidden/>
          </w:rPr>
          <w:fldChar w:fldCharType="end"/>
        </w:r>
      </w:hyperlink>
    </w:p>
    <w:p w14:paraId="678FA4AC" w14:textId="63191C32"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52" w:history="1">
        <w:r w:rsidRPr="00435000">
          <w:rPr>
            <w:rStyle w:val="Hyperlink"/>
            <w:noProof/>
          </w:rPr>
          <w:t>Figure 34. Turbidity in Roanoke River Project streams. Boxes represent the inter-quartile range, whiskers represent minimum and maximum values excluding outliers, lines represent the median, and the X represents the mean. Dots represent outliers that are greater than 1.5 times the inter-quartile range away from the mean.</w:t>
        </w:r>
        <w:r>
          <w:rPr>
            <w:noProof/>
            <w:webHidden/>
          </w:rPr>
          <w:tab/>
        </w:r>
        <w:r>
          <w:rPr>
            <w:noProof/>
            <w:webHidden/>
          </w:rPr>
          <w:fldChar w:fldCharType="begin"/>
        </w:r>
        <w:r>
          <w:rPr>
            <w:noProof/>
            <w:webHidden/>
          </w:rPr>
          <w:instrText xml:space="preserve"> PAGEREF _Toc162948252 \h </w:instrText>
        </w:r>
        <w:r>
          <w:rPr>
            <w:noProof/>
            <w:webHidden/>
          </w:rPr>
        </w:r>
        <w:r>
          <w:rPr>
            <w:noProof/>
            <w:webHidden/>
          </w:rPr>
          <w:fldChar w:fldCharType="separate"/>
        </w:r>
        <w:r>
          <w:rPr>
            <w:noProof/>
            <w:webHidden/>
          </w:rPr>
          <w:t>75</w:t>
        </w:r>
        <w:r>
          <w:rPr>
            <w:noProof/>
            <w:webHidden/>
          </w:rPr>
          <w:fldChar w:fldCharType="end"/>
        </w:r>
      </w:hyperlink>
    </w:p>
    <w:p w14:paraId="0CAD4449" w14:textId="3E9AAC1C"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53" w:history="1">
        <w:r w:rsidRPr="00435000">
          <w:rPr>
            <w:rStyle w:val="Hyperlink"/>
            <w:noProof/>
          </w:rPr>
          <w:t>Figure 35. Continuous turbidity monitoring by the USGS in Tinker Creek and the Roanoke River.</w:t>
        </w:r>
        <w:r>
          <w:rPr>
            <w:noProof/>
            <w:webHidden/>
          </w:rPr>
          <w:tab/>
        </w:r>
        <w:r>
          <w:rPr>
            <w:noProof/>
            <w:webHidden/>
          </w:rPr>
          <w:fldChar w:fldCharType="begin"/>
        </w:r>
        <w:r>
          <w:rPr>
            <w:noProof/>
            <w:webHidden/>
          </w:rPr>
          <w:instrText xml:space="preserve"> PAGEREF _Toc162948253 \h </w:instrText>
        </w:r>
        <w:r>
          <w:rPr>
            <w:noProof/>
            <w:webHidden/>
          </w:rPr>
        </w:r>
        <w:r>
          <w:rPr>
            <w:noProof/>
            <w:webHidden/>
          </w:rPr>
          <w:fldChar w:fldCharType="separate"/>
        </w:r>
        <w:r>
          <w:rPr>
            <w:noProof/>
            <w:webHidden/>
          </w:rPr>
          <w:t>76</w:t>
        </w:r>
        <w:r>
          <w:rPr>
            <w:noProof/>
            <w:webHidden/>
          </w:rPr>
          <w:fldChar w:fldCharType="end"/>
        </w:r>
      </w:hyperlink>
    </w:p>
    <w:p w14:paraId="6E216A46" w14:textId="6DDA826D"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54" w:history="1">
        <w:r w:rsidRPr="00435000">
          <w:rPr>
            <w:rStyle w:val="Hyperlink"/>
            <w:noProof/>
          </w:rPr>
          <w:t>Figure 36. Cumulative probability distribution of turbidity in Roanoke River Project streams.</w:t>
        </w:r>
        <w:r>
          <w:rPr>
            <w:noProof/>
            <w:webHidden/>
          </w:rPr>
          <w:tab/>
        </w:r>
        <w:r>
          <w:rPr>
            <w:noProof/>
            <w:webHidden/>
          </w:rPr>
          <w:fldChar w:fldCharType="begin"/>
        </w:r>
        <w:r>
          <w:rPr>
            <w:noProof/>
            <w:webHidden/>
          </w:rPr>
          <w:instrText xml:space="preserve"> PAGEREF _Toc162948254 \h </w:instrText>
        </w:r>
        <w:r>
          <w:rPr>
            <w:noProof/>
            <w:webHidden/>
          </w:rPr>
        </w:r>
        <w:r>
          <w:rPr>
            <w:noProof/>
            <w:webHidden/>
          </w:rPr>
          <w:fldChar w:fldCharType="separate"/>
        </w:r>
        <w:r>
          <w:rPr>
            <w:noProof/>
            <w:webHidden/>
          </w:rPr>
          <w:t>77</w:t>
        </w:r>
        <w:r>
          <w:rPr>
            <w:noProof/>
            <w:webHidden/>
          </w:rPr>
          <w:fldChar w:fldCharType="end"/>
        </w:r>
      </w:hyperlink>
    </w:p>
    <w:p w14:paraId="12F703C2" w14:textId="188F697D"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55" w:history="1">
        <w:r w:rsidRPr="00435000">
          <w:rPr>
            <w:rStyle w:val="Hyperlink"/>
            <w:noProof/>
          </w:rPr>
          <w:t>Figure 37. Total volatile solids in Roanoke River Project streams. Boxes represent the inter-quartile range, whiskers represent minimum and maximum values excluding outliers, lines represent the median, and the X represents the mean. Dots represent outliers that are greater than 1.5 times the inter-quartile range away from the mean.</w:t>
        </w:r>
        <w:r>
          <w:rPr>
            <w:noProof/>
            <w:webHidden/>
          </w:rPr>
          <w:tab/>
        </w:r>
        <w:r>
          <w:rPr>
            <w:noProof/>
            <w:webHidden/>
          </w:rPr>
          <w:fldChar w:fldCharType="begin"/>
        </w:r>
        <w:r>
          <w:rPr>
            <w:noProof/>
            <w:webHidden/>
          </w:rPr>
          <w:instrText xml:space="preserve"> PAGEREF _Toc162948255 \h </w:instrText>
        </w:r>
        <w:r>
          <w:rPr>
            <w:noProof/>
            <w:webHidden/>
          </w:rPr>
        </w:r>
        <w:r>
          <w:rPr>
            <w:noProof/>
            <w:webHidden/>
          </w:rPr>
          <w:fldChar w:fldCharType="separate"/>
        </w:r>
        <w:r>
          <w:rPr>
            <w:noProof/>
            <w:webHidden/>
          </w:rPr>
          <w:t>78</w:t>
        </w:r>
        <w:r>
          <w:rPr>
            <w:noProof/>
            <w:webHidden/>
          </w:rPr>
          <w:fldChar w:fldCharType="end"/>
        </w:r>
      </w:hyperlink>
    </w:p>
    <w:p w14:paraId="2957D490" w14:textId="4659816A"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56" w:history="1">
        <w:r w:rsidRPr="00435000">
          <w:rPr>
            <w:rStyle w:val="Hyperlink"/>
            <w:noProof/>
          </w:rPr>
          <w:t>Figure 38. Total phosphorus in Roanoke River Project streams. Boxes represent the inter-quartile range, whiskers represent minimum and maximum values excluding outliers, lines represent the median, and the X represents the mean. Dots represent outliers that are greater than 1.5 times the inter-quartile range away from the mean. The "D" indicates statistically higher total phosphorus than the reference station. Colors represent the probability that data within that range would be responsible for causing stress.</w:t>
        </w:r>
        <w:r>
          <w:rPr>
            <w:noProof/>
            <w:webHidden/>
          </w:rPr>
          <w:tab/>
        </w:r>
        <w:r>
          <w:rPr>
            <w:noProof/>
            <w:webHidden/>
          </w:rPr>
          <w:fldChar w:fldCharType="begin"/>
        </w:r>
        <w:r>
          <w:rPr>
            <w:noProof/>
            <w:webHidden/>
          </w:rPr>
          <w:instrText xml:space="preserve"> PAGEREF _Toc162948256 \h </w:instrText>
        </w:r>
        <w:r>
          <w:rPr>
            <w:noProof/>
            <w:webHidden/>
          </w:rPr>
        </w:r>
        <w:r>
          <w:rPr>
            <w:noProof/>
            <w:webHidden/>
          </w:rPr>
          <w:fldChar w:fldCharType="separate"/>
        </w:r>
        <w:r>
          <w:rPr>
            <w:noProof/>
            <w:webHidden/>
          </w:rPr>
          <w:t>80</w:t>
        </w:r>
        <w:r>
          <w:rPr>
            <w:noProof/>
            <w:webHidden/>
          </w:rPr>
          <w:fldChar w:fldCharType="end"/>
        </w:r>
      </w:hyperlink>
    </w:p>
    <w:p w14:paraId="29825CCC" w14:textId="311D3FDA"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57" w:history="1">
        <w:r w:rsidRPr="00435000">
          <w:rPr>
            <w:rStyle w:val="Hyperlink"/>
            <w:noProof/>
          </w:rPr>
          <w:t>Figure 39. Total phosphorus over time in Roanoke River Project streams. Colors represent the probability that data within that range would be responsible for causing stress.</w:t>
        </w:r>
        <w:r>
          <w:rPr>
            <w:noProof/>
            <w:webHidden/>
          </w:rPr>
          <w:tab/>
        </w:r>
        <w:r>
          <w:rPr>
            <w:noProof/>
            <w:webHidden/>
          </w:rPr>
          <w:fldChar w:fldCharType="begin"/>
        </w:r>
        <w:r>
          <w:rPr>
            <w:noProof/>
            <w:webHidden/>
          </w:rPr>
          <w:instrText xml:space="preserve"> PAGEREF _Toc162948257 \h </w:instrText>
        </w:r>
        <w:r>
          <w:rPr>
            <w:noProof/>
            <w:webHidden/>
          </w:rPr>
        </w:r>
        <w:r>
          <w:rPr>
            <w:noProof/>
            <w:webHidden/>
          </w:rPr>
          <w:fldChar w:fldCharType="separate"/>
        </w:r>
        <w:r>
          <w:rPr>
            <w:noProof/>
            <w:webHidden/>
          </w:rPr>
          <w:t>81</w:t>
        </w:r>
        <w:r>
          <w:rPr>
            <w:noProof/>
            <w:webHidden/>
          </w:rPr>
          <w:fldChar w:fldCharType="end"/>
        </w:r>
      </w:hyperlink>
    </w:p>
    <w:p w14:paraId="092ED8B4" w14:textId="72299AC0"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58" w:history="1">
        <w:r w:rsidRPr="00435000">
          <w:rPr>
            <w:rStyle w:val="Hyperlink"/>
            <w:noProof/>
          </w:rPr>
          <w:t>Figure 40. Total nitrogen in Roanoke River Project streams. Boxes represent the inter-quartile range, whiskers represent minimum and maximum values excluding outliers, lines represent the median, and the X represents the mean. Dots represent outliers that are greater than 1.5 times the inter-quartile range away from the mean. The "D" indicates statistically higher total nitrogen than the reference station. Colors represent the probability that data within that range would be responsible for causing stress.</w:t>
        </w:r>
        <w:r>
          <w:rPr>
            <w:noProof/>
            <w:webHidden/>
          </w:rPr>
          <w:tab/>
        </w:r>
        <w:r>
          <w:rPr>
            <w:noProof/>
            <w:webHidden/>
          </w:rPr>
          <w:fldChar w:fldCharType="begin"/>
        </w:r>
        <w:r>
          <w:rPr>
            <w:noProof/>
            <w:webHidden/>
          </w:rPr>
          <w:instrText xml:space="preserve"> PAGEREF _Toc162948258 \h </w:instrText>
        </w:r>
        <w:r>
          <w:rPr>
            <w:noProof/>
            <w:webHidden/>
          </w:rPr>
        </w:r>
        <w:r>
          <w:rPr>
            <w:noProof/>
            <w:webHidden/>
          </w:rPr>
          <w:fldChar w:fldCharType="separate"/>
        </w:r>
        <w:r>
          <w:rPr>
            <w:noProof/>
            <w:webHidden/>
          </w:rPr>
          <w:t>83</w:t>
        </w:r>
        <w:r>
          <w:rPr>
            <w:noProof/>
            <w:webHidden/>
          </w:rPr>
          <w:fldChar w:fldCharType="end"/>
        </w:r>
      </w:hyperlink>
    </w:p>
    <w:p w14:paraId="653C15A7" w14:textId="1F5E162A"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59" w:history="1">
        <w:r w:rsidRPr="00435000">
          <w:rPr>
            <w:rStyle w:val="Hyperlink"/>
            <w:noProof/>
          </w:rPr>
          <w:t>Figure 41. Total nitrogen concentration over time in Roanoke River Project streams. Colors represent the probability that data within that range would be responsible for causing stress.</w:t>
        </w:r>
        <w:r>
          <w:rPr>
            <w:noProof/>
            <w:webHidden/>
          </w:rPr>
          <w:tab/>
        </w:r>
        <w:r>
          <w:rPr>
            <w:noProof/>
            <w:webHidden/>
          </w:rPr>
          <w:fldChar w:fldCharType="begin"/>
        </w:r>
        <w:r>
          <w:rPr>
            <w:noProof/>
            <w:webHidden/>
          </w:rPr>
          <w:instrText xml:space="preserve"> PAGEREF _Toc162948259 \h </w:instrText>
        </w:r>
        <w:r>
          <w:rPr>
            <w:noProof/>
            <w:webHidden/>
          </w:rPr>
        </w:r>
        <w:r>
          <w:rPr>
            <w:noProof/>
            <w:webHidden/>
          </w:rPr>
          <w:fldChar w:fldCharType="separate"/>
        </w:r>
        <w:r>
          <w:rPr>
            <w:noProof/>
            <w:webHidden/>
          </w:rPr>
          <w:t>84</w:t>
        </w:r>
        <w:r>
          <w:rPr>
            <w:noProof/>
            <w:webHidden/>
          </w:rPr>
          <w:fldChar w:fldCharType="end"/>
        </w:r>
      </w:hyperlink>
    </w:p>
    <w:p w14:paraId="4D17A493" w14:textId="198ADF70"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60" w:history="1">
        <w:r w:rsidRPr="00435000">
          <w:rPr>
            <w:rStyle w:val="Hyperlink"/>
            <w:noProof/>
          </w:rPr>
          <w:t>Figure 42. Chlorophyll and ash free dry weight from attached algae in the Roanoke River in 2021 and 2022.</w:t>
        </w:r>
        <w:r>
          <w:rPr>
            <w:noProof/>
            <w:webHidden/>
          </w:rPr>
          <w:tab/>
        </w:r>
        <w:r>
          <w:rPr>
            <w:noProof/>
            <w:webHidden/>
          </w:rPr>
          <w:fldChar w:fldCharType="begin"/>
        </w:r>
        <w:r>
          <w:rPr>
            <w:noProof/>
            <w:webHidden/>
          </w:rPr>
          <w:instrText xml:space="preserve"> PAGEREF _Toc162948260 \h </w:instrText>
        </w:r>
        <w:r>
          <w:rPr>
            <w:noProof/>
            <w:webHidden/>
          </w:rPr>
        </w:r>
        <w:r>
          <w:rPr>
            <w:noProof/>
            <w:webHidden/>
          </w:rPr>
          <w:fldChar w:fldCharType="separate"/>
        </w:r>
        <w:r>
          <w:rPr>
            <w:noProof/>
            <w:webHidden/>
          </w:rPr>
          <w:t>86</w:t>
        </w:r>
        <w:r>
          <w:rPr>
            <w:noProof/>
            <w:webHidden/>
          </w:rPr>
          <w:fldChar w:fldCharType="end"/>
        </w:r>
      </w:hyperlink>
    </w:p>
    <w:p w14:paraId="1F116D60" w14:textId="2AA16FA2"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61" w:history="1">
        <w:r w:rsidRPr="00435000">
          <w:rPr>
            <w:rStyle w:val="Hyperlink"/>
            <w:noProof/>
          </w:rPr>
          <w:t>Figure 43. Chlorophyll and ash free dry weight from attached algae in the Roanoke River in 2023.</w:t>
        </w:r>
        <w:r>
          <w:rPr>
            <w:noProof/>
            <w:webHidden/>
          </w:rPr>
          <w:tab/>
        </w:r>
        <w:r>
          <w:rPr>
            <w:noProof/>
            <w:webHidden/>
          </w:rPr>
          <w:fldChar w:fldCharType="begin"/>
        </w:r>
        <w:r>
          <w:rPr>
            <w:noProof/>
            <w:webHidden/>
          </w:rPr>
          <w:instrText xml:space="preserve"> PAGEREF _Toc162948261 \h </w:instrText>
        </w:r>
        <w:r>
          <w:rPr>
            <w:noProof/>
            <w:webHidden/>
          </w:rPr>
        </w:r>
        <w:r>
          <w:rPr>
            <w:noProof/>
            <w:webHidden/>
          </w:rPr>
          <w:fldChar w:fldCharType="separate"/>
        </w:r>
        <w:r>
          <w:rPr>
            <w:noProof/>
            <w:webHidden/>
          </w:rPr>
          <w:t>87</w:t>
        </w:r>
        <w:r>
          <w:rPr>
            <w:noProof/>
            <w:webHidden/>
          </w:rPr>
          <w:fldChar w:fldCharType="end"/>
        </w:r>
      </w:hyperlink>
    </w:p>
    <w:p w14:paraId="7A9DCAC5" w14:textId="6B8AFD38"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62" w:history="1">
        <w:r w:rsidRPr="00435000">
          <w:rPr>
            <w:rStyle w:val="Hyperlink"/>
            <w:noProof/>
          </w:rPr>
          <w:t>Figure 44. Total ammonia in Roanoke River Project streams. Boxes represent the inter-quartile range, whiskers represent minimum and maximum values excluding outliers, lines represent the median, and the X represents the mean. Dots represent outliers that are greater than 1.5 times the inter-quartile range away from the mean. The "D" indicates statistically higher total ammonia than the reference station.</w:t>
        </w:r>
        <w:r>
          <w:rPr>
            <w:noProof/>
            <w:webHidden/>
          </w:rPr>
          <w:tab/>
        </w:r>
        <w:r>
          <w:rPr>
            <w:noProof/>
            <w:webHidden/>
          </w:rPr>
          <w:fldChar w:fldCharType="begin"/>
        </w:r>
        <w:r>
          <w:rPr>
            <w:noProof/>
            <w:webHidden/>
          </w:rPr>
          <w:instrText xml:space="preserve"> PAGEREF _Toc162948262 \h </w:instrText>
        </w:r>
        <w:r>
          <w:rPr>
            <w:noProof/>
            <w:webHidden/>
          </w:rPr>
        </w:r>
        <w:r>
          <w:rPr>
            <w:noProof/>
            <w:webHidden/>
          </w:rPr>
          <w:fldChar w:fldCharType="separate"/>
        </w:r>
        <w:r>
          <w:rPr>
            <w:noProof/>
            <w:webHidden/>
          </w:rPr>
          <w:t>89</w:t>
        </w:r>
        <w:r>
          <w:rPr>
            <w:noProof/>
            <w:webHidden/>
          </w:rPr>
          <w:fldChar w:fldCharType="end"/>
        </w:r>
      </w:hyperlink>
    </w:p>
    <w:p w14:paraId="1278F209" w14:textId="4E4376DB"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63" w:history="1">
        <w:r w:rsidRPr="00435000">
          <w:rPr>
            <w:rStyle w:val="Hyperlink"/>
            <w:noProof/>
          </w:rPr>
          <w:t>Figure 45. Ammonia levels in Roanoke River Project streams. The red line represents the calculated water quality standard based on temperature and pH at the time of sampling.</w:t>
        </w:r>
        <w:r>
          <w:rPr>
            <w:noProof/>
            <w:webHidden/>
          </w:rPr>
          <w:tab/>
        </w:r>
        <w:r>
          <w:rPr>
            <w:noProof/>
            <w:webHidden/>
          </w:rPr>
          <w:fldChar w:fldCharType="begin"/>
        </w:r>
        <w:r>
          <w:rPr>
            <w:noProof/>
            <w:webHidden/>
          </w:rPr>
          <w:instrText xml:space="preserve"> PAGEREF _Toc162948263 \h </w:instrText>
        </w:r>
        <w:r>
          <w:rPr>
            <w:noProof/>
            <w:webHidden/>
          </w:rPr>
        </w:r>
        <w:r>
          <w:rPr>
            <w:noProof/>
            <w:webHidden/>
          </w:rPr>
          <w:fldChar w:fldCharType="separate"/>
        </w:r>
        <w:r>
          <w:rPr>
            <w:noProof/>
            <w:webHidden/>
          </w:rPr>
          <w:t>90</w:t>
        </w:r>
        <w:r>
          <w:rPr>
            <w:noProof/>
            <w:webHidden/>
          </w:rPr>
          <w:fldChar w:fldCharType="end"/>
        </w:r>
      </w:hyperlink>
    </w:p>
    <w:p w14:paraId="44EA1085" w14:textId="445637F2"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64" w:history="1">
        <w:r w:rsidRPr="00435000">
          <w:rPr>
            <w:rStyle w:val="Hyperlink"/>
            <w:noProof/>
          </w:rPr>
          <w:t>Figure 46. Significant water quality regressions with benthic score in the Roanoke River.</w:t>
        </w:r>
        <w:r>
          <w:rPr>
            <w:noProof/>
            <w:webHidden/>
          </w:rPr>
          <w:tab/>
        </w:r>
        <w:r>
          <w:rPr>
            <w:noProof/>
            <w:webHidden/>
          </w:rPr>
          <w:fldChar w:fldCharType="begin"/>
        </w:r>
        <w:r>
          <w:rPr>
            <w:noProof/>
            <w:webHidden/>
          </w:rPr>
          <w:instrText xml:space="preserve"> PAGEREF _Toc162948264 \h </w:instrText>
        </w:r>
        <w:r>
          <w:rPr>
            <w:noProof/>
            <w:webHidden/>
          </w:rPr>
        </w:r>
        <w:r>
          <w:rPr>
            <w:noProof/>
            <w:webHidden/>
          </w:rPr>
          <w:fldChar w:fldCharType="separate"/>
        </w:r>
        <w:r>
          <w:rPr>
            <w:noProof/>
            <w:webHidden/>
          </w:rPr>
          <w:t>104</w:t>
        </w:r>
        <w:r>
          <w:rPr>
            <w:noProof/>
            <w:webHidden/>
          </w:rPr>
          <w:fldChar w:fldCharType="end"/>
        </w:r>
      </w:hyperlink>
    </w:p>
    <w:p w14:paraId="6288A292" w14:textId="5BDE90B8"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65" w:history="1">
        <w:r w:rsidRPr="00435000">
          <w:rPr>
            <w:rStyle w:val="Hyperlink"/>
            <w:noProof/>
          </w:rPr>
          <w:t>Figure 47. Conceptual model for the causal pathway of sediment impacts on benthic macroinvertebrates in Wolf Creek, Tinker Creek, and Roanoke River (202.20).</w:t>
        </w:r>
        <w:r>
          <w:rPr>
            <w:noProof/>
            <w:webHidden/>
          </w:rPr>
          <w:tab/>
        </w:r>
        <w:r>
          <w:rPr>
            <w:noProof/>
            <w:webHidden/>
          </w:rPr>
          <w:fldChar w:fldCharType="begin"/>
        </w:r>
        <w:r>
          <w:rPr>
            <w:noProof/>
            <w:webHidden/>
          </w:rPr>
          <w:instrText xml:space="preserve"> PAGEREF _Toc162948265 \h </w:instrText>
        </w:r>
        <w:r>
          <w:rPr>
            <w:noProof/>
            <w:webHidden/>
          </w:rPr>
        </w:r>
        <w:r>
          <w:rPr>
            <w:noProof/>
            <w:webHidden/>
          </w:rPr>
          <w:fldChar w:fldCharType="separate"/>
        </w:r>
        <w:r>
          <w:rPr>
            <w:noProof/>
            <w:webHidden/>
          </w:rPr>
          <w:t>149</w:t>
        </w:r>
        <w:r>
          <w:rPr>
            <w:noProof/>
            <w:webHidden/>
          </w:rPr>
          <w:fldChar w:fldCharType="end"/>
        </w:r>
      </w:hyperlink>
    </w:p>
    <w:p w14:paraId="2ED1963A" w14:textId="722FDABF"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66" w:history="1">
        <w:r w:rsidRPr="00435000">
          <w:rPr>
            <w:rStyle w:val="Hyperlink"/>
            <w:noProof/>
          </w:rPr>
          <w:t>Figure 48. Conceptual model for the causal pathway of sediment PCB impacts on benthic macroinvertebrates in Tinker Creek.</w:t>
        </w:r>
        <w:r>
          <w:rPr>
            <w:noProof/>
            <w:webHidden/>
          </w:rPr>
          <w:tab/>
        </w:r>
        <w:r>
          <w:rPr>
            <w:noProof/>
            <w:webHidden/>
          </w:rPr>
          <w:fldChar w:fldCharType="begin"/>
        </w:r>
        <w:r>
          <w:rPr>
            <w:noProof/>
            <w:webHidden/>
          </w:rPr>
          <w:instrText xml:space="preserve"> PAGEREF _Toc162948266 \h </w:instrText>
        </w:r>
        <w:r>
          <w:rPr>
            <w:noProof/>
            <w:webHidden/>
          </w:rPr>
        </w:r>
        <w:r>
          <w:rPr>
            <w:noProof/>
            <w:webHidden/>
          </w:rPr>
          <w:fldChar w:fldCharType="separate"/>
        </w:r>
        <w:r>
          <w:rPr>
            <w:noProof/>
            <w:webHidden/>
          </w:rPr>
          <w:t>150</w:t>
        </w:r>
        <w:r>
          <w:rPr>
            <w:noProof/>
            <w:webHidden/>
          </w:rPr>
          <w:fldChar w:fldCharType="end"/>
        </w:r>
      </w:hyperlink>
    </w:p>
    <w:p w14:paraId="397D0B15" w14:textId="66A3F214"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67" w:history="1">
        <w:r w:rsidRPr="00435000">
          <w:rPr>
            <w:rStyle w:val="Hyperlink"/>
            <w:noProof/>
          </w:rPr>
          <w:t>Figure 49. Conceptual model for the causal pathway of nutrient impacts on benthic macroinvertebrates in the Roanoke River (198.08).</w:t>
        </w:r>
        <w:r>
          <w:rPr>
            <w:noProof/>
            <w:webHidden/>
          </w:rPr>
          <w:tab/>
        </w:r>
        <w:r>
          <w:rPr>
            <w:noProof/>
            <w:webHidden/>
          </w:rPr>
          <w:fldChar w:fldCharType="begin"/>
        </w:r>
        <w:r>
          <w:rPr>
            <w:noProof/>
            <w:webHidden/>
          </w:rPr>
          <w:instrText xml:space="preserve"> PAGEREF _Toc162948267 \h </w:instrText>
        </w:r>
        <w:r>
          <w:rPr>
            <w:noProof/>
            <w:webHidden/>
          </w:rPr>
        </w:r>
        <w:r>
          <w:rPr>
            <w:noProof/>
            <w:webHidden/>
          </w:rPr>
          <w:fldChar w:fldCharType="separate"/>
        </w:r>
        <w:r>
          <w:rPr>
            <w:noProof/>
            <w:webHidden/>
          </w:rPr>
          <w:t>151</w:t>
        </w:r>
        <w:r>
          <w:rPr>
            <w:noProof/>
            <w:webHidden/>
          </w:rPr>
          <w:fldChar w:fldCharType="end"/>
        </w:r>
      </w:hyperlink>
    </w:p>
    <w:p w14:paraId="77EEAB5E" w14:textId="300CF197" w:rsidR="00444B7E" w:rsidRPr="007129D1" w:rsidRDefault="005771B7" w:rsidP="00C046E1">
      <w:r w:rsidRPr="007129D1">
        <w:fldChar w:fldCharType="end"/>
      </w:r>
    </w:p>
    <w:p w14:paraId="1A312385" w14:textId="77777777" w:rsidR="00A14850" w:rsidRPr="007129D1" w:rsidRDefault="00677B8D" w:rsidP="00C046E1">
      <w:pPr>
        <w:rPr>
          <w:b/>
          <w:u w:val="single"/>
        </w:rPr>
      </w:pPr>
      <w:r w:rsidRPr="007129D1">
        <w:rPr>
          <w:b/>
          <w:u w:val="single"/>
        </w:rPr>
        <w:t>Tables</w:t>
      </w:r>
    </w:p>
    <w:p w14:paraId="6C7B1D4E" w14:textId="6A73E49F" w:rsidR="004A78BF" w:rsidRDefault="005771B7">
      <w:pPr>
        <w:pStyle w:val="TableofFigures"/>
        <w:tabs>
          <w:tab w:val="right" w:leader="dot" w:pos="9350"/>
        </w:tabs>
        <w:rPr>
          <w:rFonts w:asciiTheme="minorHAnsi" w:eastAsiaTheme="minorEastAsia" w:hAnsiTheme="minorHAnsi" w:cstheme="minorBidi"/>
          <w:noProof/>
          <w:sz w:val="22"/>
          <w:szCs w:val="22"/>
        </w:rPr>
      </w:pPr>
      <w:r w:rsidRPr="007129D1">
        <w:fldChar w:fldCharType="begin"/>
      </w:r>
      <w:r w:rsidRPr="007129D1">
        <w:instrText xml:space="preserve"> TOC \h \z \c "Table" </w:instrText>
      </w:r>
      <w:r w:rsidRPr="007129D1">
        <w:fldChar w:fldCharType="separate"/>
      </w:r>
      <w:hyperlink w:anchor="_Toc162948268" w:history="1">
        <w:r w:rsidR="004A78BF" w:rsidRPr="00314009">
          <w:rPr>
            <w:rStyle w:val="Hyperlink"/>
            <w:noProof/>
          </w:rPr>
          <w:t>Table 1. Benthic impairments in the Roanoke River Project.</w:t>
        </w:r>
        <w:r w:rsidR="004A78BF">
          <w:rPr>
            <w:noProof/>
            <w:webHidden/>
          </w:rPr>
          <w:tab/>
        </w:r>
        <w:r w:rsidR="004A78BF">
          <w:rPr>
            <w:noProof/>
            <w:webHidden/>
          </w:rPr>
          <w:fldChar w:fldCharType="begin"/>
        </w:r>
        <w:r w:rsidR="004A78BF">
          <w:rPr>
            <w:noProof/>
            <w:webHidden/>
          </w:rPr>
          <w:instrText xml:space="preserve"> PAGEREF _Toc162948268 \h </w:instrText>
        </w:r>
        <w:r w:rsidR="004A78BF">
          <w:rPr>
            <w:noProof/>
            <w:webHidden/>
          </w:rPr>
        </w:r>
        <w:r w:rsidR="004A78BF">
          <w:rPr>
            <w:noProof/>
            <w:webHidden/>
          </w:rPr>
          <w:fldChar w:fldCharType="separate"/>
        </w:r>
        <w:r w:rsidR="004A78BF">
          <w:rPr>
            <w:noProof/>
            <w:webHidden/>
          </w:rPr>
          <w:t>12</w:t>
        </w:r>
        <w:r w:rsidR="004A78BF">
          <w:rPr>
            <w:noProof/>
            <w:webHidden/>
          </w:rPr>
          <w:fldChar w:fldCharType="end"/>
        </w:r>
      </w:hyperlink>
    </w:p>
    <w:p w14:paraId="4A203558" w14:textId="6DD724DC"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69" w:history="1">
        <w:r w:rsidRPr="00314009">
          <w:rPr>
            <w:rStyle w:val="Hyperlink"/>
            <w:noProof/>
          </w:rPr>
          <w:t>Table 2. Candidate stressors evaluated in the Roanoke River Project.</w:t>
        </w:r>
        <w:r>
          <w:rPr>
            <w:noProof/>
            <w:webHidden/>
          </w:rPr>
          <w:tab/>
        </w:r>
        <w:r>
          <w:rPr>
            <w:noProof/>
            <w:webHidden/>
          </w:rPr>
          <w:fldChar w:fldCharType="begin"/>
        </w:r>
        <w:r>
          <w:rPr>
            <w:noProof/>
            <w:webHidden/>
          </w:rPr>
          <w:instrText xml:space="preserve"> PAGEREF _Toc162948269 \h </w:instrText>
        </w:r>
        <w:r>
          <w:rPr>
            <w:noProof/>
            <w:webHidden/>
          </w:rPr>
        </w:r>
        <w:r>
          <w:rPr>
            <w:noProof/>
            <w:webHidden/>
          </w:rPr>
          <w:fldChar w:fldCharType="separate"/>
        </w:r>
        <w:r>
          <w:rPr>
            <w:noProof/>
            <w:webHidden/>
          </w:rPr>
          <w:t>15</w:t>
        </w:r>
        <w:r>
          <w:rPr>
            <w:noProof/>
            <w:webHidden/>
          </w:rPr>
          <w:fldChar w:fldCharType="end"/>
        </w:r>
      </w:hyperlink>
    </w:p>
    <w:p w14:paraId="50AB3C1F" w14:textId="6FBEAE55"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70" w:history="1">
        <w:r w:rsidRPr="00314009">
          <w:rPr>
            <w:rStyle w:val="Hyperlink"/>
            <w:noProof/>
          </w:rPr>
          <w:t>Table 3. Benthic and water quality data used in the stressor analysis.</w:t>
        </w:r>
        <w:r>
          <w:rPr>
            <w:noProof/>
            <w:webHidden/>
          </w:rPr>
          <w:tab/>
        </w:r>
        <w:r>
          <w:rPr>
            <w:noProof/>
            <w:webHidden/>
          </w:rPr>
          <w:fldChar w:fldCharType="begin"/>
        </w:r>
        <w:r>
          <w:rPr>
            <w:noProof/>
            <w:webHidden/>
          </w:rPr>
          <w:instrText xml:space="preserve"> PAGEREF _Toc162948270 \h </w:instrText>
        </w:r>
        <w:r>
          <w:rPr>
            <w:noProof/>
            <w:webHidden/>
          </w:rPr>
        </w:r>
        <w:r>
          <w:rPr>
            <w:noProof/>
            <w:webHidden/>
          </w:rPr>
          <w:fldChar w:fldCharType="separate"/>
        </w:r>
        <w:r>
          <w:rPr>
            <w:noProof/>
            <w:webHidden/>
          </w:rPr>
          <w:t>16</w:t>
        </w:r>
        <w:r>
          <w:rPr>
            <w:noProof/>
            <w:webHidden/>
          </w:rPr>
          <w:fldChar w:fldCharType="end"/>
        </w:r>
      </w:hyperlink>
    </w:p>
    <w:p w14:paraId="542E5238" w14:textId="4E9CBB07"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71" w:history="1">
        <w:r w:rsidRPr="00314009">
          <w:rPr>
            <w:rStyle w:val="Hyperlink"/>
            <w:noProof/>
          </w:rPr>
          <w:t>Table 4. Benthic scores in the Roanoke River Project area.</w:t>
        </w:r>
        <w:r>
          <w:rPr>
            <w:noProof/>
            <w:webHidden/>
          </w:rPr>
          <w:tab/>
        </w:r>
        <w:r>
          <w:rPr>
            <w:noProof/>
            <w:webHidden/>
          </w:rPr>
          <w:fldChar w:fldCharType="begin"/>
        </w:r>
        <w:r>
          <w:rPr>
            <w:noProof/>
            <w:webHidden/>
          </w:rPr>
          <w:instrText xml:space="preserve"> PAGEREF _Toc162948271 \h </w:instrText>
        </w:r>
        <w:r>
          <w:rPr>
            <w:noProof/>
            <w:webHidden/>
          </w:rPr>
        </w:r>
        <w:r>
          <w:rPr>
            <w:noProof/>
            <w:webHidden/>
          </w:rPr>
          <w:fldChar w:fldCharType="separate"/>
        </w:r>
        <w:r>
          <w:rPr>
            <w:noProof/>
            <w:webHidden/>
          </w:rPr>
          <w:t>21</w:t>
        </w:r>
        <w:r>
          <w:rPr>
            <w:noProof/>
            <w:webHidden/>
          </w:rPr>
          <w:fldChar w:fldCharType="end"/>
        </w:r>
      </w:hyperlink>
    </w:p>
    <w:p w14:paraId="101509D6" w14:textId="15F3008F"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72" w:history="1">
        <w:r w:rsidRPr="00314009">
          <w:rPr>
            <w:rStyle w:val="Hyperlink"/>
            <w:noProof/>
          </w:rPr>
          <w:t>Table 5. Biological condition gradient attributes and stressors evaluated.</w:t>
        </w:r>
        <w:r>
          <w:rPr>
            <w:noProof/>
            <w:webHidden/>
          </w:rPr>
          <w:tab/>
        </w:r>
        <w:r>
          <w:rPr>
            <w:noProof/>
            <w:webHidden/>
          </w:rPr>
          <w:fldChar w:fldCharType="begin"/>
        </w:r>
        <w:r>
          <w:rPr>
            <w:noProof/>
            <w:webHidden/>
          </w:rPr>
          <w:instrText xml:space="preserve"> PAGEREF _Toc162948272 \h </w:instrText>
        </w:r>
        <w:r>
          <w:rPr>
            <w:noProof/>
            <w:webHidden/>
          </w:rPr>
        </w:r>
        <w:r>
          <w:rPr>
            <w:noProof/>
            <w:webHidden/>
          </w:rPr>
          <w:fldChar w:fldCharType="separate"/>
        </w:r>
        <w:r>
          <w:rPr>
            <w:noProof/>
            <w:webHidden/>
          </w:rPr>
          <w:t>37</w:t>
        </w:r>
        <w:r>
          <w:rPr>
            <w:noProof/>
            <w:webHidden/>
          </w:rPr>
          <w:fldChar w:fldCharType="end"/>
        </w:r>
      </w:hyperlink>
    </w:p>
    <w:p w14:paraId="122701E7" w14:textId="6A9EA945"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73" w:history="1">
        <w:r w:rsidRPr="00314009">
          <w:rPr>
            <w:rStyle w:val="Hyperlink"/>
            <w:noProof/>
          </w:rPr>
          <w:t>Table 6. Biological condition gradient attribute scores for the three most prevalent taxa at each station.</w:t>
        </w:r>
        <w:r>
          <w:rPr>
            <w:noProof/>
            <w:webHidden/>
          </w:rPr>
          <w:tab/>
        </w:r>
        <w:r>
          <w:rPr>
            <w:noProof/>
            <w:webHidden/>
          </w:rPr>
          <w:fldChar w:fldCharType="begin"/>
        </w:r>
        <w:r>
          <w:rPr>
            <w:noProof/>
            <w:webHidden/>
          </w:rPr>
          <w:instrText xml:space="preserve"> PAGEREF _Toc162948273 \h </w:instrText>
        </w:r>
        <w:r>
          <w:rPr>
            <w:noProof/>
            <w:webHidden/>
          </w:rPr>
        </w:r>
        <w:r>
          <w:rPr>
            <w:noProof/>
            <w:webHidden/>
          </w:rPr>
          <w:fldChar w:fldCharType="separate"/>
        </w:r>
        <w:r>
          <w:rPr>
            <w:noProof/>
            <w:webHidden/>
          </w:rPr>
          <w:t>38</w:t>
        </w:r>
        <w:r>
          <w:rPr>
            <w:noProof/>
            <w:webHidden/>
          </w:rPr>
          <w:fldChar w:fldCharType="end"/>
        </w:r>
      </w:hyperlink>
    </w:p>
    <w:p w14:paraId="7D80C65E" w14:textId="4E4C5334"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74" w:history="1">
        <w:r w:rsidRPr="00314009">
          <w:rPr>
            <w:rStyle w:val="Hyperlink"/>
            <w:noProof/>
          </w:rPr>
          <w:t>Table 7. Rank of average biological condition gradient attribute scores for each stressor in each impaired stream.</w:t>
        </w:r>
        <w:r>
          <w:rPr>
            <w:noProof/>
            <w:webHidden/>
          </w:rPr>
          <w:tab/>
        </w:r>
        <w:r>
          <w:rPr>
            <w:noProof/>
            <w:webHidden/>
          </w:rPr>
          <w:fldChar w:fldCharType="begin"/>
        </w:r>
        <w:r>
          <w:rPr>
            <w:noProof/>
            <w:webHidden/>
          </w:rPr>
          <w:instrText xml:space="preserve"> PAGEREF _Toc162948274 \h </w:instrText>
        </w:r>
        <w:r>
          <w:rPr>
            <w:noProof/>
            <w:webHidden/>
          </w:rPr>
        </w:r>
        <w:r>
          <w:rPr>
            <w:noProof/>
            <w:webHidden/>
          </w:rPr>
          <w:fldChar w:fldCharType="separate"/>
        </w:r>
        <w:r>
          <w:rPr>
            <w:noProof/>
            <w:webHidden/>
          </w:rPr>
          <w:t>39</w:t>
        </w:r>
        <w:r>
          <w:rPr>
            <w:noProof/>
            <w:webHidden/>
          </w:rPr>
          <w:fldChar w:fldCharType="end"/>
        </w:r>
      </w:hyperlink>
    </w:p>
    <w:p w14:paraId="504700FA" w14:textId="178640D6"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75" w:history="1">
        <w:r w:rsidRPr="00314009">
          <w:rPr>
            <w:rStyle w:val="Hyperlink"/>
            <w:noProof/>
          </w:rPr>
          <w:t>Table 8. Log relative bed stability index for Roanoke River Project streams.</w:t>
        </w:r>
        <w:r>
          <w:rPr>
            <w:noProof/>
            <w:webHidden/>
          </w:rPr>
          <w:tab/>
        </w:r>
        <w:r>
          <w:rPr>
            <w:noProof/>
            <w:webHidden/>
          </w:rPr>
          <w:fldChar w:fldCharType="begin"/>
        </w:r>
        <w:r>
          <w:rPr>
            <w:noProof/>
            <w:webHidden/>
          </w:rPr>
          <w:instrText xml:space="preserve"> PAGEREF _Toc162948275 \h </w:instrText>
        </w:r>
        <w:r>
          <w:rPr>
            <w:noProof/>
            <w:webHidden/>
          </w:rPr>
        </w:r>
        <w:r>
          <w:rPr>
            <w:noProof/>
            <w:webHidden/>
          </w:rPr>
          <w:fldChar w:fldCharType="separate"/>
        </w:r>
        <w:r>
          <w:rPr>
            <w:noProof/>
            <w:webHidden/>
          </w:rPr>
          <w:t>46</w:t>
        </w:r>
        <w:r>
          <w:rPr>
            <w:noProof/>
            <w:webHidden/>
          </w:rPr>
          <w:fldChar w:fldCharType="end"/>
        </w:r>
      </w:hyperlink>
    </w:p>
    <w:p w14:paraId="4EFD6856" w14:textId="23254293"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76" w:history="1">
        <w:r w:rsidRPr="00314009">
          <w:rPr>
            <w:rStyle w:val="Hyperlink"/>
            <w:noProof/>
          </w:rPr>
          <w:t>Table 9. Land cover upstream from benthic monitoring stations.</w:t>
        </w:r>
        <w:r>
          <w:rPr>
            <w:noProof/>
            <w:webHidden/>
          </w:rPr>
          <w:tab/>
        </w:r>
        <w:r>
          <w:rPr>
            <w:noProof/>
            <w:webHidden/>
          </w:rPr>
          <w:fldChar w:fldCharType="begin"/>
        </w:r>
        <w:r>
          <w:rPr>
            <w:noProof/>
            <w:webHidden/>
          </w:rPr>
          <w:instrText xml:space="preserve"> PAGEREF _Toc162948276 \h </w:instrText>
        </w:r>
        <w:r>
          <w:rPr>
            <w:noProof/>
            <w:webHidden/>
          </w:rPr>
        </w:r>
        <w:r>
          <w:rPr>
            <w:noProof/>
            <w:webHidden/>
          </w:rPr>
          <w:fldChar w:fldCharType="separate"/>
        </w:r>
        <w:r>
          <w:rPr>
            <w:noProof/>
            <w:webHidden/>
          </w:rPr>
          <w:t>48</w:t>
        </w:r>
        <w:r>
          <w:rPr>
            <w:noProof/>
            <w:webHidden/>
          </w:rPr>
          <w:fldChar w:fldCharType="end"/>
        </w:r>
      </w:hyperlink>
    </w:p>
    <w:p w14:paraId="6A988C32" w14:textId="7E4C8228"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77" w:history="1">
        <w:r w:rsidRPr="00314009">
          <w:rPr>
            <w:rStyle w:val="Hyperlink"/>
            <w:noProof/>
          </w:rPr>
          <w:t>Table 10. Regression relationship between land cover and stream condition index (SCI) scores.</w:t>
        </w:r>
        <w:r>
          <w:rPr>
            <w:noProof/>
            <w:webHidden/>
          </w:rPr>
          <w:tab/>
        </w:r>
        <w:r>
          <w:rPr>
            <w:noProof/>
            <w:webHidden/>
          </w:rPr>
          <w:fldChar w:fldCharType="begin"/>
        </w:r>
        <w:r>
          <w:rPr>
            <w:noProof/>
            <w:webHidden/>
          </w:rPr>
          <w:instrText xml:space="preserve"> PAGEREF _Toc162948277 \h </w:instrText>
        </w:r>
        <w:r>
          <w:rPr>
            <w:noProof/>
            <w:webHidden/>
          </w:rPr>
        </w:r>
        <w:r>
          <w:rPr>
            <w:noProof/>
            <w:webHidden/>
          </w:rPr>
          <w:fldChar w:fldCharType="separate"/>
        </w:r>
        <w:r>
          <w:rPr>
            <w:noProof/>
            <w:webHidden/>
          </w:rPr>
          <w:t>49</w:t>
        </w:r>
        <w:r>
          <w:rPr>
            <w:noProof/>
            <w:webHidden/>
          </w:rPr>
          <w:fldChar w:fldCharType="end"/>
        </w:r>
      </w:hyperlink>
    </w:p>
    <w:p w14:paraId="79475C03" w14:textId="4E9F2E70"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78" w:history="1">
        <w:r w:rsidRPr="00314009">
          <w:rPr>
            <w:rStyle w:val="Hyperlink"/>
            <w:noProof/>
          </w:rPr>
          <w:t>Table 11. Dissolved metals concentrations and corresponding water quality standards for Roanoke River Project streams.</w:t>
        </w:r>
        <w:r>
          <w:rPr>
            <w:noProof/>
            <w:webHidden/>
          </w:rPr>
          <w:tab/>
        </w:r>
        <w:r>
          <w:rPr>
            <w:noProof/>
            <w:webHidden/>
          </w:rPr>
          <w:fldChar w:fldCharType="begin"/>
        </w:r>
        <w:r>
          <w:rPr>
            <w:noProof/>
            <w:webHidden/>
          </w:rPr>
          <w:instrText xml:space="preserve"> PAGEREF _Toc162948278 \h </w:instrText>
        </w:r>
        <w:r>
          <w:rPr>
            <w:noProof/>
            <w:webHidden/>
          </w:rPr>
        </w:r>
        <w:r>
          <w:rPr>
            <w:noProof/>
            <w:webHidden/>
          </w:rPr>
          <w:fldChar w:fldCharType="separate"/>
        </w:r>
        <w:r>
          <w:rPr>
            <w:noProof/>
            <w:webHidden/>
          </w:rPr>
          <w:t>92</w:t>
        </w:r>
        <w:r>
          <w:rPr>
            <w:noProof/>
            <w:webHidden/>
          </w:rPr>
          <w:fldChar w:fldCharType="end"/>
        </w:r>
      </w:hyperlink>
    </w:p>
    <w:p w14:paraId="41A1D6FA" w14:textId="5AE1F267"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79" w:history="1">
        <w:r w:rsidRPr="00314009">
          <w:rPr>
            <w:rStyle w:val="Hyperlink"/>
            <w:noProof/>
          </w:rPr>
          <w:t>Table 12. Dissolved metals concentrations and corresponding toxicity reference values for Roanoke River Project streams.</w:t>
        </w:r>
        <w:r>
          <w:rPr>
            <w:noProof/>
            <w:webHidden/>
          </w:rPr>
          <w:tab/>
        </w:r>
        <w:r>
          <w:rPr>
            <w:noProof/>
            <w:webHidden/>
          </w:rPr>
          <w:fldChar w:fldCharType="begin"/>
        </w:r>
        <w:r>
          <w:rPr>
            <w:noProof/>
            <w:webHidden/>
          </w:rPr>
          <w:instrText xml:space="preserve"> PAGEREF _Toc162948279 \h </w:instrText>
        </w:r>
        <w:r>
          <w:rPr>
            <w:noProof/>
            <w:webHidden/>
          </w:rPr>
        </w:r>
        <w:r>
          <w:rPr>
            <w:noProof/>
            <w:webHidden/>
          </w:rPr>
          <w:fldChar w:fldCharType="separate"/>
        </w:r>
        <w:r>
          <w:rPr>
            <w:noProof/>
            <w:webHidden/>
          </w:rPr>
          <w:t>93</w:t>
        </w:r>
        <w:r>
          <w:rPr>
            <w:noProof/>
            <w:webHidden/>
          </w:rPr>
          <w:fldChar w:fldCharType="end"/>
        </w:r>
      </w:hyperlink>
    </w:p>
    <w:p w14:paraId="78C10045" w14:textId="4A007D3D"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80" w:history="1">
        <w:r w:rsidRPr="00314009">
          <w:rPr>
            <w:rStyle w:val="Hyperlink"/>
            <w:noProof/>
          </w:rPr>
          <w:t>Table 13. Cumulative criterion units and toxicity reference value index scores for dissolved metals in Roanoke River Project streams and tributaries.</w:t>
        </w:r>
        <w:r>
          <w:rPr>
            <w:noProof/>
            <w:webHidden/>
          </w:rPr>
          <w:tab/>
        </w:r>
        <w:r>
          <w:rPr>
            <w:noProof/>
            <w:webHidden/>
          </w:rPr>
          <w:fldChar w:fldCharType="begin"/>
        </w:r>
        <w:r>
          <w:rPr>
            <w:noProof/>
            <w:webHidden/>
          </w:rPr>
          <w:instrText xml:space="preserve"> PAGEREF _Toc162948280 \h </w:instrText>
        </w:r>
        <w:r>
          <w:rPr>
            <w:noProof/>
            <w:webHidden/>
          </w:rPr>
        </w:r>
        <w:r>
          <w:rPr>
            <w:noProof/>
            <w:webHidden/>
          </w:rPr>
          <w:fldChar w:fldCharType="separate"/>
        </w:r>
        <w:r>
          <w:rPr>
            <w:noProof/>
            <w:webHidden/>
          </w:rPr>
          <w:t>93</w:t>
        </w:r>
        <w:r>
          <w:rPr>
            <w:noProof/>
            <w:webHidden/>
          </w:rPr>
          <w:fldChar w:fldCharType="end"/>
        </w:r>
      </w:hyperlink>
    </w:p>
    <w:p w14:paraId="1F3453E6" w14:textId="0B595E8A"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81" w:history="1">
        <w:r w:rsidRPr="00314009">
          <w:rPr>
            <w:rStyle w:val="Hyperlink"/>
            <w:noProof/>
          </w:rPr>
          <w:t>Table 14. Whole effluent toxicity test results directly upstream and downstream of the Western Virginia Water Authority Water Pollution Control Plant discharge.</w:t>
        </w:r>
        <w:r>
          <w:rPr>
            <w:noProof/>
            <w:webHidden/>
          </w:rPr>
          <w:tab/>
        </w:r>
        <w:r>
          <w:rPr>
            <w:noProof/>
            <w:webHidden/>
          </w:rPr>
          <w:fldChar w:fldCharType="begin"/>
        </w:r>
        <w:r>
          <w:rPr>
            <w:noProof/>
            <w:webHidden/>
          </w:rPr>
          <w:instrText xml:space="preserve"> PAGEREF _Toc162948281 \h </w:instrText>
        </w:r>
        <w:r>
          <w:rPr>
            <w:noProof/>
            <w:webHidden/>
          </w:rPr>
        </w:r>
        <w:r>
          <w:rPr>
            <w:noProof/>
            <w:webHidden/>
          </w:rPr>
          <w:fldChar w:fldCharType="separate"/>
        </w:r>
        <w:r>
          <w:rPr>
            <w:noProof/>
            <w:webHidden/>
          </w:rPr>
          <w:t>95</w:t>
        </w:r>
        <w:r>
          <w:rPr>
            <w:noProof/>
            <w:webHidden/>
          </w:rPr>
          <w:fldChar w:fldCharType="end"/>
        </w:r>
      </w:hyperlink>
    </w:p>
    <w:p w14:paraId="358369B5" w14:textId="6C1B7C42"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82" w:history="1">
        <w:r w:rsidRPr="00314009">
          <w:rPr>
            <w:rStyle w:val="Hyperlink"/>
            <w:noProof/>
          </w:rPr>
          <w:t>Table 15. Whole effluent toxicity test results for the Roanoke River.</w:t>
        </w:r>
        <w:r>
          <w:rPr>
            <w:noProof/>
            <w:webHidden/>
          </w:rPr>
          <w:tab/>
        </w:r>
        <w:r>
          <w:rPr>
            <w:noProof/>
            <w:webHidden/>
          </w:rPr>
          <w:fldChar w:fldCharType="begin"/>
        </w:r>
        <w:r>
          <w:rPr>
            <w:noProof/>
            <w:webHidden/>
          </w:rPr>
          <w:instrText xml:space="preserve"> PAGEREF _Toc162948282 \h </w:instrText>
        </w:r>
        <w:r>
          <w:rPr>
            <w:noProof/>
            <w:webHidden/>
          </w:rPr>
        </w:r>
        <w:r>
          <w:rPr>
            <w:noProof/>
            <w:webHidden/>
          </w:rPr>
          <w:fldChar w:fldCharType="separate"/>
        </w:r>
        <w:r>
          <w:rPr>
            <w:noProof/>
            <w:webHidden/>
          </w:rPr>
          <w:t>96</w:t>
        </w:r>
        <w:r>
          <w:rPr>
            <w:noProof/>
            <w:webHidden/>
          </w:rPr>
          <w:fldChar w:fldCharType="end"/>
        </w:r>
      </w:hyperlink>
    </w:p>
    <w:p w14:paraId="0D7B25B7" w14:textId="792AFDD2"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83" w:history="1">
        <w:r w:rsidRPr="00314009">
          <w:rPr>
            <w:rStyle w:val="Hyperlink"/>
            <w:noProof/>
          </w:rPr>
          <w:t>Table 16. PFAS concentrations in Roanoke River Project streams.</w:t>
        </w:r>
        <w:r>
          <w:rPr>
            <w:noProof/>
            <w:webHidden/>
          </w:rPr>
          <w:tab/>
        </w:r>
        <w:r>
          <w:rPr>
            <w:noProof/>
            <w:webHidden/>
          </w:rPr>
          <w:fldChar w:fldCharType="begin"/>
        </w:r>
        <w:r>
          <w:rPr>
            <w:noProof/>
            <w:webHidden/>
          </w:rPr>
          <w:instrText xml:space="preserve"> PAGEREF _Toc162948283 \h </w:instrText>
        </w:r>
        <w:r>
          <w:rPr>
            <w:noProof/>
            <w:webHidden/>
          </w:rPr>
        </w:r>
        <w:r>
          <w:rPr>
            <w:noProof/>
            <w:webHidden/>
          </w:rPr>
          <w:fldChar w:fldCharType="separate"/>
        </w:r>
        <w:r>
          <w:rPr>
            <w:noProof/>
            <w:webHidden/>
          </w:rPr>
          <w:t>97</w:t>
        </w:r>
        <w:r>
          <w:rPr>
            <w:noProof/>
            <w:webHidden/>
          </w:rPr>
          <w:fldChar w:fldCharType="end"/>
        </w:r>
      </w:hyperlink>
    </w:p>
    <w:p w14:paraId="4862929B" w14:textId="30CFEBF2"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84" w:history="1">
        <w:r w:rsidRPr="00314009">
          <w:rPr>
            <w:rStyle w:val="Hyperlink"/>
            <w:noProof/>
          </w:rPr>
          <w:t>Table 17. Metals concentrations in sediments from Roanoke River Project streams.</w:t>
        </w:r>
        <w:r>
          <w:rPr>
            <w:noProof/>
            <w:webHidden/>
          </w:rPr>
          <w:tab/>
        </w:r>
        <w:r>
          <w:rPr>
            <w:noProof/>
            <w:webHidden/>
          </w:rPr>
          <w:fldChar w:fldCharType="begin"/>
        </w:r>
        <w:r>
          <w:rPr>
            <w:noProof/>
            <w:webHidden/>
          </w:rPr>
          <w:instrText xml:space="preserve"> PAGEREF _Toc162948284 \h </w:instrText>
        </w:r>
        <w:r>
          <w:rPr>
            <w:noProof/>
            <w:webHidden/>
          </w:rPr>
        </w:r>
        <w:r>
          <w:rPr>
            <w:noProof/>
            <w:webHidden/>
          </w:rPr>
          <w:fldChar w:fldCharType="separate"/>
        </w:r>
        <w:r>
          <w:rPr>
            <w:noProof/>
            <w:webHidden/>
          </w:rPr>
          <w:t>99</w:t>
        </w:r>
        <w:r>
          <w:rPr>
            <w:noProof/>
            <w:webHidden/>
          </w:rPr>
          <w:fldChar w:fldCharType="end"/>
        </w:r>
      </w:hyperlink>
    </w:p>
    <w:p w14:paraId="089F15D6" w14:textId="2D12F42F"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85" w:history="1">
        <w:r w:rsidRPr="00314009">
          <w:rPr>
            <w:rStyle w:val="Hyperlink"/>
            <w:noProof/>
          </w:rPr>
          <w:t>Table 18. Polycyclic aromatic hydrocarbon (PAH) concentrations in sediments from Roanoke River Project streams.</w:t>
        </w:r>
        <w:r>
          <w:rPr>
            <w:noProof/>
            <w:webHidden/>
          </w:rPr>
          <w:tab/>
        </w:r>
        <w:r>
          <w:rPr>
            <w:noProof/>
            <w:webHidden/>
          </w:rPr>
          <w:fldChar w:fldCharType="begin"/>
        </w:r>
        <w:r>
          <w:rPr>
            <w:noProof/>
            <w:webHidden/>
          </w:rPr>
          <w:instrText xml:space="preserve"> PAGEREF _Toc162948285 \h </w:instrText>
        </w:r>
        <w:r>
          <w:rPr>
            <w:noProof/>
            <w:webHidden/>
          </w:rPr>
        </w:r>
        <w:r>
          <w:rPr>
            <w:noProof/>
            <w:webHidden/>
          </w:rPr>
          <w:fldChar w:fldCharType="separate"/>
        </w:r>
        <w:r>
          <w:rPr>
            <w:noProof/>
            <w:webHidden/>
          </w:rPr>
          <w:t>100</w:t>
        </w:r>
        <w:r>
          <w:rPr>
            <w:noProof/>
            <w:webHidden/>
          </w:rPr>
          <w:fldChar w:fldCharType="end"/>
        </w:r>
      </w:hyperlink>
    </w:p>
    <w:p w14:paraId="5A1557D5" w14:textId="755E3343"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86" w:history="1">
        <w:r w:rsidRPr="00314009">
          <w:rPr>
            <w:rStyle w:val="Hyperlink"/>
            <w:noProof/>
          </w:rPr>
          <w:t>Table 19. Polychlorinated biphenyl (PCB) concentrations in sediments reported from Roanoke River PCB TMDL.</w:t>
        </w:r>
        <w:r>
          <w:rPr>
            <w:noProof/>
            <w:webHidden/>
          </w:rPr>
          <w:tab/>
        </w:r>
        <w:r>
          <w:rPr>
            <w:noProof/>
            <w:webHidden/>
          </w:rPr>
          <w:fldChar w:fldCharType="begin"/>
        </w:r>
        <w:r>
          <w:rPr>
            <w:noProof/>
            <w:webHidden/>
          </w:rPr>
          <w:instrText xml:space="preserve"> PAGEREF _Toc162948286 \h </w:instrText>
        </w:r>
        <w:r>
          <w:rPr>
            <w:noProof/>
            <w:webHidden/>
          </w:rPr>
        </w:r>
        <w:r>
          <w:rPr>
            <w:noProof/>
            <w:webHidden/>
          </w:rPr>
          <w:fldChar w:fldCharType="separate"/>
        </w:r>
        <w:r>
          <w:rPr>
            <w:noProof/>
            <w:webHidden/>
          </w:rPr>
          <w:t>101</w:t>
        </w:r>
        <w:r>
          <w:rPr>
            <w:noProof/>
            <w:webHidden/>
          </w:rPr>
          <w:fldChar w:fldCharType="end"/>
        </w:r>
      </w:hyperlink>
    </w:p>
    <w:p w14:paraId="7FD75CD8" w14:textId="63BA7581"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87" w:history="1">
        <w:r w:rsidRPr="00314009">
          <w:rPr>
            <w:rStyle w:val="Hyperlink"/>
            <w:noProof/>
          </w:rPr>
          <w:t>Table 20. Regression relationship between water quality parameters and stream condition index (SCI) scores across Roanoke River Project primary benthic stations.</w:t>
        </w:r>
        <w:r>
          <w:rPr>
            <w:noProof/>
            <w:webHidden/>
          </w:rPr>
          <w:tab/>
        </w:r>
        <w:r>
          <w:rPr>
            <w:noProof/>
            <w:webHidden/>
          </w:rPr>
          <w:fldChar w:fldCharType="begin"/>
        </w:r>
        <w:r>
          <w:rPr>
            <w:noProof/>
            <w:webHidden/>
          </w:rPr>
          <w:instrText xml:space="preserve"> PAGEREF _Toc162948287 \h </w:instrText>
        </w:r>
        <w:r>
          <w:rPr>
            <w:noProof/>
            <w:webHidden/>
          </w:rPr>
        </w:r>
        <w:r>
          <w:rPr>
            <w:noProof/>
            <w:webHidden/>
          </w:rPr>
          <w:fldChar w:fldCharType="separate"/>
        </w:r>
        <w:r>
          <w:rPr>
            <w:noProof/>
            <w:webHidden/>
          </w:rPr>
          <w:t>102</w:t>
        </w:r>
        <w:r>
          <w:rPr>
            <w:noProof/>
            <w:webHidden/>
          </w:rPr>
          <w:fldChar w:fldCharType="end"/>
        </w:r>
      </w:hyperlink>
    </w:p>
    <w:p w14:paraId="0411BBD7" w14:textId="05E5344D"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88" w:history="1">
        <w:r w:rsidRPr="00314009">
          <w:rPr>
            <w:rStyle w:val="Hyperlink"/>
            <w:noProof/>
          </w:rPr>
          <w:t>Table 21. Regression relationship between water quality parameters and stream condition index (SCI) scores in the Roanoke River.</w:t>
        </w:r>
        <w:r>
          <w:rPr>
            <w:noProof/>
            <w:webHidden/>
          </w:rPr>
          <w:tab/>
        </w:r>
        <w:r>
          <w:rPr>
            <w:noProof/>
            <w:webHidden/>
          </w:rPr>
          <w:fldChar w:fldCharType="begin"/>
        </w:r>
        <w:r>
          <w:rPr>
            <w:noProof/>
            <w:webHidden/>
          </w:rPr>
          <w:instrText xml:space="preserve"> PAGEREF _Toc162948288 \h </w:instrText>
        </w:r>
        <w:r>
          <w:rPr>
            <w:noProof/>
            <w:webHidden/>
          </w:rPr>
        </w:r>
        <w:r>
          <w:rPr>
            <w:noProof/>
            <w:webHidden/>
          </w:rPr>
          <w:fldChar w:fldCharType="separate"/>
        </w:r>
        <w:r>
          <w:rPr>
            <w:noProof/>
            <w:webHidden/>
          </w:rPr>
          <w:t>103</w:t>
        </w:r>
        <w:r>
          <w:rPr>
            <w:noProof/>
            <w:webHidden/>
          </w:rPr>
          <w:fldChar w:fldCharType="end"/>
        </w:r>
      </w:hyperlink>
    </w:p>
    <w:p w14:paraId="375FD3D7" w14:textId="650B6CAE"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89" w:history="1">
        <w:r w:rsidRPr="00314009">
          <w:rPr>
            <w:rStyle w:val="Hyperlink"/>
            <w:noProof/>
          </w:rPr>
          <w:t>Table 22. Stream condition index scores for benthic data collected by Biological Monitoring Inc.</w:t>
        </w:r>
        <w:r>
          <w:rPr>
            <w:noProof/>
            <w:webHidden/>
          </w:rPr>
          <w:tab/>
        </w:r>
        <w:r>
          <w:rPr>
            <w:noProof/>
            <w:webHidden/>
          </w:rPr>
          <w:fldChar w:fldCharType="begin"/>
        </w:r>
        <w:r>
          <w:rPr>
            <w:noProof/>
            <w:webHidden/>
          </w:rPr>
          <w:instrText xml:space="preserve"> PAGEREF _Toc162948289 \h </w:instrText>
        </w:r>
        <w:r>
          <w:rPr>
            <w:noProof/>
            <w:webHidden/>
          </w:rPr>
        </w:r>
        <w:r>
          <w:rPr>
            <w:noProof/>
            <w:webHidden/>
          </w:rPr>
          <w:fldChar w:fldCharType="separate"/>
        </w:r>
        <w:r>
          <w:rPr>
            <w:noProof/>
            <w:webHidden/>
          </w:rPr>
          <w:t>105</w:t>
        </w:r>
        <w:r>
          <w:rPr>
            <w:noProof/>
            <w:webHidden/>
          </w:rPr>
          <w:fldChar w:fldCharType="end"/>
        </w:r>
      </w:hyperlink>
    </w:p>
    <w:p w14:paraId="724EA370" w14:textId="43B5A285"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90" w:history="1">
        <w:r w:rsidRPr="00314009">
          <w:rPr>
            <w:rStyle w:val="Hyperlink"/>
            <w:noProof/>
          </w:rPr>
          <w:t>Table 23. Habitat scores collected by Biological Monitoring Inc.</w:t>
        </w:r>
        <w:r>
          <w:rPr>
            <w:noProof/>
            <w:webHidden/>
          </w:rPr>
          <w:tab/>
        </w:r>
        <w:r>
          <w:rPr>
            <w:noProof/>
            <w:webHidden/>
          </w:rPr>
          <w:fldChar w:fldCharType="begin"/>
        </w:r>
        <w:r>
          <w:rPr>
            <w:noProof/>
            <w:webHidden/>
          </w:rPr>
          <w:instrText xml:space="preserve"> PAGEREF _Toc162948290 \h </w:instrText>
        </w:r>
        <w:r>
          <w:rPr>
            <w:noProof/>
            <w:webHidden/>
          </w:rPr>
        </w:r>
        <w:r>
          <w:rPr>
            <w:noProof/>
            <w:webHidden/>
          </w:rPr>
          <w:fldChar w:fldCharType="separate"/>
        </w:r>
        <w:r>
          <w:rPr>
            <w:noProof/>
            <w:webHidden/>
          </w:rPr>
          <w:t>106</w:t>
        </w:r>
        <w:r>
          <w:rPr>
            <w:noProof/>
            <w:webHidden/>
          </w:rPr>
          <w:fldChar w:fldCharType="end"/>
        </w:r>
      </w:hyperlink>
    </w:p>
    <w:p w14:paraId="4DE0F2B4" w14:textId="197653C2"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91" w:history="1">
        <w:r w:rsidRPr="00314009">
          <w:rPr>
            <w:rStyle w:val="Hyperlink"/>
            <w:noProof/>
          </w:rPr>
          <w:t>Table 24. Benthic macroinvertebrate stream condition index (SCI) scores from FERC study.</w:t>
        </w:r>
        <w:r>
          <w:rPr>
            <w:noProof/>
            <w:webHidden/>
          </w:rPr>
          <w:tab/>
        </w:r>
        <w:r>
          <w:rPr>
            <w:noProof/>
            <w:webHidden/>
          </w:rPr>
          <w:fldChar w:fldCharType="begin"/>
        </w:r>
        <w:r>
          <w:rPr>
            <w:noProof/>
            <w:webHidden/>
          </w:rPr>
          <w:instrText xml:space="preserve"> PAGEREF _Toc162948291 \h </w:instrText>
        </w:r>
        <w:r>
          <w:rPr>
            <w:noProof/>
            <w:webHidden/>
          </w:rPr>
        </w:r>
        <w:r>
          <w:rPr>
            <w:noProof/>
            <w:webHidden/>
          </w:rPr>
          <w:fldChar w:fldCharType="separate"/>
        </w:r>
        <w:r>
          <w:rPr>
            <w:noProof/>
            <w:webHidden/>
          </w:rPr>
          <w:t>108</w:t>
        </w:r>
        <w:r>
          <w:rPr>
            <w:noProof/>
            <w:webHidden/>
          </w:rPr>
          <w:fldChar w:fldCharType="end"/>
        </w:r>
      </w:hyperlink>
    </w:p>
    <w:p w14:paraId="49CBB656" w14:textId="7EA8002E"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92" w:history="1">
        <w:r w:rsidRPr="00314009">
          <w:rPr>
            <w:rStyle w:val="Hyperlink"/>
            <w:noProof/>
          </w:rPr>
          <w:t>Table 25. Lines of evidence used in the causal analysis approach.</w:t>
        </w:r>
        <w:r>
          <w:rPr>
            <w:noProof/>
            <w:webHidden/>
          </w:rPr>
          <w:tab/>
        </w:r>
        <w:r>
          <w:rPr>
            <w:noProof/>
            <w:webHidden/>
          </w:rPr>
          <w:fldChar w:fldCharType="begin"/>
        </w:r>
        <w:r>
          <w:rPr>
            <w:noProof/>
            <w:webHidden/>
          </w:rPr>
          <w:instrText xml:space="preserve"> PAGEREF _Toc162948292 \h </w:instrText>
        </w:r>
        <w:r>
          <w:rPr>
            <w:noProof/>
            <w:webHidden/>
          </w:rPr>
        </w:r>
        <w:r>
          <w:rPr>
            <w:noProof/>
            <w:webHidden/>
          </w:rPr>
          <w:fldChar w:fldCharType="separate"/>
        </w:r>
        <w:r>
          <w:rPr>
            <w:noProof/>
            <w:webHidden/>
          </w:rPr>
          <w:t>109</w:t>
        </w:r>
        <w:r>
          <w:rPr>
            <w:noProof/>
            <w:webHidden/>
          </w:rPr>
          <w:fldChar w:fldCharType="end"/>
        </w:r>
      </w:hyperlink>
    </w:p>
    <w:p w14:paraId="271EDE01" w14:textId="2F14A266"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93" w:history="1">
        <w:r w:rsidRPr="00314009">
          <w:rPr>
            <w:rStyle w:val="Hyperlink"/>
            <w:noProof/>
          </w:rPr>
          <w:t>Table 26. Scoring criteria used to evaluate candidate stressors.</w:t>
        </w:r>
        <w:r>
          <w:rPr>
            <w:noProof/>
            <w:webHidden/>
          </w:rPr>
          <w:tab/>
        </w:r>
        <w:r>
          <w:rPr>
            <w:noProof/>
            <w:webHidden/>
          </w:rPr>
          <w:fldChar w:fldCharType="begin"/>
        </w:r>
        <w:r>
          <w:rPr>
            <w:noProof/>
            <w:webHidden/>
          </w:rPr>
          <w:instrText xml:space="preserve"> PAGEREF _Toc162948293 \h </w:instrText>
        </w:r>
        <w:r>
          <w:rPr>
            <w:noProof/>
            <w:webHidden/>
          </w:rPr>
        </w:r>
        <w:r>
          <w:rPr>
            <w:noProof/>
            <w:webHidden/>
          </w:rPr>
          <w:fldChar w:fldCharType="separate"/>
        </w:r>
        <w:r>
          <w:rPr>
            <w:noProof/>
            <w:webHidden/>
          </w:rPr>
          <w:t>111</w:t>
        </w:r>
        <w:r>
          <w:rPr>
            <w:noProof/>
            <w:webHidden/>
          </w:rPr>
          <w:fldChar w:fldCharType="end"/>
        </w:r>
      </w:hyperlink>
    </w:p>
    <w:p w14:paraId="6637A141" w14:textId="3CC8F89D"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94" w:history="1">
        <w:r w:rsidRPr="00314009">
          <w:rPr>
            <w:rStyle w:val="Hyperlink"/>
            <w:noProof/>
          </w:rPr>
          <w:t>Table 27. Scheme for classifying candidate causes based on causal analysis.</w:t>
        </w:r>
        <w:r>
          <w:rPr>
            <w:noProof/>
            <w:webHidden/>
          </w:rPr>
          <w:tab/>
        </w:r>
        <w:r>
          <w:rPr>
            <w:noProof/>
            <w:webHidden/>
          </w:rPr>
          <w:fldChar w:fldCharType="begin"/>
        </w:r>
        <w:r>
          <w:rPr>
            <w:noProof/>
            <w:webHidden/>
          </w:rPr>
          <w:instrText xml:space="preserve"> PAGEREF _Toc162948294 \h </w:instrText>
        </w:r>
        <w:r>
          <w:rPr>
            <w:noProof/>
            <w:webHidden/>
          </w:rPr>
        </w:r>
        <w:r>
          <w:rPr>
            <w:noProof/>
            <w:webHidden/>
          </w:rPr>
          <w:fldChar w:fldCharType="separate"/>
        </w:r>
        <w:r>
          <w:rPr>
            <w:noProof/>
            <w:webHidden/>
          </w:rPr>
          <w:t>111</w:t>
        </w:r>
        <w:r>
          <w:rPr>
            <w:noProof/>
            <w:webHidden/>
          </w:rPr>
          <w:fldChar w:fldCharType="end"/>
        </w:r>
      </w:hyperlink>
    </w:p>
    <w:p w14:paraId="7F323318" w14:textId="38261470"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95" w:history="1">
        <w:r w:rsidRPr="00314009">
          <w:rPr>
            <w:rStyle w:val="Hyperlink"/>
            <w:noProof/>
          </w:rPr>
          <w:t>Table 28. Causal analysis results for temperature as a stressor.</w:t>
        </w:r>
        <w:r>
          <w:rPr>
            <w:noProof/>
            <w:webHidden/>
          </w:rPr>
          <w:tab/>
        </w:r>
        <w:r>
          <w:rPr>
            <w:noProof/>
            <w:webHidden/>
          </w:rPr>
          <w:fldChar w:fldCharType="begin"/>
        </w:r>
        <w:r>
          <w:rPr>
            <w:noProof/>
            <w:webHidden/>
          </w:rPr>
          <w:instrText xml:space="preserve"> PAGEREF _Toc162948295 \h </w:instrText>
        </w:r>
        <w:r>
          <w:rPr>
            <w:noProof/>
            <w:webHidden/>
          </w:rPr>
        </w:r>
        <w:r>
          <w:rPr>
            <w:noProof/>
            <w:webHidden/>
          </w:rPr>
          <w:fldChar w:fldCharType="separate"/>
        </w:r>
        <w:r>
          <w:rPr>
            <w:noProof/>
            <w:webHidden/>
          </w:rPr>
          <w:t>112</w:t>
        </w:r>
        <w:r>
          <w:rPr>
            <w:noProof/>
            <w:webHidden/>
          </w:rPr>
          <w:fldChar w:fldCharType="end"/>
        </w:r>
      </w:hyperlink>
    </w:p>
    <w:p w14:paraId="43DF22EB" w14:textId="276E5D58"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96" w:history="1">
        <w:r w:rsidRPr="00314009">
          <w:rPr>
            <w:rStyle w:val="Hyperlink"/>
            <w:noProof/>
          </w:rPr>
          <w:t>Table 29. Causal analysis results for pH as a stressor.</w:t>
        </w:r>
        <w:r>
          <w:rPr>
            <w:noProof/>
            <w:webHidden/>
          </w:rPr>
          <w:tab/>
        </w:r>
        <w:r>
          <w:rPr>
            <w:noProof/>
            <w:webHidden/>
          </w:rPr>
          <w:fldChar w:fldCharType="begin"/>
        </w:r>
        <w:r>
          <w:rPr>
            <w:noProof/>
            <w:webHidden/>
          </w:rPr>
          <w:instrText xml:space="preserve"> PAGEREF _Toc162948296 \h </w:instrText>
        </w:r>
        <w:r>
          <w:rPr>
            <w:noProof/>
            <w:webHidden/>
          </w:rPr>
        </w:r>
        <w:r>
          <w:rPr>
            <w:noProof/>
            <w:webHidden/>
          </w:rPr>
          <w:fldChar w:fldCharType="separate"/>
        </w:r>
        <w:r>
          <w:rPr>
            <w:noProof/>
            <w:webHidden/>
          </w:rPr>
          <w:t>113</w:t>
        </w:r>
        <w:r>
          <w:rPr>
            <w:noProof/>
            <w:webHidden/>
          </w:rPr>
          <w:fldChar w:fldCharType="end"/>
        </w:r>
      </w:hyperlink>
    </w:p>
    <w:p w14:paraId="624B6D4E" w14:textId="1221920B"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97" w:history="1">
        <w:r w:rsidRPr="00314009">
          <w:rPr>
            <w:rStyle w:val="Hyperlink"/>
            <w:noProof/>
          </w:rPr>
          <w:t>Table 30. Causal analysis results for dissolved oxygen as a stressor.</w:t>
        </w:r>
        <w:r>
          <w:rPr>
            <w:noProof/>
            <w:webHidden/>
          </w:rPr>
          <w:tab/>
        </w:r>
        <w:r>
          <w:rPr>
            <w:noProof/>
            <w:webHidden/>
          </w:rPr>
          <w:fldChar w:fldCharType="begin"/>
        </w:r>
        <w:r>
          <w:rPr>
            <w:noProof/>
            <w:webHidden/>
          </w:rPr>
          <w:instrText xml:space="preserve"> PAGEREF _Toc162948297 \h </w:instrText>
        </w:r>
        <w:r>
          <w:rPr>
            <w:noProof/>
            <w:webHidden/>
          </w:rPr>
        </w:r>
        <w:r>
          <w:rPr>
            <w:noProof/>
            <w:webHidden/>
          </w:rPr>
          <w:fldChar w:fldCharType="separate"/>
        </w:r>
        <w:r>
          <w:rPr>
            <w:noProof/>
            <w:webHidden/>
          </w:rPr>
          <w:t>114</w:t>
        </w:r>
        <w:r>
          <w:rPr>
            <w:noProof/>
            <w:webHidden/>
          </w:rPr>
          <w:fldChar w:fldCharType="end"/>
        </w:r>
      </w:hyperlink>
    </w:p>
    <w:p w14:paraId="02AD44AC" w14:textId="35939E29"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98" w:history="1">
        <w:r w:rsidRPr="00314009">
          <w:rPr>
            <w:rStyle w:val="Hyperlink"/>
            <w:noProof/>
          </w:rPr>
          <w:t>Table 31. Causal analysis results for conductivity and dissolved solids.</w:t>
        </w:r>
        <w:r>
          <w:rPr>
            <w:noProof/>
            <w:webHidden/>
          </w:rPr>
          <w:tab/>
        </w:r>
        <w:r>
          <w:rPr>
            <w:noProof/>
            <w:webHidden/>
          </w:rPr>
          <w:fldChar w:fldCharType="begin"/>
        </w:r>
        <w:r>
          <w:rPr>
            <w:noProof/>
            <w:webHidden/>
          </w:rPr>
          <w:instrText xml:space="preserve"> PAGEREF _Toc162948298 \h </w:instrText>
        </w:r>
        <w:r>
          <w:rPr>
            <w:noProof/>
            <w:webHidden/>
          </w:rPr>
        </w:r>
        <w:r>
          <w:rPr>
            <w:noProof/>
            <w:webHidden/>
          </w:rPr>
          <w:fldChar w:fldCharType="separate"/>
        </w:r>
        <w:r>
          <w:rPr>
            <w:noProof/>
            <w:webHidden/>
          </w:rPr>
          <w:t>116</w:t>
        </w:r>
        <w:r>
          <w:rPr>
            <w:noProof/>
            <w:webHidden/>
          </w:rPr>
          <w:fldChar w:fldCharType="end"/>
        </w:r>
      </w:hyperlink>
    </w:p>
    <w:p w14:paraId="4C302D36" w14:textId="0421DAB0"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299" w:history="1">
        <w:r w:rsidRPr="00314009">
          <w:rPr>
            <w:rStyle w:val="Hyperlink"/>
            <w:noProof/>
          </w:rPr>
          <w:t>Table 32. Causal analysis results for dissolved sodium.</w:t>
        </w:r>
        <w:r>
          <w:rPr>
            <w:noProof/>
            <w:webHidden/>
          </w:rPr>
          <w:tab/>
        </w:r>
        <w:r>
          <w:rPr>
            <w:noProof/>
            <w:webHidden/>
          </w:rPr>
          <w:fldChar w:fldCharType="begin"/>
        </w:r>
        <w:r>
          <w:rPr>
            <w:noProof/>
            <w:webHidden/>
          </w:rPr>
          <w:instrText xml:space="preserve"> PAGEREF _Toc162948299 \h </w:instrText>
        </w:r>
        <w:r>
          <w:rPr>
            <w:noProof/>
            <w:webHidden/>
          </w:rPr>
        </w:r>
        <w:r>
          <w:rPr>
            <w:noProof/>
            <w:webHidden/>
          </w:rPr>
          <w:fldChar w:fldCharType="separate"/>
        </w:r>
        <w:r>
          <w:rPr>
            <w:noProof/>
            <w:webHidden/>
          </w:rPr>
          <w:t>117</w:t>
        </w:r>
        <w:r>
          <w:rPr>
            <w:noProof/>
            <w:webHidden/>
          </w:rPr>
          <w:fldChar w:fldCharType="end"/>
        </w:r>
      </w:hyperlink>
    </w:p>
    <w:p w14:paraId="6F434955" w14:textId="0F2E9882"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300" w:history="1">
        <w:r w:rsidRPr="00314009">
          <w:rPr>
            <w:rStyle w:val="Hyperlink"/>
            <w:noProof/>
          </w:rPr>
          <w:t>Table 33. Causal analysis results for dissolved potassium.</w:t>
        </w:r>
        <w:r>
          <w:rPr>
            <w:noProof/>
            <w:webHidden/>
          </w:rPr>
          <w:tab/>
        </w:r>
        <w:r>
          <w:rPr>
            <w:noProof/>
            <w:webHidden/>
          </w:rPr>
          <w:fldChar w:fldCharType="begin"/>
        </w:r>
        <w:r>
          <w:rPr>
            <w:noProof/>
            <w:webHidden/>
          </w:rPr>
          <w:instrText xml:space="preserve"> PAGEREF _Toc162948300 \h </w:instrText>
        </w:r>
        <w:r>
          <w:rPr>
            <w:noProof/>
            <w:webHidden/>
          </w:rPr>
        </w:r>
        <w:r>
          <w:rPr>
            <w:noProof/>
            <w:webHidden/>
          </w:rPr>
          <w:fldChar w:fldCharType="separate"/>
        </w:r>
        <w:r>
          <w:rPr>
            <w:noProof/>
            <w:webHidden/>
          </w:rPr>
          <w:t>119</w:t>
        </w:r>
        <w:r>
          <w:rPr>
            <w:noProof/>
            <w:webHidden/>
          </w:rPr>
          <w:fldChar w:fldCharType="end"/>
        </w:r>
      </w:hyperlink>
    </w:p>
    <w:p w14:paraId="0361351F" w14:textId="0C52B553"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301" w:history="1">
        <w:r w:rsidRPr="00314009">
          <w:rPr>
            <w:rStyle w:val="Hyperlink"/>
            <w:noProof/>
          </w:rPr>
          <w:t>Table 34. Causal analysis results for dissolved chloride.</w:t>
        </w:r>
        <w:r>
          <w:rPr>
            <w:noProof/>
            <w:webHidden/>
          </w:rPr>
          <w:tab/>
        </w:r>
        <w:r>
          <w:rPr>
            <w:noProof/>
            <w:webHidden/>
          </w:rPr>
          <w:fldChar w:fldCharType="begin"/>
        </w:r>
        <w:r>
          <w:rPr>
            <w:noProof/>
            <w:webHidden/>
          </w:rPr>
          <w:instrText xml:space="preserve"> PAGEREF _Toc162948301 \h </w:instrText>
        </w:r>
        <w:r>
          <w:rPr>
            <w:noProof/>
            <w:webHidden/>
          </w:rPr>
        </w:r>
        <w:r>
          <w:rPr>
            <w:noProof/>
            <w:webHidden/>
          </w:rPr>
          <w:fldChar w:fldCharType="separate"/>
        </w:r>
        <w:r>
          <w:rPr>
            <w:noProof/>
            <w:webHidden/>
          </w:rPr>
          <w:t>120</w:t>
        </w:r>
        <w:r>
          <w:rPr>
            <w:noProof/>
            <w:webHidden/>
          </w:rPr>
          <w:fldChar w:fldCharType="end"/>
        </w:r>
      </w:hyperlink>
    </w:p>
    <w:p w14:paraId="433FA7D3" w14:textId="587FB9AC"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302" w:history="1">
        <w:r w:rsidRPr="00314009">
          <w:rPr>
            <w:rStyle w:val="Hyperlink"/>
            <w:noProof/>
          </w:rPr>
          <w:t>Table 35. Causal analysis results for dissolved sulfate.</w:t>
        </w:r>
        <w:r>
          <w:rPr>
            <w:noProof/>
            <w:webHidden/>
          </w:rPr>
          <w:tab/>
        </w:r>
        <w:r>
          <w:rPr>
            <w:noProof/>
            <w:webHidden/>
          </w:rPr>
          <w:fldChar w:fldCharType="begin"/>
        </w:r>
        <w:r>
          <w:rPr>
            <w:noProof/>
            <w:webHidden/>
          </w:rPr>
          <w:instrText xml:space="preserve"> PAGEREF _Toc162948302 \h </w:instrText>
        </w:r>
        <w:r>
          <w:rPr>
            <w:noProof/>
            <w:webHidden/>
          </w:rPr>
        </w:r>
        <w:r>
          <w:rPr>
            <w:noProof/>
            <w:webHidden/>
          </w:rPr>
          <w:fldChar w:fldCharType="separate"/>
        </w:r>
        <w:r>
          <w:rPr>
            <w:noProof/>
            <w:webHidden/>
          </w:rPr>
          <w:t>122</w:t>
        </w:r>
        <w:r>
          <w:rPr>
            <w:noProof/>
            <w:webHidden/>
          </w:rPr>
          <w:fldChar w:fldCharType="end"/>
        </w:r>
      </w:hyperlink>
    </w:p>
    <w:p w14:paraId="7C162104" w14:textId="4B1C0A11"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303" w:history="1">
        <w:r w:rsidRPr="00314009">
          <w:rPr>
            <w:rStyle w:val="Hyperlink"/>
            <w:noProof/>
          </w:rPr>
          <w:t>Table 36. Causal analysis results for suspended solids and deposited sediment.</w:t>
        </w:r>
        <w:r>
          <w:rPr>
            <w:noProof/>
            <w:webHidden/>
          </w:rPr>
          <w:tab/>
        </w:r>
        <w:r>
          <w:rPr>
            <w:noProof/>
            <w:webHidden/>
          </w:rPr>
          <w:fldChar w:fldCharType="begin"/>
        </w:r>
        <w:r>
          <w:rPr>
            <w:noProof/>
            <w:webHidden/>
          </w:rPr>
          <w:instrText xml:space="preserve"> PAGEREF _Toc162948303 \h </w:instrText>
        </w:r>
        <w:r>
          <w:rPr>
            <w:noProof/>
            <w:webHidden/>
          </w:rPr>
        </w:r>
        <w:r>
          <w:rPr>
            <w:noProof/>
            <w:webHidden/>
          </w:rPr>
          <w:fldChar w:fldCharType="separate"/>
        </w:r>
        <w:r>
          <w:rPr>
            <w:noProof/>
            <w:webHidden/>
          </w:rPr>
          <w:t>124</w:t>
        </w:r>
        <w:r>
          <w:rPr>
            <w:noProof/>
            <w:webHidden/>
          </w:rPr>
          <w:fldChar w:fldCharType="end"/>
        </w:r>
      </w:hyperlink>
    </w:p>
    <w:p w14:paraId="77FD8EB6" w14:textId="5C2C147F"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304" w:history="1">
        <w:r w:rsidRPr="00314009">
          <w:rPr>
            <w:rStyle w:val="Hyperlink"/>
            <w:noProof/>
          </w:rPr>
          <w:t>Table 37. Causal analysis results for organic matter.</w:t>
        </w:r>
        <w:r>
          <w:rPr>
            <w:noProof/>
            <w:webHidden/>
          </w:rPr>
          <w:tab/>
        </w:r>
        <w:r>
          <w:rPr>
            <w:noProof/>
            <w:webHidden/>
          </w:rPr>
          <w:fldChar w:fldCharType="begin"/>
        </w:r>
        <w:r>
          <w:rPr>
            <w:noProof/>
            <w:webHidden/>
          </w:rPr>
          <w:instrText xml:space="preserve"> PAGEREF _Toc162948304 \h </w:instrText>
        </w:r>
        <w:r>
          <w:rPr>
            <w:noProof/>
            <w:webHidden/>
          </w:rPr>
        </w:r>
        <w:r>
          <w:rPr>
            <w:noProof/>
            <w:webHidden/>
          </w:rPr>
          <w:fldChar w:fldCharType="separate"/>
        </w:r>
        <w:r>
          <w:rPr>
            <w:noProof/>
            <w:webHidden/>
          </w:rPr>
          <w:t>126</w:t>
        </w:r>
        <w:r>
          <w:rPr>
            <w:noProof/>
            <w:webHidden/>
          </w:rPr>
          <w:fldChar w:fldCharType="end"/>
        </w:r>
      </w:hyperlink>
    </w:p>
    <w:p w14:paraId="5558CA7C" w14:textId="484099C3"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305" w:history="1">
        <w:r w:rsidRPr="00314009">
          <w:rPr>
            <w:rStyle w:val="Hyperlink"/>
            <w:noProof/>
          </w:rPr>
          <w:t>Table 38. Causal analysis results for total phosphorus.</w:t>
        </w:r>
        <w:r>
          <w:rPr>
            <w:noProof/>
            <w:webHidden/>
          </w:rPr>
          <w:tab/>
        </w:r>
        <w:r>
          <w:rPr>
            <w:noProof/>
            <w:webHidden/>
          </w:rPr>
          <w:fldChar w:fldCharType="begin"/>
        </w:r>
        <w:r>
          <w:rPr>
            <w:noProof/>
            <w:webHidden/>
          </w:rPr>
          <w:instrText xml:space="preserve"> PAGEREF _Toc162948305 \h </w:instrText>
        </w:r>
        <w:r>
          <w:rPr>
            <w:noProof/>
            <w:webHidden/>
          </w:rPr>
        </w:r>
        <w:r>
          <w:rPr>
            <w:noProof/>
            <w:webHidden/>
          </w:rPr>
          <w:fldChar w:fldCharType="separate"/>
        </w:r>
        <w:r>
          <w:rPr>
            <w:noProof/>
            <w:webHidden/>
          </w:rPr>
          <w:t>128</w:t>
        </w:r>
        <w:r>
          <w:rPr>
            <w:noProof/>
            <w:webHidden/>
          </w:rPr>
          <w:fldChar w:fldCharType="end"/>
        </w:r>
      </w:hyperlink>
    </w:p>
    <w:p w14:paraId="4A5CE651" w14:textId="674CBF75"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306" w:history="1">
        <w:r w:rsidRPr="00314009">
          <w:rPr>
            <w:rStyle w:val="Hyperlink"/>
            <w:noProof/>
          </w:rPr>
          <w:t>Table 39. Causal analysis results for total nitrogen.</w:t>
        </w:r>
        <w:r>
          <w:rPr>
            <w:noProof/>
            <w:webHidden/>
          </w:rPr>
          <w:tab/>
        </w:r>
        <w:r>
          <w:rPr>
            <w:noProof/>
            <w:webHidden/>
          </w:rPr>
          <w:fldChar w:fldCharType="begin"/>
        </w:r>
        <w:r>
          <w:rPr>
            <w:noProof/>
            <w:webHidden/>
          </w:rPr>
          <w:instrText xml:space="preserve"> PAGEREF _Toc162948306 \h </w:instrText>
        </w:r>
        <w:r>
          <w:rPr>
            <w:noProof/>
            <w:webHidden/>
          </w:rPr>
        </w:r>
        <w:r>
          <w:rPr>
            <w:noProof/>
            <w:webHidden/>
          </w:rPr>
          <w:fldChar w:fldCharType="separate"/>
        </w:r>
        <w:r>
          <w:rPr>
            <w:noProof/>
            <w:webHidden/>
          </w:rPr>
          <w:t>131</w:t>
        </w:r>
        <w:r>
          <w:rPr>
            <w:noProof/>
            <w:webHidden/>
          </w:rPr>
          <w:fldChar w:fldCharType="end"/>
        </w:r>
      </w:hyperlink>
    </w:p>
    <w:p w14:paraId="68FC8126" w14:textId="04B7FD2A"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307" w:history="1">
        <w:r w:rsidRPr="00314009">
          <w:rPr>
            <w:rStyle w:val="Hyperlink"/>
            <w:noProof/>
          </w:rPr>
          <w:t>Table 40. Causal analysis results for ammonia.</w:t>
        </w:r>
        <w:r>
          <w:rPr>
            <w:noProof/>
            <w:webHidden/>
          </w:rPr>
          <w:tab/>
        </w:r>
        <w:r>
          <w:rPr>
            <w:noProof/>
            <w:webHidden/>
          </w:rPr>
          <w:fldChar w:fldCharType="begin"/>
        </w:r>
        <w:r>
          <w:rPr>
            <w:noProof/>
            <w:webHidden/>
          </w:rPr>
          <w:instrText xml:space="preserve"> PAGEREF _Toc162948307 \h </w:instrText>
        </w:r>
        <w:r>
          <w:rPr>
            <w:noProof/>
            <w:webHidden/>
          </w:rPr>
        </w:r>
        <w:r>
          <w:rPr>
            <w:noProof/>
            <w:webHidden/>
          </w:rPr>
          <w:fldChar w:fldCharType="separate"/>
        </w:r>
        <w:r>
          <w:rPr>
            <w:noProof/>
            <w:webHidden/>
          </w:rPr>
          <w:t>133</w:t>
        </w:r>
        <w:r>
          <w:rPr>
            <w:noProof/>
            <w:webHidden/>
          </w:rPr>
          <w:fldChar w:fldCharType="end"/>
        </w:r>
      </w:hyperlink>
    </w:p>
    <w:p w14:paraId="39F372D6" w14:textId="52696C1F"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308" w:history="1">
        <w:r w:rsidRPr="00314009">
          <w:rPr>
            <w:rStyle w:val="Hyperlink"/>
            <w:noProof/>
          </w:rPr>
          <w:t>Table 41. Causal analysis results for dissolved metals.</w:t>
        </w:r>
        <w:r>
          <w:rPr>
            <w:noProof/>
            <w:webHidden/>
          </w:rPr>
          <w:tab/>
        </w:r>
        <w:r>
          <w:rPr>
            <w:noProof/>
            <w:webHidden/>
          </w:rPr>
          <w:fldChar w:fldCharType="begin"/>
        </w:r>
        <w:r>
          <w:rPr>
            <w:noProof/>
            <w:webHidden/>
          </w:rPr>
          <w:instrText xml:space="preserve"> PAGEREF _Toc162948308 \h </w:instrText>
        </w:r>
        <w:r>
          <w:rPr>
            <w:noProof/>
            <w:webHidden/>
          </w:rPr>
        </w:r>
        <w:r>
          <w:rPr>
            <w:noProof/>
            <w:webHidden/>
          </w:rPr>
          <w:fldChar w:fldCharType="separate"/>
        </w:r>
        <w:r>
          <w:rPr>
            <w:noProof/>
            <w:webHidden/>
          </w:rPr>
          <w:t>134</w:t>
        </w:r>
        <w:r>
          <w:rPr>
            <w:noProof/>
            <w:webHidden/>
          </w:rPr>
          <w:fldChar w:fldCharType="end"/>
        </w:r>
      </w:hyperlink>
    </w:p>
    <w:p w14:paraId="4B894206" w14:textId="4ADCBE80"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309" w:history="1">
        <w:r w:rsidRPr="00314009">
          <w:rPr>
            <w:rStyle w:val="Hyperlink"/>
            <w:noProof/>
          </w:rPr>
          <w:t>Table 42. Causal analysis results for PFAS.</w:t>
        </w:r>
        <w:r>
          <w:rPr>
            <w:noProof/>
            <w:webHidden/>
          </w:rPr>
          <w:tab/>
        </w:r>
        <w:r>
          <w:rPr>
            <w:noProof/>
            <w:webHidden/>
          </w:rPr>
          <w:fldChar w:fldCharType="begin"/>
        </w:r>
        <w:r>
          <w:rPr>
            <w:noProof/>
            <w:webHidden/>
          </w:rPr>
          <w:instrText xml:space="preserve"> PAGEREF _Toc162948309 \h </w:instrText>
        </w:r>
        <w:r>
          <w:rPr>
            <w:noProof/>
            <w:webHidden/>
          </w:rPr>
        </w:r>
        <w:r>
          <w:rPr>
            <w:noProof/>
            <w:webHidden/>
          </w:rPr>
          <w:fldChar w:fldCharType="separate"/>
        </w:r>
        <w:r>
          <w:rPr>
            <w:noProof/>
            <w:webHidden/>
          </w:rPr>
          <w:t>135</w:t>
        </w:r>
        <w:r>
          <w:rPr>
            <w:noProof/>
            <w:webHidden/>
          </w:rPr>
          <w:fldChar w:fldCharType="end"/>
        </w:r>
      </w:hyperlink>
    </w:p>
    <w:p w14:paraId="6BB6C88D" w14:textId="6C02964E"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310" w:history="1">
        <w:r w:rsidRPr="00314009">
          <w:rPr>
            <w:rStyle w:val="Hyperlink"/>
            <w:noProof/>
          </w:rPr>
          <w:t>Table 43. Causal analysis results for sediment metals.</w:t>
        </w:r>
        <w:r>
          <w:rPr>
            <w:noProof/>
            <w:webHidden/>
          </w:rPr>
          <w:tab/>
        </w:r>
        <w:r>
          <w:rPr>
            <w:noProof/>
            <w:webHidden/>
          </w:rPr>
          <w:fldChar w:fldCharType="begin"/>
        </w:r>
        <w:r>
          <w:rPr>
            <w:noProof/>
            <w:webHidden/>
          </w:rPr>
          <w:instrText xml:space="preserve"> PAGEREF _Toc162948310 \h </w:instrText>
        </w:r>
        <w:r>
          <w:rPr>
            <w:noProof/>
            <w:webHidden/>
          </w:rPr>
        </w:r>
        <w:r>
          <w:rPr>
            <w:noProof/>
            <w:webHidden/>
          </w:rPr>
          <w:fldChar w:fldCharType="separate"/>
        </w:r>
        <w:r>
          <w:rPr>
            <w:noProof/>
            <w:webHidden/>
          </w:rPr>
          <w:t>136</w:t>
        </w:r>
        <w:r>
          <w:rPr>
            <w:noProof/>
            <w:webHidden/>
          </w:rPr>
          <w:fldChar w:fldCharType="end"/>
        </w:r>
      </w:hyperlink>
    </w:p>
    <w:p w14:paraId="5E38CA66" w14:textId="4AA3D7FD"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311" w:history="1">
        <w:r w:rsidRPr="00314009">
          <w:rPr>
            <w:rStyle w:val="Hyperlink"/>
            <w:noProof/>
          </w:rPr>
          <w:t>Table 44. Causal analysis results for sediment PAHs.</w:t>
        </w:r>
        <w:r>
          <w:rPr>
            <w:noProof/>
            <w:webHidden/>
          </w:rPr>
          <w:tab/>
        </w:r>
        <w:r>
          <w:rPr>
            <w:noProof/>
            <w:webHidden/>
          </w:rPr>
          <w:fldChar w:fldCharType="begin"/>
        </w:r>
        <w:r>
          <w:rPr>
            <w:noProof/>
            <w:webHidden/>
          </w:rPr>
          <w:instrText xml:space="preserve"> PAGEREF _Toc162948311 \h </w:instrText>
        </w:r>
        <w:r>
          <w:rPr>
            <w:noProof/>
            <w:webHidden/>
          </w:rPr>
        </w:r>
        <w:r>
          <w:rPr>
            <w:noProof/>
            <w:webHidden/>
          </w:rPr>
          <w:fldChar w:fldCharType="separate"/>
        </w:r>
        <w:r>
          <w:rPr>
            <w:noProof/>
            <w:webHidden/>
          </w:rPr>
          <w:t>137</w:t>
        </w:r>
        <w:r>
          <w:rPr>
            <w:noProof/>
            <w:webHidden/>
          </w:rPr>
          <w:fldChar w:fldCharType="end"/>
        </w:r>
      </w:hyperlink>
    </w:p>
    <w:p w14:paraId="43B98A97" w14:textId="68F4E7AE"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312" w:history="1">
        <w:r w:rsidRPr="00314009">
          <w:rPr>
            <w:rStyle w:val="Hyperlink"/>
            <w:noProof/>
          </w:rPr>
          <w:t>Table 45. Causal analysis results for sediment PCBs.</w:t>
        </w:r>
        <w:r>
          <w:rPr>
            <w:noProof/>
            <w:webHidden/>
          </w:rPr>
          <w:tab/>
        </w:r>
        <w:r>
          <w:rPr>
            <w:noProof/>
            <w:webHidden/>
          </w:rPr>
          <w:fldChar w:fldCharType="begin"/>
        </w:r>
        <w:r>
          <w:rPr>
            <w:noProof/>
            <w:webHidden/>
          </w:rPr>
          <w:instrText xml:space="preserve"> PAGEREF _Toc162948312 \h </w:instrText>
        </w:r>
        <w:r>
          <w:rPr>
            <w:noProof/>
            <w:webHidden/>
          </w:rPr>
        </w:r>
        <w:r>
          <w:rPr>
            <w:noProof/>
            <w:webHidden/>
          </w:rPr>
          <w:fldChar w:fldCharType="separate"/>
        </w:r>
        <w:r>
          <w:rPr>
            <w:noProof/>
            <w:webHidden/>
          </w:rPr>
          <w:t>137</w:t>
        </w:r>
        <w:r>
          <w:rPr>
            <w:noProof/>
            <w:webHidden/>
          </w:rPr>
          <w:fldChar w:fldCharType="end"/>
        </w:r>
      </w:hyperlink>
    </w:p>
    <w:p w14:paraId="40068D09" w14:textId="6E8F9C09"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313" w:history="1">
        <w:r w:rsidRPr="00314009">
          <w:rPr>
            <w:rStyle w:val="Hyperlink"/>
            <w:noProof/>
          </w:rPr>
          <w:t>Table 46. Causal analysis results for sediment pesticides and toxic organics.</w:t>
        </w:r>
        <w:r>
          <w:rPr>
            <w:noProof/>
            <w:webHidden/>
          </w:rPr>
          <w:tab/>
        </w:r>
        <w:r>
          <w:rPr>
            <w:noProof/>
            <w:webHidden/>
          </w:rPr>
          <w:fldChar w:fldCharType="begin"/>
        </w:r>
        <w:r>
          <w:rPr>
            <w:noProof/>
            <w:webHidden/>
          </w:rPr>
          <w:instrText xml:space="preserve"> PAGEREF _Toc162948313 \h </w:instrText>
        </w:r>
        <w:r>
          <w:rPr>
            <w:noProof/>
            <w:webHidden/>
          </w:rPr>
        </w:r>
        <w:r>
          <w:rPr>
            <w:noProof/>
            <w:webHidden/>
          </w:rPr>
          <w:fldChar w:fldCharType="separate"/>
        </w:r>
        <w:r>
          <w:rPr>
            <w:noProof/>
            <w:webHidden/>
          </w:rPr>
          <w:t>138</w:t>
        </w:r>
        <w:r>
          <w:rPr>
            <w:noProof/>
            <w:webHidden/>
          </w:rPr>
          <w:fldChar w:fldCharType="end"/>
        </w:r>
      </w:hyperlink>
    </w:p>
    <w:p w14:paraId="565D655D" w14:textId="2AFB6BC8"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314" w:history="1">
        <w:r w:rsidRPr="00314009">
          <w:rPr>
            <w:rStyle w:val="Hyperlink"/>
            <w:noProof/>
          </w:rPr>
          <w:t>Table 47. Causal analysis results for the Niagara Dam.</w:t>
        </w:r>
        <w:r>
          <w:rPr>
            <w:noProof/>
            <w:webHidden/>
          </w:rPr>
          <w:tab/>
        </w:r>
        <w:r>
          <w:rPr>
            <w:noProof/>
            <w:webHidden/>
          </w:rPr>
          <w:fldChar w:fldCharType="begin"/>
        </w:r>
        <w:r>
          <w:rPr>
            <w:noProof/>
            <w:webHidden/>
          </w:rPr>
          <w:instrText xml:space="preserve"> PAGEREF _Toc162948314 \h </w:instrText>
        </w:r>
        <w:r>
          <w:rPr>
            <w:noProof/>
            <w:webHidden/>
          </w:rPr>
        </w:r>
        <w:r>
          <w:rPr>
            <w:noProof/>
            <w:webHidden/>
          </w:rPr>
          <w:fldChar w:fldCharType="separate"/>
        </w:r>
        <w:r>
          <w:rPr>
            <w:noProof/>
            <w:webHidden/>
          </w:rPr>
          <w:t>139</w:t>
        </w:r>
        <w:r>
          <w:rPr>
            <w:noProof/>
            <w:webHidden/>
          </w:rPr>
          <w:fldChar w:fldCharType="end"/>
        </w:r>
      </w:hyperlink>
    </w:p>
    <w:p w14:paraId="58068B7B" w14:textId="242B0C2C"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315" w:history="1">
        <w:r w:rsidRPr="00314009">
          <w:rPr>
            <w:rStyle w:val="Hyperlink"/>
            <w:noProof/>
          </w:rPr>
          <w:t>Table 48. Total causal analysis scores by stream and by candidate stressor. Green indicates non-stressors, orange indicates possible stressors, and red indicates probable stressors.</w:t>
        </w:r>
        <w:r>
          <w:rPr>
            <w:noProof/>
            <w:webHidden/>
          </w:rPr>
          <w:tab/>
        </w:r>
        <w:r>
          <w:rPr>
            <w:noProof/>
            <w:webHidden/>
          </w:rPr>
          <w:fldChar w:fldCharType="begin"/>
        </w:r>
        <w:r>
          <w:rPr>
            <w:noProof/>
            <w:webHidden/>
          </w:rPr>
          <w:instrText xml:space="preserve"> PAGEREF _Toc162948315 \h </w:instrText>
        </w:r>
        <w:r>
          <w:rPr>
            <w:noProof/>
            <w:webHidden/>
          </w:rPr>
        </w:r>
        <w:r>
          <w:rPr>
            <w:noProof/>
            <w:webHidden/>
          </w:rPr>
          <w:fldChar w:fldCharType="separate"/>
        </w:r>
        <w:r>
          <w:rPr>
            <w:noProof/>
            <w:webHidden/>
          </w:rPr>
          <w:t>140</w:t>
        </w:r>
        <w:r>
          <w:rPr>
            <w:noProof/>
            <w:webHidden/>
          </w:rPr>
          <w:fldChar w:fldCharType="end"/>
        </w:r>
      </w:hyperlink>
    </w:p>
    <w:p w14:paraId="0E21E0B4" w14:textId="34A9E73F" w:rsidR="004A78BF" w:rsidRDefault="004A78BF">
      <w:pPr>
        <w:pStyle w:val="TableofFigures"/>
        <w:tabs>
          <w:tab w:val="right" w:leader="dot" w:pos="9350"/>
        </w:tabs>
        <w:rPr>
          <w:rFonts w:asciiTheme="minorHAnsi" w:eastAsiaTheme="minorEastAsia" w:hAnsiTheme="minorHAnsi" w:cstheme="minorBidi"/>
          <w:noProof/>
          <w:sz w:val="22"/>
          <w:szCs w:val="22"/>
        </w:rPr>
      </w:pPr>
      <w:hyperlink w:anchor="_Toc162948316" w:history="1">
        <w:r w:rsidRPr="00314009">
          <w:rPr>
            <w:rStyle w:val="Hyperlink"/>
            <w:noProof/>
          </w:rPr>
          <w:t>Table 49. Possible stressors, probable stressors, and TMDL targets in Roanoke River Project streams.</w:t>
        </w:r>
        <w:r>
          <w:rPr>
            <w:noProof/>
            <w:webHidden/>
          </w:rPr>
          <w:tab/>
        </w:r>
        <w:r>
          <w:rPr>
            <w:noProof/>
            <w:webHidden/>
          </w:rPr>
          <w:fldChar w:fldCharType="begin"/>
        </w:r>
        <w:r>
          <w:rPr>
            <w:noProof/>
            <w:webHidden/>
          </w:rPr>
          <w:instrText xml:space="preserve"> PAGEREF _Toc162948316 \h </w:instrText>
        </w:r>
        <w:r>
          <w:rPr>
            <w:noProof/>
            <w:webHidden/>
          </w:rPr>
        </w:r>
        <w:r>
          <w:rPr>
            <w:noProof/>
            <w:webHidden/>
          </w:rPr>
          <w:fldChar w:fldCharType="separate"/>
        </w:r>
        <w:r>
          <w:rPr>
            <w:noProof/>
            <w:webHidden/>
          </w:rPr>
          <w:t>141</w:t>
        </w:r>
        <w:r>
          <w:rPr>
            <w:noProof/>
            <w:webHidden/>
          </w:rPr>
          <w:fldChar w:fldCharType="end"/>
        </w:r>
      </w:hyperlink>
    </w:p>
    <w:p w14:paraId="458D506E" w14:textId="1AEC0B53" w:rsidR="00632D63" w:rsidRPr="007A0C83" w:rsidRDefault="005771B7" w:rsidP="00C046E1">
      <w:pPr>
        <w:rPr>
          <w:highlight w:val="yellow"/>
        </w:rPr>
      </w:pPr>
      <w:r w:rsidRPr="007129D1">
        <w:fldChar w:fldCharType="end"/>
      </w:r>
    </w:p>
    <w:p w14:paraId="089F7E2A" w14:textId="77777777" w:rsidR="00673540" w:rsidRDefault="00673540">
      <w:pPr>
        <w:spacing w:after="160" w:line="259" w:lineRule="auto"/>
        <w:jc w:val="left"/>
        <w:rPr>
          <w:rFonts w:ascii="Times New Roman Bold" w:eastAsiaTheme="majorEastAsia" w:hAnsi="Times New Roman Bold" w:cstheme="majorBidi"/>
          <w:b/>
          <w:szCs w:val="32"/>
        </w:rPr>
      </w:pPr>
      <w:bookmarkStart w:id="4" w:name="_Toc442943098"/>
      <w:r>
        <w:br w:type="page"/>
      </w:r>
    </w:p>
    <w:p w14:paraId="14D314F7" w14:textId="7A28C1CB" w:rsidR="00B37FEF" w:rsidRPr="00415E29" w:rsidRDefault="00B37FEF" w:rsidP="00587F90">
      <w:pPr>
        <w:pStyle w:val="HeadingNoNumEEE"/>
      </w:pPr>
      <w:bookmarkStart w:id="5" w:name="_Toc162948146"/>
      <w:r w:rsidRPr="00415E29">
        <w:lastRenderedPageBreak/>
        <w:t>Acronyms</w:t>
      </w:r>
      <w:bookmarkEnd w:id="4"/>
      <w:bookmarkEnd w:id="5"/>
    </w:p>
    <w:p w14:paraId="20E602B3" w14:textId="68E7DB73" w:rsidR="00CB5F12" w:rsidRPr="00415E29" w:rsidRDefault="00CB5F12" w:rsidP="001E0DE6">
      <w:pPr>
        <w:ind w:left="2160" w:hanging="2160"/>
      </w:pPr>
      <w:r w:rsidRPr="00415E29">
        <w:t>BCG</w:t>
      </w:r>
      <w:r w:rsidRPr="00415E29">
        <w:tab/>
      </w:r>
      <w:r w:rsidRPr="00415E29">
        <w:tab/>
      </w:r>
      <w:r w:rsidRPr="00415E29">
        <w:tab/>
        <w:t>Biological Condition Gradient</w:t>
      </w:r>
    </w:p>
    <w:p w14:paraId="10C2E4D8" w14:textId="6B011B32" w:rsidR="00475446" w:rsidRDefault="00475446" w:rsidP="001E0DE6">
      <w:pPr>
        <w:ind w:left="2160" w:hanging="2160"/>
      </w:pPr>
      <w:r>
        <w:t>BMI</w:t>
      </w:r>
      <w:r>
        <w:tab/>
      </w:r>
      <w:r>
        <w:tab/>
      </w:r>
      <w:r>
        <w:tab/>
        <w:t>Biological Monitoring Inc.</w:t>
      </w:r>
    </w:p>
    <w:p w14:paraId="3AD53237" w14:textId="5207CFFC" w:rsidR="001E0DE6" w:rsidRPr="00415E29" w:rsidRDefault="001E0DE6" w:rsidP="001E0DE6">
      <w:pPr>
        <w:ind w:left="2160" w:hanging="2160"/>
        <w:rPr>
          <w:noProof/>
        </w:rPr>
      </w:pPr>
      <w:r w:rsidRPr="00415E29">
        <w:t>CADDIS</w:t>
      </w:r>
      <w:r w:rsidRPr="00415E29">
        <w:tab/>
      </w:r>
      <w:r w:rsidRPr="00415E29">
        <w:tab/>
      </w:r>
      <w:r w:rsidRPr="00415E29">
        <w:tab/>
      </w:r>
      <w:r w:rsidRPr="00415E29">
        <w:rPr>
          <w:noProof/>
        </w:rPr>
        <w:t>Causal Analysis/Diagnosis Decision Information System</w:t>
      </w:r>
    </w:p>
    <w:p w14:paraId="64120C2D" w14:textId="4F7A1A85" w:rsidR="00475446" w:rsidRDefault="00475446" w:rsidP="001E0DE6">
      <w:pPr>
        <w:ind w:left="2160" w:hanging="2160"/>
      </w:pPr>
      <w:r>
        <w:t>CCC</w:t>
      </w:r>
      <w:r>
        <w:tab/>
      </w:r>
      <w:r>
        <w:tab/>
      </w:r>
      <w:r>
        <w:tab/>
        <w:t>Criteria Continuous Concentration</w:t>
      </w:r>
    </w:p>
    <w:p w14:paraId="729EA7B6" w14:textId="66F51ACD" w:rsidR="00F16DB6" w:rsidRPr="00415E29" w:rsidRDefault="00F16DB6" w:rsidP="001E0DE6">
      <w:pPr>
        <w:ind w:left="2160" w:hanging="2160"/>
      </w:pPr>
      <w:r w:rsidRPr="00415E29">
        <w:t>CCU</w:t>
      </w:r>
      <w:r w:rsidRPr="00415E29">
        <w:tab/>
      </w:r>
      <w:r w:rsidRPr="00415E29">
        <w:tab/>
      </w:r>
      <w:r w:rsidRPr="00415E29">
        <w:tab/>
        <w:t>Cumulative Criterion Unit</w:t>
      </w:r>
    </w:p>
    <w:p w14:paraId="2D1FCA79" w14:textId="4294A77A" w:rsidR="00B50BC9" w:rsidRPr="00415E29" w:rsidRDefault="00B50BC9" w:rsidP="00C046E1">
      <w:r w:rsidRPr="00415E29">
        <w:t>DO</w:t>
      </w:r>
      <w:r w:rsidRPr="00415E29">
        <w:tab/>
      </w:r>
      <w:r w:rsidRPr="00415E29">
        <w:tab/>
      </w:r>
      <w:r w:rsidRPr="00415E29">
        <w:tab/>
      </w:r>
      <w:r w:rsidRPr="00415E29">
        <w:tab/>
      </w:r>
      <w:r w:rsidRPr="00415E29">
        <w:tab/>
        <w:t>Dissolved Oxygen</w:t>
      </w:r>
    </w:p>
    <w:p w14:paraId="611EDF75" w14:textId="7F7CA6F9" w:rsidR="00215E0B" w:rsidRPr="00415E29" w:rsidRDefault="00215E0B" w:rsidP="00C046E1">
      <w:r w:rsidRPr="00415E29">
        <w:t>DOC</w:t>
      </w:r>
      <w:r w:rsidRPr="00415E29">
        <w:tab/>
      </w:r>
      <w:r w:rsidRPr="00415E29">
        <w:tab/>
      </w:r>
      <w:r w:rsidRPr="00415E29">
        <w:tab/>
      </w:r>
      <w:r w:rsidRPr="00415E29">
        <w:tab/>
      </w:r>
      <w:r w:rsidRPr="00415E29">
        <w:tab/>
        <w:t>Dissolved Organic Carbon</w:t>
      </w:r>
    </w:p>
    <w:p w14:paraId="37502FEB" w14:textId="22D4D597" w:rsidR="00215E0B" w:rsidRPr="00415E29" w:rsidRDefault="00215E0B" w:rsidP="00C046E1">
      <w:r w:rsidRPr="00415E29">
        <w:t>EIS</w:t>
      </w:r>
      <w:r w:rsidRPr="00415E29">
        <w:tab/>
      </w:r>
      <w:r w:rsidRPr="00415E29">
        <w:tab/>
      </w:r>
      <w:r w:rsidRPr="00415E29">
        <w:tab/>
      </w:r>
      <w:r w:rsidRPr="00415E29">
        <w:tab/>
      </w:r>
      <w:r w:rsidRPr="00415E29">
        <w:tab/>
        <w:t>Environmental Impact Statement</w:t>
      </w:r>
    </w:p>
    <w:p w14:paraId="210B84FF" w14:textId="54095DF1" w:rsidR="00215E0B" w:rsidRPr="00415E29" w:rsidRDefault="00215E0B" w:rsidP="00C046E1">
      <w:r w:rsidRPr="00415E29">
        <w:t>EPT</w:t>
      </w:r>
      <w:r w:rsidRPr="00415E29">
        <w:tab/>
      </w:r>
      <w:r w:rsidRPr="00415E29">
        <w:tab/>
      </w:r>
      <w:r w:rsidRPr="00415E29">
        <w:tab/>
      </w:r>
      <w:r w:rsidRPr="00415E29">
        <w:tab/>
      </w:r>
      <w:r w:rsidRPr="00415E29">
        <w:tab/>
        <w:t xml:space="preserve">Ephemeroptera, </w:t>
      </w:r>
      <w:proofErr w:type="spellStart"/>
      <w:r w:rsidRPr="00415E29">
        <w:t>Plecoptera</w:t>
      </w:r>
      <w:proofErr w:type="spellEnd"/>
      <w:r w:rsidRPr="00415E29">
        <w:t xml:space="preserve">, </w:t>
      </w:r>
      <w:proofErr w:type="spellStart"/>
      <w:r w:rsidRPr="00415E29">
        <w:t>Trichoptera</w:t>
      </w:r>
      <w:proofErr w:type="spellEnd"/>
    </w:p>
    <w:p w14:paraId="12C60704" w14:textId="77777777" w:rsidR="00475446" w:rsidRDefault="00475446" w:rsidP="00C046E1">
      <w:r>
        <w:t>FERC</w:t>
      </w:r>
      <w:r>
        <w:tab/>
      </w:r>
      <w:r>
        <w:tab/>
      </w:r>
      <w:r>
        <w:tab/>
      </w:r>
      <w:r>
        <w:tab/>
      </w:r>
      <w:r>
        <w:tab/>
        <w:t>Federal Energy Regulatory Commission</w:t>
      </w:r>
    </w:p>
    <w:p w14:paraId="7143B4F4" w14:textId="516109E9" w:rsidR="00C25DDC" w:rsidRPr="00415E29" w:rsidRDefault="00B600C0" w:rsidP="00C046E1">
      <w:r w:rsidRPr="00415E29">
        <w:t>JMU</w:t>
      </w:r>
      <w:r w:rsidRPr="00415E29">
        <w:tab/>
      </w:r>
      <w:r w:rsidR="00C25DDC" w:rsidRPr="00415E29">
        <w:tab/>
      </w:r>
      <w:r w:rsidR="00C25DDC" w:rsidRPr="00415E29">
        <w:tab/>
      </w:r>
      <w:r w:rsidR="00C25DDC" w:rsidRPr="00415E29">
        <w:tab/>
      </w:r>
      <w:r w:rsidR="00C25DDC" w:rsidRPr="00415E29">
        <w:tab/>
      </w:r>
      <w:r w:rsidRPr="00415E29">
        <w:t>James Madison University</w:t>
      </w:r>
    </w:p>
    <w:p w14:paraId="24367501" w14:textId="7D9E2CA7" w:rsidR="000526E2" w:rsidRPr="00415E29" w:rsidRDefault="000526E2" w:rsidP="00C046E1">
      <w:r w:rsidRPr="00415E29">
        <w:t>LRBS</w:t>
      </w:r>
      <w:r w:rsidRPr="00415E29">
        <w:tab/>
      </w:r>
      <w:r w:rsidRPr="00415E29">
        <w:tab/>
      </w:r>
      <w:r w:rsidRPr="00415E29">
        <w:tab/>
      </w:r>
      <w:r w:rsidRPr="00415E29">
        <w:tab/>
      </w:r>
      <w:r w:rsidRPr="00415E29">
        <w:tab/>
        <w:t>Log Relative Bed Stability Index</w:t>
      </w:r>
    </w:p>
    <w:p w14:paraId="632712E6" w14:textId="17646B32" w:rsidR="00215E0B" w:rsidRPr="00415E29" w:rsidRDefault="00215E0B" w:rsidP="00C046E1">
      <w:r w:rsidRPr="00415E29">
        <w:t>MFBI</w:t>
      </w:r>
      <w:r w:rsidRPr="00415E29">
        <w:tab/>
      </w:r>
      <w:r w:rsidRPr="00415E29">
        <w:tab/>
      </w:r>
      <w:r w:rsidRPr="00415E29">
        <w:tab/>
      </w:r>
      <w:r w:rsidRPr="00415E29">
        <w:tab/>
      </w:r>
      <w:r w:rsidRPr="00415E29">
        <w:tab/>
        <w:t>Modified Family Biotic Index</w:t>
      </w:r>
    </w:p>
    <w:p w14:paraId="4B0ADF02" w14:textId="22ACA3D1" w:rsidR="0025473A" w:rsidRPr="00415E29" w:rsidRDefault="0025473A" w:rsidP="00C046E1">
      <w:r w:rsidRPr="00415E29">
        <w:t>NWBD</w:t>
      </w:r>
      <w:r w:rsidRPr="00415E29">
        <w:tab/>
      </w:r>
      <w:r w:rsidRPr="00415E29">
        <w:tab/>
      </w:r>
      <w:r w:rsidRPr="00415E29">
        <w:tab/>
      </w:r>
      <w:r w:rsidRPr="00415E29">
        <w:tab/>
        <w:t>National Watershed Boundary Dataset</w:t>
      </w:r>
    </w:p>
    <w:p w14:paraId="6B76EE87" w14:textId="77777777" w:rsidR="004035A4" w:rsidRPr="00415E29" w:rsidRDefault="004035A4" w:rsidP="00C046E1">
      <w:r w:rsidRPr="00415E29">
        <w:t>PAHs</w:t>
      </w:r>
      <w:r w:rsidRPr="00415E29">
        <w:tab/>
      </w:r>
      <w:r w:rsidRPr="00415E29">
        <w:tab/>
      </w:r>
      <w:r w:rsidRPr="00415E29">
        <w:tab/>
      </w:r>
      <w:r w:rsidRPr="00415E29">
        <w:tab/>
      </w:r>
      <w:r w:rsidRPr="00415E29">
        <w:tab/>
        <w:t>Polycyclic Aromatic Hydrocarbons</w:t>
      </w:r>
    </w:p>
    <w:p w14:paraId="37A24503" w14:textId="3CCDD0A1" w:rsidR="00D74CE0" w:rsidRPr="00415E29" w:rsidRDefault="00D74CE0" w:rsidP="00C046E1">
      <w:r w:rsidRPr="00415E29">
        <w:t>PCBs</w:t>
      </w:r>
      <w:r w:rsidRPr="00415E29">
        <w:tab/>
      </w:r>
      <w:r w:rsidRPr="00415E29">
        <w:tab/>
      </w:r>
      <w:r w:rsidRPr="00415E29">
        <w:tab/>
      </w:r>
      <w:r w:rsidRPr="00415E29">
        <w:tab/>
      </w:r>
      <w:r w:rsidRPr="00415E29">
        <w:tab/>
        <w:t>Poly</w:t>
      </w:r>
      <w:r w:rsidR="008972F9" w:rsidRPr="00415E29">
        <w:t>chlorinated Biphe</w:t>
      </w:r>
      <w:r w:rsidR="0084134E" w:rsidRPr="00415E29">
        <w:t>n</w:t>
      </w:r>
      <w:r w:rsidR="008972F9" w:rsidRPr="00415E29">
        <w:t>yls</w:t>
      </w:r>
    </w:p>
    <w:p w14:paraId="6DBE8C26" w14:textId="5332C0F2" w:rsidR="008972F9" w:rsidRPr="00415E29" w:rsidRDefault="008972F9" w:rsidP="004A2EE0">
      <w:r w:rsidRPr="00415E29">
        <w:t>PEC</w:t>
      </w:r>
      <w:r w:rsidRPr="00415E29">
        <w:tab/>
      </w:r>
      <w:r w:rsidRPr="00415E29">
        <w:tab/>
      </w:r>
      <w:r w:rsidRPr="00415E29">
        <w:tab/>
      </w:r>
      <w:r w:rsidRPr="00415E29">
        <w:tab/>
      </w:r>
      <w:r w:rsidRPr="00415E29">
        <w:tab/>
        <w:t>Probable Effect Concentration</w:t>
      </w:r>
    </w:p>
    <w:p w14:paraId="6DADC741" w14:textId="626D0B66" w:rsidR="00475446" w:rsidRDefault="00475446" w:rsidP="004A2EE0">
      <w:r>
        <w:t>PFAS</w:t>
      </w:r>
      <w:r>
        <w:tab/>
      </w:r>
      <w:r>
        <w:tab/>
      </w:r>
      <w:r>
        <w:tab/>
      </w:r>
      <w:r>
        <w:tab/>
      </w:r>
      <w:r>
        <w:tab/>
        <w:t>P</w:t>
      </w:r>
      <w:r w:rsidRPr="00C711F3">
        <w:t>er- and polyfluoroalkyl substances</w:t>
      </w:r>
    </w:p>
    <w:p w14:paraId="649FF133" w14:textId="77777777" w:rsidR="00475446" w:rsidRDefault="00475446" w:rsidP="004A2EE0">
      <w:r>
        <w:t>PFOA</w:t>
      </w:r>
      <w:r>
        <w:tab/>
      </w:r>
      <w:r>
        <w:tab/>
      </w:r>
      <w:r>
        <w:tab/>
      </w:r>
      <w:r>
        <w:tab/>
      </w:r>
      <w:r>
        <w:tab/>
        <w:t>P</w:t>
      </w:r>
      <w:r w:rsidRPr="00475446">
        <w:t>erfluorooctanoic acid</w:t>
      </w:r>
    </w:p>
    <w:p w14:paraId="29D72D8C" w14:textId="05673D1B" w:rsidR="00475446" w:rsidRDefault="00475446" w:rsidP="004A2EE0">
      <w:r>
        <w:t>PFOS</w:t>
      </w:r>
      <w:r>
        <w:tab/>
      </w:r>
      <w:r>
        <w:tab/>
      </w:r>
      <w:r>
        <w:tab/>
      </w:r>
      <w:r>
        <w:tab/>
      </w:r>
      <w:r>
        <w:tab/>
      </w:r>
      <w:proofErr w:type="spellStart"/>
      <w:r>
        <w:t>P</w:t>
      </w:r>
      <w:r w:rsidRPr="00475446">
        <w:t>erfluorooctanesulfonic</w:t>
      </w:r>
      <w:proofErr w:type="spellEnd"/>
      <w:r w:rsidRPr="00475446">
        <w:t xml:space="preserve"> acid</w:t>
      </w:r>
    </w:p>
    <w:p w14:paraId="537598D7" w14:textId="5C61AA82" w:rsidR="004A2EE0" w:rsidRPr="00415E29" w:rsidRDefault="00FC2539" w:rsidP="004A2EE0">
      <w:r w:rsidRPr="00415E29">
        <w:t>SCI</w:t>
      </w:r>
      <w:r w:rsidRPr="00415E29">
        <w:tab/>
      </w:r>
      <w:r w:rsidRPr="00415E29">
        <w:tab/>
      </w:r>
      <w:r w:rsidRPr="00415E29">
        <w:tab/>
      </w:r>
      <w:r w:rsidRPr="00415E29">
        <w:tab/>
      </w:r>
      <w:r w:rsidRPr="00415E29">
        <w:tab/>
      </w:r>
      <w:r w:rsidR="004A2EE0" w:rsidRPr="00415E29">
        <w:t>Virginia Stream Condition Index</w:t>
      </w:r>
    </w:p>
    <w:p w14:paraId="1B89B280" w14:textId="77777777" w:rsidR="00DA6859" w:rsidRPr="00415E29" w:rsidRDefault="00DA6859" w:rsidP="004A2EE0">
      <w:r w:rsidRPr="00415E29">
        <w:t>TDS</w:t>
      </w:r>
      <w:r w:rsidRPr="00415E29">
        <w:tab/>
      </w:r>
      <w:r w:rsidRPr="00415E29">
        <w:tab/>
      </w:r>
      <w:r w:rsidRPr="00415E29">
        <w:tab/>
      </w:r>
      <w:r w:rsidRPr="00415E29">
        <w:tab/>
      </w:r>
      <w:r w:rsidRPr="00415E29">
        <w:tab/>
        <w:t>Total Dissolved Solids</w:t>
      </w:r>
    </w:p>
    <w:p w14:paraId="52945384" w14:textId="55426F04" w:rsidR="008972F9" w:rsidRPr="00415E29" w:rsidRDefault="008972F9" w:rsidP="004A2EE0">
      <w:r w:rsidRPr="00415E29">
        <w:t>TEC</w:t>
      </w:r>
      <w:r w:rsidRPr="00415E29">
        <w:tab/>
      </w:r>
      <w:r w:rsidRPr="00415E29">
        <w:tab/>
      </w:r>
      <w:r w:rsidRPr="00415E29">
        <w:tab/>
      </w:r>
      <w:r w:rsidRPr="00415E29">
        <w:tab/>
      </w:r>
      <w:r w:rsidRPr="00415E29">
        <w:tab/>
        <w:t>Threshold Effect Concentration</w:t>
      </w:r>
    </w:p>
    <w:p w14:paraId="507A3504" w14:textId="7B456465" w:rsidR="00B0382F" w:rsidRPr="00415E29" w:rsidRDefault="00B0382F" w:rsidP="004A2EE0">
      <w:r w:rsidRPr="00415E29">
        <w:t>TOC</w:t>
      </w:r>
      <w:r w:rsidRPr="00415E29">
        <w:tab/>
      </w:r>
      <w:r w:rsidRPr="00415E29">
        <w:tab/>
      </w:r>
      <w:r w:rsidRPr="00415E29">
        <w:tab/>
      </w:r>
      <w:r w:rsidRPr="00415E29">
        <w:tab/>
      </w:r>
      <w:r w:rsidRPr="00415E29">
        <w:tab/>
        <w:t>Total Organic Carbon</w:t>
      </w:r>
    </w:p>
    <w:p w14:paraId="657FB9DE" w14:textId="358BC03D" w:rsidR="00F16DB6" w:rsidRPr="00415E29" w:rsidRDefault="00F16DB6" w:rsidP="004A2EE0">
      <w:r w:rsidRPr="00415E29">
        <w:t>TRV</w:t>
      </w:r>
      <w:r w:rsidRPr="00415E29">
        <w:tab/>
      </w:r>
      <w:r w:rsidRPr="00415E29">
        <w:tab/>
      </w:r>
      <w:r w:rsidRPr="00415E29">
        <w:tab/>
      </w:r>
      <w:r w:rsidRPr="00415E29">
        <w:tab/>
      </w:r>
      <w:r w:rsidRPr="00415E29">
        <w:tab/>
        <w:t>Toxicity Reference Value</w:t>
      </w:r>
    </w:p>
    <w:p w14:paraId="510E9930" w14:textId="0000F35C" w:rsidR="000A2AB8" w:rsidRPr="00415E29" w:rsidRDefault="000A2AB8" w:rsidP="004A2EE0">
      <w:r w:rsidRPr="00415E29">
        <w:t>TSS</w:t>
      </w:r>
      <w:r w:rsidRPr="00415E29">
        <w:tab/>
      </w:r>
      <w:r w:rsidRPr="00415E29">
        <w:tab/>
      </w:r>
      <w:r w:rsidRPr="00415E29">
        <w:tab/>
      </w:r>
      <w:r w:rsidRPr="00415E29">
        <w:tab/>
      </w:r>
      <w:r w:rsidRPr="00415E29">
        <w:tab/>
        <w:t>Total Suspended Solids</w:t>
      </w:r>
    </w:p>
    <w:p w14:paraId="3EC56460" w14:textId="593CD7A9" w:rsidR="00B0382F" w:rsidRPr="00415E29" w:rsidRDefault="00B0382F" w:rsidP="00C046E1">
      <w:r w:rsidRPr="00415E29">
        <w:t>TVS</w:t>
      </w:r>
      <w:r w:rsidRPr="00415E29">
        <w:tab/>
      </w:r>
      <w:r w:rsidRPr="00415E29">
        <w:tab/>
      </w:r>
      <w:r w:rsidRPr="00415E29">
        <w:tab/>
      </w:r>
      <w:r w:rsidRPr="00415E29">
        <w:tab/>
      </w:r>
      <w:r w:rsidRPr="00415E29">
        <w:tab/>
        <w:t>Total Volatile Solids</w:t>
      </w:r>
    </w:p>
    <w:p w14:paraId="44F35C9E" w14:textId="263009AF" w:rsidR="009E6E4B" w:rsidRDefault="009E6E4B" w:rsidP="00C046E1">
      <w:r w:rsidRPr="00415E29">
        <w:t>USEPA</w:t>
      </w:r>
      <w:r w:rsidRPr="00415E29">
        <w:tab/>
      </w:r>
      <w:r w:rsidRPr="00415E29">
        <w:tab/>
      </w:r>
      <w:r w:rsidRPr="00415E29">
        <w:tab/>
      </w:r>
      <w:r w:rsidRPr="00415E29">
        <w:tab/>
        <w:t>U.S. Environmental Protection Agency</w:t>
      </w:r>
    </w:p>
    <w:p w14:paraId="1BF050A0" w14:textId="3C17733D" w:rsidR="005416D6" w:rsidRPr="00415E29" w:rsidRDefault="005416D6" w:rsidP="00C046E1">
      <w:r>
        <w:t>USGS</w:t>
      </w:r>
      <w:r>
        <w:tab/>
      </w:r>
      <w:r>
        <w:tab/>
      </w:r>
      <w:r>
        <w:tab/>
      </w:r>
      <w:r>
        <w:tab/>
      </w:r>
      <w:r>
        <w:tab/>
        <w:t>U.S. Geological Survey</w:t>
      </w:r>
    </w:p>
    <w:p w14:paraId="242C1BE8" w14:textId="5601BDAF" w:rsidR="00B37FEF" w:rsidRPr="00415E29" w:rsidRDefault="00B600C0" w:rsidP="00C046E1">
      <w:r w:rsidRPr="00415E29">
        <w:t>VDEQ</w:t>
      </w:r>
      <w:r w:rsidR="00C25DDC" w:rsidRPr="00415E29">
        <w:tab/>
      </w:r>
      <w:r w:rsidR="00C25DDC" w:rsidRPr="00415E29">
        <w:tab/>
      </w:r>
      <w:r w:rsidR="00C25DDC" w:rsidRPr="00415E29">
        <w:tab/>
      </w:r>
      <w:r w:rsidR="00C25DDC" w:rsidRPr="00415E29">
        <w:tab/>
      </w:r>
      <w:r w:rsidR="00C25DDC" w:rsidRPr="00415E29">
        <w:tab/>
      </w:r>
      <w:r w:rsidRPr="00415E29">
        <w:t>Virginia Department of Environmental Quality</w:t>
      </w:r>
    </w:p>
    <w:p w14:paraId="5585F3E5" w14:textId="35CA1138" w:rsidR="00B37FEF" w:rsidRPr="007A0C83" w:rsidRDefault="00B37FEF" w:rsidP="00C046E1">
      <w:pPr>
        <w:rPr>
          <w:highlight w:val="yellow"/>
        </w:rPr>
      </w:pPr>
      <w:r w:rsidRPr="007A0C83">
        <w:rPr>
          <w:highlight w:val="yellow"/>
        </w:rPr>
        <w:br w:type="page"/>
      </w:r>
    </w:p>
    <w:p w14:paraId="29A99D7B" w14:textId="6CF0D3DE" w:rsidR="0082712B" w:rsidRPr="007129D1" w:rsidRDefault="0082712B" w:rsidP="00587F90">
      <w:pPr>
        <w:pStyle w:val="HeadingNoNumEEE"/>
      </w:pPr>
      <w:bookmarkStart w:id="6" w:name="_Toc442943100"/>
      <w:bookmarkStart w:id="7" w:name="_Toc162948147"/>
      <w:r w:rsidRPr="007129D1">
        <w:lastRenderedPageBreak/>
        <w:t>Executive Summary</w:t>
      </w:r>
      <w:bookmarkEnd w:id="6"/>
      <w:bookmarkEnd w:id="7"/>
    </w:p>
    <w:p w14:paraId="2BCD78A8" w14:textId="57AA3720" w:rsidR="0082712B" w:rsidRPr="007129D1" w:rsidRDefault="00665288" w:rsidP="00665288">
      <w:pPr>
        <w:spacing w:before="120" w:after="120" w:line="360" w:lineRule="auto"/>
      </w:pPr>
      <w:r w:rsidRPr="00FC07EA">
        <w:t xml:space="preserve">This Stressor Identification Analysis Report addresses benthic impairments in </w:t>
      </w:r>
      <w:r w:rsidR="00696709">
        <w:t xml:space="preserve">Wolf Creek, Tinker Creek, and the Roanoke River at two different locations (4AROA202.20 and 4AROA198.08). </w:t>
      </w:r>
      <w:r w:rsidRPr="00FC07EA">
        <w:t xml:space="preserve">The analysis was conducted in accordance with </w:t>
      </w:r>
      <w:r w:rsidR="001B51FA" w:rsidRPr="00FC07EA">
        <w:t xml:space="preserve">the </w:t>
      </w:r>
      <w:r w:rsidRPr="00FC07EA">
        <w:t>U.S. Environmental Protection Agency’s (USEPA) Stressor Identification Guidance Document (USEPA, 2000b)</w:t>
      </w:r>
      <w:r w:rsidR="001B51FA" w:rsidRPr="00FC07EA">
        <w:rPr>
          <w:noProof/>
        </w:rPr>
        <w:t xml:space="preserve"> using the Causal Analysis/Diagnosis Decision Information System (CADDIS) (USEPA, 2018a). Twenty</w:t>
      </w:r>
      <w:r w:rsidR="007F6F3F" w:rsidRPr="00FC07EA">
        <w:rPr>
          <w:noProof/>
        </w:rPr>
        <w:t>-</w:t>
      </w:r>
      <w:r w:rsidR="00696709">
        <w:rPr>
          <w:noProof/>
        </w:rPr>
        <w:t>three</w:t>
      </w:r>
      <w:r w:rsidR="001B51FA" w:rsidRPr="00FC07EA">
        <w:rPr>
          <w:noProof/>
        </w:rPr>
        <w:t xml:space="preserve"> years of data (2000 – 202</w:t>
      </w:r>
      <w:r w:rsidR="00696709">
        <w:rPr>
          <w:noProof/>
        </w:rPr>
        <w:t>3</w:t>
      </w:r>
      <w:r w:rsidR="001B51FA" w:rsidRPr="00FC07EA">
        <w:rPr>
          <w:noProof/>
        </w:rPr>
        <w:t xml:space="preserve">) on over </w:t>
      </w:r>
      <w:r w:rsidR="00696709">
        <w:rPr>
          <w:noProof/>
        </w:rPr>
        <w:t>397</w:t>
      </w:r>
      <w:r w:rsidR="001B51FA" w:rsidRPr="00FC07EA">
        <w:rPr>
          <w:noProof/>
        </w:rPr>
        <w:t xml:space="preserve"> parameters from </w:t>
      </w:r>
      <w:r w:rsidR="00696709">
        <w:rPr>
          <w:noProof/>
        </w:rPr>
        <w:t>67</w:t>
      </w:r>
      <w:r w:rsidR="001B51FA" w:rsidRPr="00FC07EA">
        <w:rPr>
          <w:noProof/>
        </w:rPr>
        <w:t xml:space="preserve"> monitoring stations totaling over </w:t>
      </w:r>
      <w:r w:rsidR="00696709">
        <w:rPr>
          <w:noProof/>
        </w:rPr>
        <w:t>72</w:t>
      </w:r>
      <w:r w:rsidR="001B51FA" w:rsidRPr="00FC07EA">
        <w:rPr>
          <w:noProof/>
        </w:rPr>
        <w:t>,000 data points were used in the analysis. These data were evaluated according to 18 lines of evidence to categorize candidate stressors as non-stressors, possib</w:t>
      </w:r>
      <w:bookmarkStart w:id="8" w:name="_GoBack"/>
      <w:bookmarkEnd w:id="8"/>
      <w:r w:rsidR="001B51FA" w:rsidRPr="00FC07EA">
        <w:rPr>
          <w:noProof/>
        </w:rPr>
        <w:t xml:space="preserve">le stressors, or probable stressors. Based on the evaluation, sediment was identified as a probable stressor in </w:t>
      </w:r>
      <w:r w:rsidR="00696709">
        <w:rPr>
          <w:noProof/>
        </w:rPr>
        <w:t xml:space="preserve">Wolf Creek, Tinker Creek, and the Roanoke River at station 4AROA202.20. Nutrients in the form of phosphorus and nitrogen were also identified as probable stressors in the Roanoke River (nitrogen at station 4AROA198.08 and phosphorus at both stations). </w:t>
      </w:r>
      <w:r w:rsidR="005416D6">
        <w:rPr>
          <w:noProof/>
        </w:rPr>
        <w:t xml:space="preserve">In addition, polychlorinated biphenyls (PCBs) in sediment were identified as a probable stressor in Tinker Creek, and the Niagara Dam was identified as a probable stressor in the Roanoke River (at station 4AROA198.08). To address the benthic impairments in Wolf Creek and Tinker Creek, </w:t>
      </w:r>
      <w:r w:rsidR="00021552" w:rsidRPr="00FC07EA">
        <w:rPr>
          <w:noProof/>
        </w:rPr>
        <w:t xml:space="preserve">a </w:t>
      </w:r>
      <w:r w:rsidR="00E332E0" w:rsidRPr="00FC07EA">
        <w:rPr>
          <w:noProof/>
        </w:rPr>
        <w:t>sediment TMDL should be developed</w:t>
      </w:r>
      <w:r w:rsidR="00547824">
        <w:rPr>
          <w:noProof/>
        </w:rPr>
        <w:t xml:space="preserve">. To address the benthic impairment in the Roanoke River, nitrogen and phosphorus TMDLs should be developed. </w:t>
      </w:r>
      <w:r w:rsidR="00F35736">
        <w:rPr>
          <w:noProof/>
        </w:rPr>
        <w:t xml:space="preserve">The Niagara Dam stressor cannot be addressed through the TMDL process. </w:t>
      </w:r>
      <w:r w:rsidR="00547824">
        <w:rPr>
          <w:noProof/>
        </w:rPr>
        <w:t>A sediment TMDL (above station 4AROA202.20) and a PCB TMDL (encompassing the entire Roanoke River Project area) have already been developed to address the remaining probable stressors</w:t>
      </w:r>
      <w:r w:rsidR="00E332E0" w:rsidRPr="00FC07EA">
        <w:rPr>
          <w:noProof/>
        </w:rPr>
        <w:t>.</w:t>
      </w:r>
      <w:r w:rsidR="00E332E0" w:rsidRPr="007129D1">
        <w:rPr>
          <w:noProof/>
        </w:rPr>
        <w:t xml:space="preserve"> </w:t>
      </w:r>
    </w:p>
    <w:p w14:paraId="74A2B2DB" w14:textId="01AD597D" w:rsidR="005C245B" w:rsidRPr="007A0C83" w:rsidRDefault="00B600C0" w:rsidP="00587F90">
      <w:pPr>
        <w:pStyle w:val="Heading1"/>
      </w:pPr>
      <w:bookmarkStart w:id="9" w:name="_Toc162948148"/>
      <w:r w:rsidRPr="007A0C83">
        <w:t>Overview</w:t>
      </w:r>
      <w:bookmarkEnd w:id="9"/>
    </w:p>
    <w:p w14:paraId="03B5DDF6" w14:textId="0B456634" w:rsidR="00974A20" w:rsidRPr="007A0C83" w:rsidRDefault="00524792" w:rsidP="00974A20">
      <w:pPr>
        <w:pStyle w:val="Heading2"/>
      </w:pPr>
      <w:bookmarkStart w:id="10" w:name="_Hlk80704173"/>
      <w:bookmarkStart w:id="11" w:name="_Toc162948149"/>
      <w:r w:rsidRPr="007A0C83">
        <w:t>TMDL Development</w:t>
      </w:r>
      <w:bookmarkEnd w:id="11"/>
    </w:p>
    <w:p w14:paraId="103C2BCA" w14:textId="77EC4C10" w:rsidR="008B1DEC" w:rsidRPr="007A0C83" w:rsidRDefault="00524792" w:rsidP="00524792">
      <w:pPr>
        <w:spacing w:before="120" w:after="120" w:line="360" w:lineRule="auto"/>
        <w:rPr>
          <w:rFonts w:eastAsia="Times New Roman"/>
        </w:rPr>
      </w:pPr>
      <w:r w:rsidRPr="007A0C83">
        <w:rPr>
          <w:rFonts w:eastAsia="Times New Roman"/>
        </w:rPr>
        <w:t>Section 303(d) of the Federal Clean Water Act and the U.S. Environmental Protection Agency’s (USEPA) Water Quality Planning and Management Regulations (40 CFR Part 130) require states to develop Total Maximum Daily Loads (TMDLs) for water bodies that fail to meet designated water quality standards and are placed on the state’s Impaired Waters List</w:t>
      </w:r>
      <w:r w:rsidR="009568DB" w:rsidRPr="007A0C83">
        <w:rPr>
          <w:rFonts w:eastAsia="Times New Roman"/>
        </w:rPr>
        <w:t xml:space="preserve"> (VDEQ, 2020)</w:t>
      </w:r>
      <w:r w:rsidRPr="007A0C83">
        <w:rPr>
          <w:rFonts w:eastAsia="Times New Roman"/>
        </w:rPr>
        <w:t xml:space="preserve">. A TMDL reflects the total pollutant loading that a waterbody can receive and still meet water quality standards. A TMDL establishes the maximum allowable pollutant loading from both point and </w:t>
      </w:r>
      <w:r w:rsidRPr="007A0C83">
        <w:rPr>
          <w:rFonts w:eastAsia="Times New Roman"/>
        </w:rPr>
        <w:lastRenderedPageBreak/>
        <w:t>nonpoint sources for a waterbody, allocates the load among the pollutant contributors, and provides a framework for taking actions to restore water quality.</w:t>
      </w:r>
    </w:p>
    <w:p w14:paraId="442489A1" w14:textId="370092D1" w:rsidR="00524792" w:rsidRPr="007A0C83" w:rsidRDefault="00524792" w:rsidP="00524792">
      <w:pPr>
        <w:spacing w:before="120" w:after="120" w:line="360" w:lineRule="auto"/>
      </w:pPr>
      <w:r w:rsidRPr="007A0C83">
        <w:t xml:space="preserve">For impairments that result from the violation of numeric water quality standards, </w:t>
      </w:r>
      <w:r w:rsidR="00D7450D" w:rsidRPr="007A0C83">
        <w:t xml:space="preserve">a </w:t>
      </w:r>
      <w:r w:rsidRPr="007A0C83">
        <w:t>TMDL can be directly developed for the pollutant</w:t>
      </w:r>
      <w:r w:rsidR="00D7450D" w:rsidRPr="007A0C83">
        <w:t xml:space="preserve"> that violates the standard. Be</w:t>
      </w:r>
      <w:r w:rsidRPr="007A0C83">
        <w:t xml:space="preserve">nthic impairments, </w:t>
      </w:r>
      <w:r w:rsidR="00D7450D" w:rsidRPr="007A0C83">
        <w:t xml:space="preserve">however, result </w:t>
      </w:r>
      <w:r w:rsidRPr="007A0C83">
        <w:t>from violations of the narrative general standard</w:t>
      </w:r>
      <w:r w:rsidR="00D7450D" w:rsidRPr="007A0C83">
        <w:t xml:space="preserve"> that waters should be free from substances that are harmful to aquatic life. To develop TMDLs that address benthic impairments, the first step is to identify the pollutant(s) causing the impairment. This step is called a Stressor Identification Analysis.</w:t>
      </w:r>
      <w:r w:rsidRPr="007A0C83">
        <w:t xml:space="preserve"> </w:t>
      </w:r>
    </w:p>
    <w:p w14:paraId="30F4F316" w14:textId="77777777" w:rsidR="008B1DEC" w:rsidRPr="00923FCF" w:rsidRDefault="008B1DEC" w:rsidP="008B1DEC">
      <w:pPr>
        <w:pStyle w:val="Heading2"/>
      </w:pPr>
      <w:bookmarkStart w:id="12" w:name="_Toc162948150"/>
      <w:bookmarkEnd w:id="10"/>
      <w:r w:rsidRPr="00923FCF">
        <w:t>Benthic Impairments</w:t>
      </w:r>
      <w:bookmarkEnd w:id="12"/>
    </w:p>
    <w:p w14:paraId="401E6C28" w14:textId="78A551B6" w:rsidR="008B1DEC" w:rsidRDefault="008B1DEC" w:rsidP="008B1DEC">
      <w:pPr>
        <w:pStyle w:val="BlockText"/>
      </w:pPr>
      <w:r w:rsidRPr="00923FCF">
        <w:t xml:space="preserve">The Virginia Department of Environmental Quality (VDEQ) contracted Wetland Studies and Solutions, Inc. and James Madison University (JMU) to conduct a stressor identification analysis for benthic impairments in </w:t>
      </w:r>
      <w:r w:rsidR="00763A8B">
        <w:t>the Roanoke River, Tinker Creek, and Wolf Creek</w:t>
      </w:r>
      <w:r w:rsidR="00FD287F">
        <w:t xml:space="preserve"> in </w:t>
      </w:r>
      <w:r w:rsidR="00763A8B">
        <w:t xml:space="preserve">Roanoke City, Roanoke County, and Botetourt </w:t>
      </w:r>
      <w:r w:rsidR="00FD287F">
        <w:t>Count</w:t>
      </w:r>
      <w:r w:rsidR="007129D1">
        <w:t>y, Virginia</w:t>
      </w:r>
      <w:r w:rsidRPr="00923FCF">
        <w:t xml:space="preserve">. </w:t>
      </w:r>
      <w:r w:rsidR="00DA71CD">
        <w:t xml:space="preserve">Tinker Creek and Wolf Creek are tributaries to the Roanoke River, which flows into Smith Mountain Lake and several other impoundments before reaching the Albemarle Sound near Plymouth, North Carolina. The benthic impairments </w:t>
      </w:r>
      <w:r w:rsidRPr="00923FCF">
        <w:t xml:space="preserve">listed in </w:t>
      </w:r>
      <w:r w:rsidR="009568DB" w:rsidRPr="00923FCF">
        <w:fldChar w:fldCharType="begin"/>
      </w:r>
      <w:r w:rsidR="009568DB" w:rsidRPr="00923FCF">
        <w:instrText xml:space="preserve"> REF _Ref84925784 \h </w:instrText>
      </w:r>
      <w:r w:rsidR="007A0C83" w:rsidRPr="00923FCF">
        <w:instrText xml:space="preserve"> \* MERGEFORMAT </w:instrText>
      </w:r>
      <w:r w:rsidR="009568DB" w:rsidRPr="00923FCF">
        <w:fldChar w:fldCharType="separate"/>
      </w:r>
      <w:r w:rsidR="004A78BF" w:rsidRPr="00923FCF">
        <w:t xml:space="preserve">Table </w:t>
      </w:r>
      <w:r w:rsidR="004A78BF">
        <w:rPr>
          <w:noProof/>
        </w:rPr>
        <w:t>1</w:t>
      </w:r>
      <w:r w:rsidR="009568DB" w:rsidRPr="00923FCF">
        <w:fldChar w:fldCharType="end"/>
      </w:r>
      <w:r w:rsidR="00923FCF" w:rsidRPr="00923FCF">
        <w:t xml:space="preserve"> and </w:t>
      </w:r>
      <w:r w:rsidRPr="00923FCF">
        <w:t xml:space="preserve">shown in </w:t>
      </w:r>
      <w:r w:rsidR="009568DB" w:rsidRPr="00923FCF">
        <w:fldChar w:fldCharType="begin"/>
      </w:r>
      <w:r w:rsidR="009568DB" w:rsidRPr="00923FCF">
        <w:instrText xml:space="preserve"> REF _Ref84925785 \h </w:instrText>
      </w:r>
      <w:r w:rsidR="007A0C83" w:rsidRPr="00923FCF">
        <w:instrText xml:space="preserve"> \* MERGEFORMAT </w:instrText>
      </w:r>
      <w:r w:rsidR="009568DB" w:rsidRPr="00923FCF">
        <w:fldChar w:fldCharType="separate"/>
      </w:r>
      <w:r w:rsidR="004A78BF" w:rsidRPr="00CA12C3">
        <w:t xml:space="preserve">Figure </w:t>
      </w:r>
      <w:r w:rsidR="004A78BF">
        <w:rPr>
          <w:noProof/>
        </w:rPr>
        <w:t>1</w:t>
      </w:r>
      <w:r w:rsidR="009568DB" w:rsidRPr="00923FCF">
        <w:fldChar w:fldCharType="end"/>
      </w:r>
      <w:r w:rsidR="00DA71CD">
        <w:t xml:space="preserve"> will be addressed in this stressor analysis and collectively termed the Roanoke River Project</w:t>
      </w:r>
      <w:r w:rsidR="00923FCF" w:rsidRPr="00923FCF">
        <w:t>.</w:t>
      </w:r>
    </w:p>
    <w:p w14:paraId="4C23B0F5" w14:textId="77777777" w:rsidR="00B311CA" w:rsidRPr="00923FCF" w:rsidRDefault="00B311CA" w:rsidP="008B1DEC">
      <w:pPr>
        <w:pStyle w:val="BlockText"/>
      </w:pPr>
    </w:p>
    <w:p w14:paraId="6A281A36" w14:textId="74CD3241" w:rsidR="008B1DEC" w:rsidRPr="00923FCF" w:rsidRDefault="008B1DEC" w:rsidP="008B1DEC">
      <w:pPr>
        <w:pStyle w:val="Caption"/>
      </w:pPr>
      <w:bookmarkStart w:id="13" w:name="_Ref84925784"/>
      <w:bookmarkStart w:id="14" w:name="_Toc162948268"/>
      <w:r w:rsidRPr="00923FCF">
        <w:lastRenderedPageBreak/>
        <w:t xml:space="preserve">Table </w:t>
      </w:r>
      <w:r w:rsidRPr="00923FCF">
        <w:rPr>
          <w:noProof/>
        </w:rPr>
        <w:fldChar w:fldCharType="begin"/>
      </w:r>
      <w:r w:rsidRPr="00923FCF">
        <w:rPr>
          <w:noProof/>
        </w:rPr>
        <w:instrText xml:space="preserve"> SEQ Table \* ARABIC </w:instrText>
      </w:r>
      <w:r w:rsidRPr="00923FCF">
        <w:rPr>
          <w:noProof/>
        </w:rPr>
        <w:fldChar w:fldCharType="separate"/>
      </w:r>
      <w:r w:rsidR="004A78BF">
        <w:rPr>
          <w:noProof/>
        </w:rPr>
        <w:t>1</w:t>
      </w:r>
      <w:r w:rsidRPr="00923FCF">
        <w:rPr>
          <w:noProof/>
        </w:rPr>
        <w:fldChar w:fldCharType="end"/>
      </w:r>
      <w:bookmarkEnd w:id="13"/>
      <w:r w:rsidRPr="00923FCF">
        <w:t xml:space="preserve">. Benthic impairments in </w:t>
      </w:r>
      <w:r w:rsidR="00DA71CD">
        <w:t xml:space="preserve">the </w:t>
      </w:r>
      <w:r w:rsidR="00B311CA">
        <w:t xml:space="preserve">Roanoke River </w:t>
      </w:r>
      <w:r w:rsidR="00DA71CD">
        <w:t>P</w:t>
      </w:r>
      <w:r w:rsidR="00763A8B">
        <w:t>roject</w:t>
      </w:r>
      <w:r w:rsidRPr="00923FCF">
        <w:t>.</w:t>
      </w:r>
      <w:bookmarkEnd w:id="14"/>
    </w:p>
    <w:tbl>
      <w:tblPr>
        <w:tblStyle w:val="TableGrid"/>
        <w:tblW w:w="0" w:type="auto"/>
        <w:tblLayout w:type="fixed"/>
        <w:tblLook w:val="04A0" w:firstRow="1" w:lastRow="0" w:firstColumn="1" w:lastColumn="0" w:noHBand="0" w:noVBand="1"/>
      </w:tblPr>
      <w:tblGrid>
        <w:gridCol w:w="1075"/>
        <w:gridCol w:w="810"/>
        <w:gridCol w:w="2070"/>
        <w:gridCol w:w="1350"/>
        <w:gridCol w:w="720"/>
        <w:gridCol w:w="810"/>
        <w:gridCol w:w="2515"/>
      </w:tblGrid>
      <w:tr w:rsidR="008B1DEC" w:rsidRPr="00763A8B" w14:paraId="1552BF58" w14:textId="77777777" w:rsidTr="00923FCF">
        <w:trPr>
          <w:trHeight w:val="315"/>
          <w:tblHeader/>
        </w:trPr>
        <w:tc>
          <w:tcPr>
            <w:tcW w:w="1075" w:type="dxa"/>
            <w:tcBorders>
              <w:bottom w:val="single" w:sz="4" w:space="0" w:color="auto"/>
            </w:tcBorders>
            <w:noWrap/>
            <w:vAlign w:val="center"/>
            <w:hideMark/>
          </w:tcPr>
          <w:p w14:paraId="1F828819" w14:textId="77777777" w:rsidR="008B1DEC" w:rsidRPr="00763A8B" w:rsidRDefault="008B1DEC" w:rsidP="008B1DEC">
            <w:pPr>
              <w:rPr>
                <w:rFonts w:ascii="Arial Narrow" w:hAnsi="Arial Narrow"/>
                <w:b/>
                <w:bCs/>
                <w:sz w:val="20"/>
                <w:szCs w:val="20"/>
              </w:rPr>
            </w:pPr>
            <w:r w:rsidRPr="00763A8B">
              <w:rPr>
                <w:rFonts w:ascii="Arial Narrow" w:hAnsi="Arial Narrow"/>
                <w:b/>
                <w:bCs/>
                <w:sz w:val="20"/>
                <w:szCs w:val="20"/>
              </w:rPr>
              <w:t>Stream Name</w:t>
            </w:r>
          </w:p>
        </w:tc>
        <w:tc>
          <w:tcPr>
            <w:tcW w:w="810" w:type="dxa"/>
            <w:vAlign w:val="center"/>
          </w:tcPr>
          <w:p w14:paraId="6DABF1EF" w14:textId="77777777" w:rsidR="008B1DEC" w:rsidRPr="00763A8B" w:rsidRDefault="008B1DEC" w:rsidP="008B1DEC">
            <w:pPr>
              <w:rPr>
                <w:rFonts w:ascii="Arial Narrow" w:hAnsi="Arial Narrow"/>
                <w:b/>
                <w:bCs/>
                <w:sz w:val="20"/>
                <w:szCs w:val="20"/>
              </w:rPr>
            </w:pPr>
            <w:r w:rsidRPr="00763A8B">
              <w:rPr>
                <w:rFonts w:ascii="Arial Narrow" w:hAnsi="Arial Narrow"/>
                <w:b/>
                <w:bCs/>
                <w:sz w:val="20"/>
                <w:szCs w:val="20"/>
              </w:rPr>
              <w:t>NWBD</w:t>
            </w:r>
          </w:p>
        </w:tc>
        <w:tc>
          <w:tcPr>
            <w:tcW w:w="2070" w:type="dxa"/>
            <w:noWrap/>
            <w:vAlign w:val="center"/>
            <w:hideMark/>
          </w:tcPr>
          <w:p w14:paraId="786D4945" w14:textId="77777777" w:rsidR="008B1DEC" w:rsidRPr="00763A8B" w:rsidRDefault="008B1DEC" w:rsidP="008B1DEC">
            <w:pPr>
              <w:jc w:val="left"/>
              <w:rPr>
                <w:rFonts w:ascii="Arial Narrow" w:hAnsi="Arial Narrow"/>
                <w:b/>
                <w:bCs/>
                <w:sz w:val="20"/>
                <w:szCs w:val="20"/>
              </w:rPr>
            </w:pPr>
            <w:r w:rsidRPr="00763A8B">
              <w:rPr>
                <w:rFonts w:ascii="Arial Narrow" w:hAnsi="Arial Narrow"/>
                <w:b/>
                <w:bCs/>
                <w:sz w:val="20"/>
                <w:szCs w:val="20"/>
              </w:rPr>
              <w:t>Impaired Assessment Units</w:t>
            </w:r>
          </w:p>
        </w:tc>
        <w:tc>
          <w:tcPr>
            <w:tcW w:w="1350" w:type="dxa"/>
            <w:noWrap/>
            <w:vAlign w:val="center"/>
            <w:hideMark/>
          </w:tcPr>
          <w:p w14:paraId="13A0C831" w14:textId="77777777" w:rsidR="008B1DEC" w:rsidRPr="00763A8B" w:rsidRDefault="008B1DEC" w:rsidP="008B1DEC">
            <w:pPr>
              <w:jc w:val="left"/>
              <w:rPr>
                <w:rFonts w:ascii="Arial Narrow" w:hAnsi="Arial Narrow"/>
                <w:b/>
                <w:bCs/>
                <w:sz w:val="20"/>
                <w:szCs w:val="20"/>
              </w:rPr>
            </w:pPr>
            <w:r w:rsidRPr="00763A8B">
              <w:rPr>
                <w:rFonts w:ascii="Arial Narrow" w:hAnsi="Arial Narrow"/>
                <w:b/>
                <w:bCs/>
                <w:sz w:val="20"/>
                <w:szCs w:val="20"/>
              </w:rPr>
              <w:t>Cause Group Code</w:t>
            </w:r>
          </w:p>
        </w:tc>
        <w:tc>
          <w:tcPr>
            <w:tcW w:w="720" w:type="dxa"/>
            <w:noWrap/>
            <w:vAlign w:val="center"/>
            <w:hideMark/>
          </w:tcPr>
          <w:p w14:paraId="1A2CB77A" w14:textId="77777777" w:rsidR="008B1DEC" w:rsidRPr="00763A8B" w:rsidRDefault="008B1DEC" w:rsidP="008B1DEC">
            <w:pPr>
              <w:rPr>
                <w:rFonts w:ascii="Arial Narrow" w:hAnsi="Arial Narrow"/>
                <w:b/>
                <w:bCs/>
                <w:sz w:val="20"/>
                <w:szCs w:val="20"/>
              </w:rPr>
            </w:pPr>
            <w:r w:rsidRPr="00763A8B">
              <w:rPr>
                <w:rFonts w:ascii="Arial Narrow" w:hAnsi="Arial Narrow"/>
                <w:b/>
                <w:bCs/>
                <w:sz w:val="20"/>
                <w:szCs w:val="20"/>
              </w:rPr>
              <w:t>First listed</w:t>
            </w:r>
          </w:p>
        </w:tc>
        <w:tc>
          <w:tcPr>
            <w:tcW w:w="810" w:type="dxa"/>
            <w:noWrap/>
            <w:vAlign w:val="center"/>
            <w:hideMark/>
          </w:tcPr>
          <w:p w14:paraId="40877539" w14:textId="77777777" w:rsidR="008B1DEC" w:rsidRPr="00763A8B" w:rsidRDefault="008B1DEC" w:rsidP="008B1DEC">
            <w:pPr>
              <w:rPr>
                <w:rFonts w:ascii="Arial Narrow" w:hAnsi="Arial Narrow"/>
                <w:b/>
                <w:bCs/>
                <w:sz w:val="20"/>
                <w:szCs w:val="20"/>
              </w:rPr>
            </w:pPr>
            <w:r w:rsidRPr="00763A8B">
              <w:rPr>
                <w:rFonts w:ascii="Arial Narrow" w:hAnsi="Arial Narrow"/>
                <w:b/>
                <w:bCs/>
                <w:sz w:val="20"/>
                <w:szCs w:val="20"/>
              </w:rPr>
              <w:t>Length (miles)</w:t>
            </w:r>
          </w:p>
        </w:tc>
        <w:tc>
          <w:tcPr>
            <w:tcW w:w="2515" w:type="dxa"/>
            <w:noWrap/>
            <w:vAlign w:val="center"/>
            <w:hideMark/>
          </w:tcPr>
          <w:p w14:paraId="27A8E480" w14:textId="77777777" w:rsidR="008B1DEC" w:rsidRPr="00763A8B" w:rsidRDefault="008B1DEC" w:rsidP="00763A8B">
            <w:pPr>
              <w:jc w:val="left"/>
              <w:rPr>
                <w:rFonts w:ascii="Arial Narrow" w:hAnsi="Arial Narrow"/>
                <w:b/>
                <w:bCs/>
                <w:sz w:val="20"/>
                <w:szCs w:val="20"/>
              </w:rPr>
            </w:pPr>
            <w:r w:rsidRPr="00763A8B">
              <w:rPr>
                <w:rFonts w:ascii="Arial Narrow" w:hAnsi="Arial Narrow"/>
                <w:b/>
                <w:bCs/>
                <w:sz w:val="20"/>
                <w:szCs w:val="20"/>
              </w:rPr>
              <w:t>Impairment Description</w:t>
            </w:r>
          </w:p>
        </w:tc>
      </w:tr>
      <w:tr w:rsidR="00B311CA" w:rsidRPr="00763A8B" w14:paraId="0FE05B62" w14:textId="77777777" w:rsidTr="00763A8B">
        <w:trPr>
          <w:trHeight w:val="300"/>
          <w:tblHeader/>
        </w:trPr>
        <w:tc>
          <w:tcPr>
            <w:tcW w:w="1075" w:type="dxa"/>
            <w:tcBorders>
              <w:bottom w:val="single" w:sz="4" w:space="0" w:color="auto"/>
            </w:tcBorders>
            <w:noWrap/>
          </w:tcPr>
          <w:p w14:paraId="22835954" w14:textId="4BC609C3" w:rsidR="00B311CA" w:rsidRPr="00763A8B" w:rsidRDefault="00B311CA" w:rsidP="00B311CA">
            <w:pPr>
              <w:rPr>
                <w:rFonts w:ascii="Arial Narrow" w:hAnsi="Arial Narrow"/>
                <w:bCs/>
                <w:sz w:val="20"/>
                <w:szCs w:val="20"/>
                <w:highlight w:val="yellow"/>
              </w:rPr>
            </w:pPr>
            <w:r w:rsidRPr="00763A8B">
              <w:rPr>
                <w:rFonts w:ascii="Arial Narrow" w:hAnsi="Arial Narrow"/>
                <w:sz w:val="20"/>
                <w:szCs w:val="20"/>
              </w:rPr>
              <w:t>Roanoke River</w:t>
            </w:r>
          </w:p>
        </w:tc>
        <w:tc>
          <w:tcPr>
            <w:tcW w:w="810" w:type="dxa"/>
          </w:tcPr>
          <w:p w14:paraId="2406B47F" w14:textId="119B77B1" w:rsidR="00B311CA" w:rsidRPr="00763A8B" w:rsidRDefault="00B311CA" w:rsidP="00B311CA">
            <w:pPr>
              <w:rPr>
                <w:rFonts w:ascii="Arial Narrow" w:hAnsi="Arial Narrow"/>
                <w:bCs/>
                <w:sz w:val="20"/>
                <w:szCs w:val="20"/>
                <w:highlight w:val="yellow"/>
              </w:rPr>
            </w:pPr>
            <w:r w:rsidRPr="00763A8B">
              <w:rPr>
                <w:rFonts w:ascii="Arial Narrow" w:hAnsi="Arial Narrow"/>
                <w:sz w:val="20"/>
                <w:szCs w:val="20"/>
              </w:rPr>
              <w:t>RU14</w:t>
            </w:r>
          </w:p>
        </w:tc>
        <w:tc>
          <w:tcPr>
            <w:tcW w:w="2070" w:type="dxa"/>
            <w:noWrap/>
          </w:tcPr>
          <w:p w14:paraId="304742D4" w14:textId="3A649C25" w:rsidR="00B311CA" w:rsidRPr="00763A8B" w:rsidRDefault="00B311CA" w:rsidP="00B311CA">
            <w:pPr>
              <w:jc w:val="center"/>
              <w:rPr>
                <w:rFonts w:ascii="Arial Narrow" w:hAnsi="Arial Narrow"/>
                <w:bCs/>
                <w:sz w:val="20"/>
                <w:szCs w:val="20"/>
                <w:highlight w:val="yellow"/>
              </w:rPr>
            </w:pPr>
            <w:r w:rsidRPr="00763A8B">
              <w:rPr>
                <w:rFonts w:ascii="Arial Narrow" w:hAnsi="Arial Narrow"/>
                <w:sz w:val="20"/>
                <w:szCs w:val="20"/>
              </w:rPr>
              <w:t>VAW-L04R_ROA01A00</w:t>
            </w:r>
          </w:p>
        </w:tc>
        <w:tc>
          <w:tcPr>
            <w:tcW w:w="1350" w:type="dxa"/>
            <w:noWrap/>
          </w:tcPr>
          <w:p w14:paraId="38DB9EED" w14:textId="031622E9" w:rsidR="00B311CA" w:rsidRPr="00763A8B" w:rsidRDefault="00B311CA" w:rsidP="00B311CA">
            <w:pPr>
              <w:rPr>
                <w:rFonts w:ascii="Arial Narrow" w:hAnsi="Arial Narrow"/>
                <w:bCs/>
                <w:sz w:val="20"/>
                <w:szCs w:val="20"/>
                <w:highlight w:val="yellow"/>
              </w:rPr>
            </w:pPr>
            <w:r w:rsidRPr="00763A8B">
              <w:rPr>
                <w:rFonts w:ascii="Arial Narrow" w:hAnsi="Arial Narrow"/>
                <w:sz w:val="20"/>
                <w:szCs w:val="20"/>
              </w:rPr>
              <w:t>L04R-03-BEN</w:t>
            </w:r>
          </w:p>
        </w:tc>
        <w:tc>
          <w:tcPr>
            <w:tcW w:w="720" w:type="dxa"/>
            <w:noWrap/>
          </w:tcPr>
          <w:p w14:paraId="5C6CB0C1" w14:textId="2D389B5A" w:rsidR="00B311CA" w:rsidRPr="00763A8B" w:rsidRDefault="00B311CA" w:rsidP="00B311CA">
            <w:pPr>
              <w:rPr>
                <w:rFonts w:ascii="Arial Narrow" w:hAnsi="Arial Narrow"/>
                <w:bCs/>
                <w:sz w:val="20"/>
                <w:szCs w:val="20"/>
                <w:highlight w:val="yellow"/>
              </w:rPr>
            </w:pPr>
            <w:r w:rsidRPr="00763A8B">
              <w:rPr>
                <w:rFonts w:ascii="Arial Narrow" w:hAnsi="Arial Narrow"/>
                <w:sz w:val="20"/>
                <w:szCs w:val="20"/>
              </w:rPr>
              <w:t>2008</w:t>
            </w:r>
          </w:p>
        </w:tc>
        <w:tc>
          <w:tcPr>
            <w:tcW w:w="810" w:type="dxa"/>
            <w:noWrap/>
          </w:tcPr>
          <w:p w14:paraId="50C5C0F7" w14:textId="4CC48308" w:rsidR="00B311CA" w:rsidRPr="00763A8B" w:rsidRDefault="00B311CA" w:rsidP="00B311CA">
            <w:pPr>
              <w:rPr>
                <w:rFonts w:ascii="Arial Narrow" w:hAnsi="Arial Narrow"/>
                <w:bCs/>
                <w:sz w:val="20"/>
                <w:szCs w:val="20"/>
                <w:highlight w:val="yellow"/>
              </w:rPr>
            </w:pPr>
            <w:r w:rsidRPr="00763A8B">
              <w:rPr>
                <w:rFonts w:ascii="Arial Narrow" w:hAnsi="Arial Narrow"/>
                <w:sz w:val="20"/>
                <w:szCs w:val="20"/>
              </w:rPr>
              <w:t>3.16</w:t>
            </w:r>
          </w:p>
        </w:tc>
        <w:tc>
          <w:tcPr>
            <w:tcW w:w="2515" w:type="dxa"/>
            <w:noWrap/>
            <w:vAlign w:val="center"/>
          </w:tcPr>
          <w:p w14:paraId="4D88B04D" w14:textId="14873DCE" w:rsidR="00B311CA" w:rsidRPr="00763A8B" w:rsidRDefault="00763A8B" w:rsidP="00763A8B">
            <w:pPr>
              <w:jc w:val="left"/>
              <w:rPr>
                <w:rFonts w:ascii="Arial Narrow" w:hAnsi="Arial Narrow"/>
                <w:bCs/>
                <w:sz w:val="20"/>
                <w:szCs w:val="20"/>
                <w:highlight w:val="yellow"/>
              </w:rPr>
            </w:pPr>
            <w:r w:rsidRPr="00763A8B">
              <w:rPr>
                <w:rFonts w:ascii="Arial Narrow" w:hAnsi="Arial Narrow"/>
                <w:sz w:val="20"/>
                <w:szCs w:val="20"/>
              </w:rPr>
              <w:t>Roanoke River mainstem waters from Niagara Dam downstream to the mouth of Back Creek</w:t>
            </w:r>
          </w:p>
        </w:tc>
      </w:tr>
      <w:tr w:rsidR="00B311CA" w:rsidRPr="00763A8B" w14:paraId="65E2A141" w14:textId="77777777" w:rsidTr="00763A8B">
        <w:trPr>
          <w:trHeight w:val="300"/>
          <w:tblHeader/>
        </w:trPr>
        <w:tc>
          <w:tcPr>
            <w:tcW w:w="1075" w:type="dxa"/>
            <w:noWrap/>
          </w:tcPr>
          <w:p w14:paraId="6C09C0ED" w14:textId="21464B02" w:rsidR="00B311CA" w:rsidRPr="00763A8B" w:rsidRDefault="00B311CA" w:rsidP="00B311CA">
            <w:pPr>
              <w:rPr>
                <w:rFonts w:ascii="Arial Narrow" w:eastAsia="Times New Roman" w:hAnsi="Arial Narrow" w:cs="Helvetica"/>
                <w:color w:val="222222"/>
                <w:sz w:val="20"/>
                <w:szCs w:val="20"/>
              </w:rPr>
            </w:pPr>
            <w:r w:rsidRPr="00763A8B">
              <w:rPr>
                <w:rFonts w:ascii="Arial Narrow" w:hAnsi="Arial Narrow"/>
                <w:sz w:val="20"/>
                <w:szCs w:val="20"/>
              </w:rPr>
              <w:t>Tinker Creek</w:t>
            </w:r>
          </w:p>
        </w:tc>
        <w:tc>
          <w:tcPr>
            <w:tcW w:w="810" w:type="dxa"/>
          </w:tcPr>
          <w:p w14:paraId="4D3B4007" w14:textId="4FD5F959" w:rsidR="00B311CA" w:rsidRPr="00763A8B" w:rsidRDefault="00B311CA" w:rsidP="00B311CA">
            <w:pPr>
              <w:rPr>
                <w:rFonts w:ascii="Arial Narrow" w:eastAsia="Times New Roman" w:hAnsi="Arial Narrow" w:cs="Helvetica"/>
                <w:color w:val="222222"/>
                <w:sz w:val="20"/>
                <w:szCs w:val="20"/>
              </w:rPr>
            </w:pPr>
            <w:r w:rsidRPr="00763A8B">
              <w:rPr>
                <w:rFonts w:ascii="Arial Narrow" w:hAnsi="Arial Narrow"/>
                <w:sz w:val="20"/>
                <w:szCs w:val="20"/>
              </w:rPr>
              <w:t>RU</w:t>
            </w:r>
            <w:r w:rsidR="00763A8B" w:rsidRPr="00763A8B">
              <w:rPr>
                <w:rFonts w:ascii="Arial Narrow" w:hAnsi="Arial Narrow"/>
                <w:sz w:val="20"/>
                <w:szCs w:val="20"/>
              </w:rPr>
              <w:t>1</w:t>
            </w:r>
            <w:r w:rsidRPr="00763A8B">
              <w:rPr>
                <w:rFonts w:ascii="Arial Narrow" w:hAnsi="Arial Narrow"/>
                <w:sz w:val="20"/>
                <w:szCs w:val="20"/>
              </w:rPr>
              <w:t>3</w:t>
            </w:r>
          </w:p>
        </w:tc>
        <w:tc>
          <w:tcPr>
            <w:tcW w:w="2070" w:type="dxa"/>
            <w:noWrap/>
          </w:tcPr>
          <w:p w14:paraId="2E7ED962" w14:textId="77777777" w:rsidR="00B311CA" w:rsidRPr="00763A8B" w:rsidRDefault="00B311CA" w:rsidP="00B311CA">
            <w:pPr>
              <w:pStyle w:val="Caption"/>
              <w:rPr>
                <w:rFonts w:ascii="Arial Narrow" w:hAnsi="Arial Narrow"/>
                <w:szCs w:val="20"/>
              </w:rPr>
            </w:pPr>
            <w:r w:rsidRPr="00763A8B">
              <w:rPr>
                <w:rFonts w:ascii="Arial Narrow" w:hAnsi="Arial Narrow"/>
                <w:szCs w:val="20"/>
              </w:rPr>
              <w:t>VAW-L05R_TKR01A00</w:t>
            </w:r>
          </w:p>
          <w:p w14:paraId="7514372A" w14:textId="40C707B1" w:rsidR="00B311CA" w:rsidRPr="00763A8B" w:rsidRDefault="00B311CA" w:rsidP="00B311CA">
            <w:pPr>
              <w:jc w:val="center"/>
              <w:rPr>
                <w:rFonts w:ascii="Arial Narrow" w:eastAsia="Times New Roman" w:hAnsi="Arial Narrow" w:cs="Arial"/>
                <w:spacing w:val="-2"/>
                <w:sz w:val="20"/>
                <w:szCs w:val="20"/>
              </w:rPr>
            </w:pPr>
          </w:p>
        </w:tc>
        <w:tc>
          <w:tcPr>
            <w:tcW w:w="1350" w:type="dxa"/>
            <w:noWrap/>
          </w:tcPr>
          <w:p w14:paraId="2395324E" w14:textId="1CB76BF1" w:rsidR="00B311CA" w:rsidRPr="00763A8B" w:rsidRDefault="00B311CA" w:rsidP="00B311CA">
            <w:pPr>
              <w:rPr>
                <w:rFonts w:ascii="Arial Narrow" w:eastAsia="Times New Roman" w:hAnsi="Arial Narrow" w:cs="Helvetica"/>
                <w:color w:val="222222"/>
                <w:sz w:val="20"/>
                <w:szCs w:val="20"/>
              </w:rPr>
            </w:pPr>
            <w:r w:rsidRPr="00763A8B">
              <w:rPr>
                <w:rFonts w:ascii="Arial Narrow" w:hAnsi="Arial Narrow"/>
                <w:sz w:val="20"/>
                <w:szCs w:val="20"/>
              </w:rPr>
              <w:t>L05R-01-BEN</w:t>
            </w:r>
          </w:p>
        </w:tc>
        <w:tc>
          <w:tcPr>
            <w:tcW w:w="720" w:type="dxa"/>
            <w:noWrap/>
          </w:tcPr>
          <w:p w14:paraId="2DB7B17B" w14:textId="07084040" w:rsidR="00B311CA" w:rsidRPr="00763A8B" w:rsidRDefault="00B311CA" w:rsidP="00B311CA">
            <w:pPr>
              <w:rPr>
                <w:rFonts w:ascii="Arial Narrow" w:eastAsia="Times New Roman" w:hAnsi="Arial Narrow" w:cs="Helvetica"/>
                <w:color w:val="222222"/>
                <w:sz w:val="20"/>
                <w:szCs w:val="20"/>
              </w:rPr>
            </w:pPr>
            <w:r w:rsidRPr="00763A8B">
              <w:rPr>
                <w:rFonts w:ascii="Arial Narrow" w:hAnsi="Arial Narrow"/>
                <w:sz w:val="20"/>
                <w:szCs w:val="20"/>
              </w:rPr>
              <w:t>2010</w:t>
            </w:r>
          </w:p>
        </w:tc>
        <w:tc>
          <w:tcPr>
            <w:tcW w:w="810" w:type="dxa"/>
            <w:noWrap/>
          </w:tcPr>
          <w:p w14:paraId="7B2078AC" w14:textId="2030F9A3" w:rsidR="00B311CA" w:rsidRPr="00763A8B" w:rsidRDefault="00B311CA" w:rsidP="00B311CA">
            <w:pPr>
              <w:rPr>
                <w:rFonts w:ascii="Arial Narrow" w:eastAsia="Times New Roman" w:hAnsi="Arial Narrow" w:cs="Helvetica"/>
                <w:color w:val="222222"/>
                <w:sz w:val="20"/>
                <w:szCs w:val="20"/>
              </w:rPr>
            </w:pPr>
            <w:r w:rsidRPr="00763A8B">
              <w:rPr>
                <w:rFonts w:ascii="Arial Narrow" w:hAnsi="Arial Narrow"/>
                <w:sz w:val="20"/>
                <w:szCs w:val="20"/>
              </w:rPr>
              <w:t>5.37</w:t>
            </w:r>
          </w:p>
        </w:tc>
        <w:tc>
          <w:tcPr>
            <w:tcW w:w="2515" w:type="dxa"/>
            <w:noWrap/>
            <w:vAlign w:val="center"/>
          </w:tcPr>
          <w:p w14:paraId="27C25925" w14:textId="52ACB4C5" w:rsidR="00B311CA" w:rsidRPr="00763A8B" w:rsidRDefault="00763A8B" w:rsidP="00763A8B">
            <w:pPr>
              <w:jc w:val="left"/>
              <w:rPr>
                <w:rFonts w:ascii="Arial Narrow" w:eastAsia="Times New Roman" w:hAnsi="Arial Narrow" w:cs="Arial"/>
                <w:spacing w:val="-2"/>
                <w:sz w:val="20"/>
                <w:szCs w:val="20"/>
              </w:rPr>
            </w:pPr>
            <w:r w:rsidRPr="00763A8B">
              <w:rPr>
                <w:rFonts w:ascii="Arial Narrow" w:hAnsi="Arial Narrow"/>
                <w:sz w:val="20"/>
                <w:szCs w:val="20"/>
              </w:rPr>
              <w:t xml:space="preserve">Tinker Creek mainstem from the its confluence with the Roanoke River upstream to the mouth of </w:t>
            </w:r>
            <w:proofErr w:type="spellStart"/>
            <w:r w:rsidRPr="00763A8B">
              <w:rPr>
                <w:rFonts w:ascii="Arial Narrow" w:hAnsi="Arial Narrow"/>
                <w:sz w:val="20"/>
                <w:szCs w:val="20"/>
              </w:rPr>
              <w:t>Carvin</w:t>
            </w:r>
            <w:proofErr w:type="spellEnd"/>
            <w:r w:rsidRPr="00763A8B">
              <w:rPr>
                <w:rFonts w:ascii="Arial Narrow" w:hAnsi="Arial Narrow"/>
                <w:sz w:val="20"/>
                <w:szCs w:val="20"/>
              </w:rPr>
              <w:t xml:space="preserve"> Creek</w:t>
            </w:r>
          </w:p>
        </w:tc>
      </w:tr>
      <w:tr w:rsidR="00B311CA" w:rsidRPr="00763A8B" w14:paraId="53A0F393" w14:textId="77777777" w:rsidTr="00763A8B">
        <w:trPr>
          <w:trHeight w:val="300"/>
          <w:tblHeader/>
        </w:trPr>
        <w:tc>
          <w:tcPr>
            <w:tcW w:w="1075" w:type="dxa"/>
            <w:noWrap/>
          </w:tcPr>
          <w:p w14:paraId="1C243236" w14:textId="20B847E5" w:rsidR="00B311CA" w:rsidRPr="00763A8B" w:rsidRDefault="00B311CA" w:rsidP="00B311CA">
            <w:pPr>
              <w:rPr>
                <w:rFonts w:ascii="Arial Narrow" w:eastAsia="Times New Roman" w:hAnsi="Arial Narrow" w:cs="Helvetica"/>
                <w:color w:val="222222"/>
                <w:sz w:val="20"/>
                <w:szCs w:val="20"/>
              </w:rPr>
            </w:pPr>
            <w:r w:rsidRPr="00763A8B">
              <w:rPr>
                <w:rFonts w:ascii="Arial Narrow" w:hAnsi="Arial Narrow"/>
                <w:sz w:val="20"/>
                <w:szCs w:val="20"/>
              </w:rPr>
              <w:t>Tinker Creek</w:t>
            </w:r>
          </w:p>
        </w:tc>
        <w:tc>
          <w:tcPr>
            <w:tcW w:w="810" w:type="dxa"/>
          </w:tcPr>
          <w:p w14:paraId="33A6F325" w14:textId="30E9E947" w:rsidR="00B311CA" w:rsidRPr="00763A8B" w:rsidRDefault="00B311CA" w:rsidP="00B311CA">
            <w:pPr>
              <w:rPr>
                <w:rFonts w:ascii="Arial Narrow" w:eastAsia="Times New Roman" w:hAnsi="Arial Narrow" w:cs="Helvetica"/>
                <w:color w:val="222222"/>
                <w:sz w:val="20"/>
                <w:szCs w:val="20"/>
              </w:rPr>
            </w:pPr>
            <w:r w:rsidRPr="00763A8B">
              <w:rPr>
                <w:rFonts w:ascii="Arial Narrow" w:hAnsi="Arial Narrow"/>
                <w:sz w:val="20"/>
                <w:szCs w:val="20"/>
              </w:rPr>
              <w:t>RU11</w:t>
            </w:r>
          </w:p>
        </w:tc>
        <w:tc>
          <w:tcPr>
            <w:tcW w:w="2070" w:type="dxa"/>
            <w:noWrap/>
          </w:tcPr>
          <w:p w14:paraId="26CAAEC1" w14:textId="53665466" w:rsidR="00B311CA" w:rsidRPr="00763A8B" w:rsidRDefault="00B311CA" w:rsidP="00B311CA">
            <w:pPr>
              <w:jc w:val="center"/>
              <w:rPr>
                <w:rFonts w:ascii="Arial Narrow" w:eastAsia="Times New Roman" w:hAnsi="Arial Narrow" w:cs="Arial"/>
                <w:sz w:val="20"/>
                <w:szCs w:val="20"/>
              </w:rPr>
            </w:pPr>
            <w:r w:rsidRPr="00763A8B">
              <w:rPr>
                <w:rFonts w:ascii="Arial Narrow" w:hAnsi="Arial Narrow"/>
                <w:sz w:val="20"/>
                <w:szCs w:val="20"/>
              </w:rPr>
              <w:t>VAW-L05R_TKR01B06</w:t>
            </w:r>
          </w:p>
        </w:tc>
        <w:tc>
          <w:tcPr>
            <w:tcW w:w="1350" w:type="dxa"/>
            <w:noWrap/>
          </w:tcPr>
          <w:p w14:paraId="489EF38F" w14:textId="11E5B144" w:rsidR="00B311CA" w:rsidRPr="00763A8B" w:rsidRDefault="00B311CA" w:rsidP="00B311CA">
            <w:pPr>
              <w:rPr>
                <w:rFonts w:ascii="Arial Narrow" w:eastAsia="Times New Roman" w:hAnsi="Arial Narrow" w:cs="Helvetica"/>
                <w:color w:val="222222"/>
                <w:sz w:val="20"/>
                <w:szCs w:val="20"/>
              </w:rPr>
            </w:pPr>
            <w:r w:rsidRPr="00763A8B">
              <w:rPr>
                <w:rFonts w:ascii="Arial Narrow" w:hAnsi="Arial Narrow"/>
                <w:sz w:val="20"/>
                <w:szCs w:val="20"/>
              </w:rPr>
              <w:t>L05R-01-BEN</w:t>
            </w:r>
          </w:p>
        </w:tc>
        <w:tc>
          <w:tcPr>
            <w:tcW w:w="720" w:type="dxa"/>
            <w:noWrap/>
          </w:tcPr>
          <w:p w14:paraId="14F29FCD" w14:textId="33CE4962" w:rsidR="00B311CA" w:rsidRPr="00763A8B" w:rsidRDefault="00B311CA" w:rsidP="00B311CA">
            <w:pPr>
              <w:rPr>
                <w:rFonts w:ascii="Arial Narrow" w:eastAsia="Times New Roman" w:hAnsi="Arial Narrow" w:cs="Helvetica"/>
                <w:color w:val="222222"/>
                <w:sz w:val="20"/>
                <w:szCs w:val="20"/>
              </w:rPr>
            </w:pPr>
            <w:r w:rsidRPr="00763A8B">
              <w:rPr>
                <w:rFonts w:ascii="Arial Narrow" w:hAnsi="Arial Narrow"/>
                <w:sz w:val="20"/>
                <w:szCs w:val="20"/>
              </w:rPr>
              <w:t>2018</w:t>
            </w:r>
          </w:p>
        </w:tc>
        <w:tc>
          <w:tcPr>
            <w:tcW w:w="810" w:type="dxa"/>
            <w:noWrap/>
          </w:tcPr>
          <w:p w14:paraId="3AE92FB3" w14:textId="0BE1F99D" w:rsidR="00B311CA" w:rsidRPr="00763A8B" w:rsidRDefault="00B311CA" w:rsidP="00B311CA">
            <w:pPr>
              <w:rPr>
                <w:rFonts w:ascii="Arial Narrow" w:eastAsia="Times New Roman" w:hAnsi="Arial Narrow" w:cs="Helvetica"/>
                <w:color w:val="222222"/>
                <w:sz w:val="20"/>
                <w:szCs w:val="20"/>
              </w:rPr>
            </w:pPr>
            <w:r w:rsidRPr="00763A8B">
              <w:rPr>
                <w:rFonts w:ascii="Arial Narrow" w:hAnsi="Arial Narrow"/>
                <w:sz w:val="20"/>
                <w:szCs w:val="20"/>
              </w:rPr>
              <w:t>6.50</w:t>
            </w:r>
          </w:p>
        </w:tc>
        <w:tc>
          <w:tcPr>
            <w:tcW w:w="2515" w:type="dxa"/>
            <w:noWrap/>
            <w:vAlign w:val="center"/>
          </w:tcPr>
          <w:p w14:paraId="1ED7B0A9" w14:textId="1CC60D45" w:rsidR="00B311CA" w:rsidRPr="00763A8B" w:rsidRDefault="00763A8B" w:rsidP="00763A8B">
            <w:pPr>
              <w:jc w:val="left"/>
              <w:rPr>
                <w:rFonts w:ascii="Arial Narrow" w:eastAsia="Times New Roman" w:hAnsi="Arial Narrow" w:cs="Arial"/>
                <w:sz w:val="20"/>
                <w:szCs w:val="20"/>
              </w:rPr>
            </w:pPr>
            <w:r w:rsidRPr="00763A8B">
              <w:rPr>
                <w:rFonts w:ascii="Arial Narrow" w:hAnsi="Arial Narrow"/>
                <w:sz w:val="20"/>
                <w:szCs w:val="20"/>
              </w:rPr>
              <w:t xml:space="preserve">Tinker Creek mainstem from the </w:t>
            </w:r>
            <w:proofErr w:type="spellStart"/>
            <w:r w:rsidRPr="00763A8B">
              <w:rPr>
                <w:rFonts w:ascii="Arial Narrow" w:hAnsi="Arial Narrow"/>
                <w:sz w:val="20"/>
                <w:szCs w:val="20"/>
              </w:rPr>
              <w:t>Carvin</w:t>
            </w:r>
            <w:proofErr w:type="spellEnd"/>
            <w:r w:rsidRPr="00763A8B">
              <w:rPr>
                <w:rFonts w:ascii="Arial Narrow" w:hAnsi="Arial Narrow"/>
                <w:sz w:val="20"/>
                <w:szCs w:val="20"/>
              </w:rPr>
              <w:t xml:space="preserve"> Creek mouth upstream to the confluence of Buffalo Creek</w:t>
            </w:r>
          </w:p>
        </w:tc>
      </w:tr>
      <w:tr w:rsidR="00B311CA" w:rsidRPr="00763A8B" w14:paraId="655EECD1" w14:textId="77777777" w:rsidTr="00763A8B">
        <w:trPr>
          <w:trHeight w:val="300"/>
          <w:tblHeader/>
        </w:trPr>
        <w:tc>
          <w:tcPr>
            <w:tcW w:w="1075" w:type="dxa"/>
            <w:noWrap/>
          </w:tcPr>
          <w:p w14:paraId="7B248F82" w14:textId="58AAF08F" w:rsidR="00B311CA" w:rsidRPr="00763A8B" w:rsidRDefault="00B311CA" w:rsidP="00B311CA">
            <w:pPr>
              <w:rPr>
                <w:rFonts w:ascii="Arial Narrow" w:eastAsia="Times New Roman" w:hAnsi="Arial Narrow" w:cs="Helvetica"/>
                <w:color w:val="222222"/>
                <w:sz w:val="20"/>
                <w:szCs w:val="20"/>
              </w:rPr>
            </w:pPr>
            <w:r w:rsidRPr="00763A8B">
              <w:rPr>
                <w:rFonts w:ascii="Arial Narrow" w:hAnsi="Arial Narrow"/>
                <w:sz w:val="20"/>
                <w:szCs w:val="20"/>
              </w:rPr>
              <w:t>Wolf Creek</w:t>
            </w:r>
          </w:p>
        </w:tc>
        <w:tc>
          <w:tcPr>
            <w:tcW w:w="810" w:type="dxa"/>
          </w:tcPr>
          <w:p w14:paraId="44A26C68" w14:textId="18A720C3" w:rsidR="00B311CA" w:rsidRPr="00763A8B" w:rsidRDefault="00B311CA" w:rsidP="00B311CA">
            <w:pPr>
              <w:rPr>
                <w:rFonts w:ascii="Arial Narrow" w:eastAsia="Times New Roman" w:hAnsi="Arial Narrow" w:cs="Helvetica"/>
                <w:color w:val="222222"/>
                <w:sz w:val="20"/>
                <w:szCs w:val="20"/>
              </w:rPr>
            </w:pPr>
            <w:r w:rsidRPr="00763A8B">
              <w:rPr>
                <w:rFonts w:ascii="Arial Narrow" w:hAnsi="Arial Narrow"/>
                <w:sz w:val="20"/>
                <w:szCs w:val="20"/>
              </w:rPr>
              <w:t>RU14</w:t>
            </w:r>
          </w:p>
        </w:tc>
        <w:tc>
          <w:tcPr>
            <w:tcW w:w="2070" w:type="dxa"/>
            <w:noWrap/>
          </w:tcPr>
          <w:p w14:paraId="2625A720" w14:textId="17C0B80E" w:rsidR="00B311CA" w:rsidRPr="00763A8B" w:rsidRDefault="00B311CA" w:rsidP="00B311CA">
            <w:pPr>
              <w:jc w:val="center"/>
              <w:rPr>
                <w:rFonts w:ascii="Arial Narrow" w:eastAsia="Times New Roman" w:hAnsi="Arial Narrow" w:cs="Arial"/>
                <w:sz w:val="20"/>
                <w:szCs w:val="20"/>
              </w:rPr>
            </w:pPr>
            <w:r w:rsidRPr="00763A8B">
              <w:rPr>
                <w:rFonts w:ascii="Arial Narrow" w:hAnsi="Arial Narrow"/>
                <w:sz w:val="20"/>
                <w:szCs w:val="20"/>
              </w:rPr>
              <w:t>VAW-L04R_WOR01A10</w:t>
            </w:r>
          </w:p>
        </w:tc>
        <w:tc>
          <w:tcPr>
            <w:tcW w:w="1350" w:type="dxa"/>
            <w:noWrap/>
          </w:tcPr>
          <w:p w14:paraId="0D894C32" w14:textId="7731BAAC" w:rsidR="00B311CA" w:rsidRPr="00763A8B" w:rsidRDefault="00B311CA" w:rsidP="00B311CA">
            <w:pPr>
              <w:rPr>
                <w:rFonts w:ascii="Arial Narrow" w:eastAsia="Times New Roman" w:hAnsi="Arial Narrow" w:cs="Helvetica"/>
                <w:color w:val="222222"/>
                <w:sz w:val="20"/>
                <w:szCs w:val="20"/>
              </w:rPr>
            </w:pPr>
            <w:r w:rsidRPr="00763A8B">
              <w:rPr>
                <w:rFonts w:ascii="Arial Narrow" w:hAnsi="Arial Narrow"/>
                <w:sz w:val="20"/>
                <w:szCs w:val="20"/>
              </w:rPr>
              <w:t>L04R-10-BEN</w:t>
            </w:r>
          </w:p>
        </w:tc>
        <w:tc>
          <w:tcPr>
            <w:tcW w:w="720" w:type="dxa"/>
            <w:noWrap/>
          </w:tcPr>
          <w:p w14:paraId="673CDE46" w14:textId="49D352FE" w:rsidR="00B311CA" w:rsidRPr="00763A8B" w:rsidRDefault="00B311CA" w:rsidP="00B311CA">
            <w:pPr>
              <w:rPr>
                <w:rFonts w:ascii="Arial Narrow" w:eastAsia="Times New Roman" w:hAnsi="Arial Narrow" w:cs="Helvetica"/>
                <w:color w:val="222222"/>
                <w:sz w:val="20"/>
                <w:szCs w:val="20"/>
              </w:rPr>
            </w:pPr>
            <w:r w:rsidRPr="00763A8B">
              <w:rPr>
                <w:rFonts w:ascii="Arial Narrow" w:hAnsi="Arial Narrow"/>
                <w:sz w:val="20"/>
                <w:szCs w:val="20"/>
              </w:rPr>
              <w:t>2018</w:t>
            </w:r>
          </w:p>
        </w:tc>
        <w:tc>
          <w:tcPr>
            <w:tcW w:w="810" w:type="dxa"/>
            <w:noWrap/>
          </w:tcPr>
          <w:p w14:paraId="2528018B" w14:textId="4B23B383" w:rsidR="00B311CA" w:rsidRPr="00763A8B" w:rsidRDefault="00B311CA" w:rsidP="00B311CA">
            <w:pPr>
              <w:rPr>
                <w:rFonts w:ascii="Arial Narrow" w:eastAsia="Times New Roman" w:hAnsi="Arial Narrow" w:cs="Helvetica"/>
                <w:color w:val="222222"/>
                <w:sz w:val="20"/>
                <w:szCs w:val="20"/>
              </w:rPr>
            </w:pPr>
            <w:r w:rsidRPr="00763A8B">
              <w:rPr>
                <w:rFonts w:ascii="Arial Narrow" w:hAnsi="Arial Narrow"/>
                <w:sz w:val="20"/>
                <w:szCs w:val="20"/>
              </w:rPr>
              <w:t>2.61</w:t>
            </w:r>
          </w:p>
        </w:tc>
        <w:tc>
          <w:tcPr>
            <w:tcW w:w="2515" w:type="dxa"/>
            <w:noWrap/>
            <w:vAlign w:val="center"/>
          </w:tcPr>
          <w:p w14:paraId="0ACFEA5F" w14:textId="528536F1" w:rsidR="00B311CA" w:rsidRPr="00763A8B" w:rsidRDefault="00763A8B" w:rsidP="00763A8B">
            <w:pPr>
              <w:jc w:val="left"/>
              <w:rPr>
                <w:rFonts w:ascii="Arial Narrow" w:eastAsia="Times New Roman" w:hAnsi="Arial Narrow" w:cs="Arial"/>
                <w:sz w:val="20"/>
                <w:szCs w:val="20"/>
              </w:rPr>
            </w:pPr>
            <w:r w:rsidRPr="00763A8B">
              <w:rPr>
                <w:rFonts w:ascii="Arial Narrow" w:hAnsi="Arial Narrow"/>
                <w:sz w:val="20"/>
                <w:szCs w:val="20"/>
              </w:rPr>
              <w:t>Wolf Creek from its mouth on the Roanoke River upstream to the upper end of the WQS designated public water supply (PWS) section 6i</w:t>
            </w:r>
          </w:p>
        </w:tc>
      </w:tr>
      <w:tr w:rsidR="00B311CA" w:rsidRPr="00763A8B" w14:paraId="025D782E" w14:textId="77777777" w:rsidTr="00763A8B">
        <w:trPr>
          <w:trHeight w:val="300"/>
          <w:tblHeader/>
        </w:trPr>
        <w:tc>
          <w:tcPr>
            <w:tcW w:w="1075" w:type="dxa"/>
            <w:tcBorders>
              <w:bottom w:val="single" w:sz="4" w:space="0" w:color="auto"/>
            </w:tcBorders>
            <w:noWrap/>
          </w:tcPr>
          <w:p w14:paraId="7DD97C7C" w14:textId="30DB8C05" w:rsidR="00B311CA" w:rsidRPr="00763A8B" w:rsidRDefault="00B311CA" w:rsidP="00B311CA">
            <w:pPr>
              <w:rPr>
                <w:rFonts w:ascii="Arial Narrow" w:eastAsia="Times New Roman" w:hAnsi="Arial Narrow" w:cs="Helvetica"/>
                <w:color w:val="222222"/>
                <w:sz w:val="20"/>
                <w:szCs w:val="20"/>
              </w:rPr>
            </w:pPr>
            <w:r w:rsidRPr="00763A8B">
              <w:rPr>
                <w:rFonts w:ascii="Arial Narrow" w:hAnsi="Arial Narrow"/>
                <w:sz w:val="20"/>
                <w:szCs w:val="20"/>
              </w:rPr>
              <w:t>Wolf Creek</w:t>
            </w:r>
          </w:p>
        </w:tc>
        <w:tc>
          <w:tcPr>
            <w:tcW w:w="810" w:type="dxa"/>
          </w:tcPr>
          <w:p w14:paraId="1B899869" w14:textId="5EA095C1" w:rsidR="00B311CA" w:rsidRPr="00763A8B" w:rsidRDefault="00B311CA" w:rsidP="00B311CA">
            <w:pPr>
              <w:rPr>
                <w:rFonts w:ascii="Arial Narrow" w:eastAsia="Times New Roman" w:hAnsi="Arial Narrow" w:cs="Helvetica"/>
                <w:color w:val="222222"/>
                <w:sz w:val="20"/>
                <w:szCs w:val="20"/>
              </w:rPr>
            </w:pPr>
            <w:r w:rsidRPr="00763A8B">
              <w:rPr>
                <w:rFonts w:ascii="Arial Narrow" w:hAnsi="Arial Narrow"/>
                <w:sz w:val="20"/>
                <w:szCs w:val="20"/>
              </w:rPr>
              <w:t>RU14</w:t>
            </w:r>
          </w:p>
        </w:tc>
        <w:tc>
          <w:tcPr>
            <w:tcW w:w="2070" w:type="dxa"/>
            <w:noWrap/>
          </w:tcPr>
          <w:p w14:paraId="08A8B543" w14:textId="5761B33F" w:rsidR="00B311CA" w:rsidRPr="00763A8B" w:rsidRDefault="00B311CA" w:rsidP="00B311CA">
            <w:pPr>
              <w:jc w:val="center"/>
              <w:rPr>
                <w:rFonts w:ascii="Arial Narrow" w:eastAsia="Times New Roman" w:hAnsi="Arial Narrow" w:cs="Arial"/>
                <w:sz w:val="20"/>
                <w:szCs w:val="20"/>
              </w:rPr>
            </w:pPr>
            <w:r w:rsidRPr="00763A8B">
              <w:rPr>
                <w:rFonts w:ascii="Arial Narrow" w:hAnsi="Arial Narrow"/>
                <w:sz w:val="20"/>
                <w:szCs w:val="20"/>
              </w:rPr>
              <w:t>VAW-L04R_WOR02A08</w:t>
            </w:r>
          </w:p>
        </w:tc>
        <w:tc>
          <w:tcPr>
            <w:tcW w:w="1350" w:type="dxa"/>
            <w:noWrap/>
          </w:tcPr>
          <w:p w14:paraId="4B3E78E5" w14:textId="33AA8F3E" w:rsidR="00B311CA" w:rsidRPr="00763A8B" w:rsidRDefault="00B311CA" w:rsidP="00B311CA">
            <w:pPr>
              <w:rPr>
                <w:rFonts w:ascii="Arial Narrow" w:eastAsia="Times New Roman" w:hAnsi="Arial Narrow" w:cs="Helvetica"/>
                <w:color w:val="222222"/>
                <w:sz w:val="20"/>
                <w:szCs w:val="20"/>
              </w:rPr>
            </w:pPr>
            <w:r w:rsidRPr="00763A8B">
              <w:rPr>
                <w:rFonts w:ascii="Arial Narrow" w:hAnsi="Arial Narrow"/>
                <w:sz w:val="20"/>
                <w:szCs w:val="20"/>
              </w:rPr>
              <w:t>L04R-10-BEN</w:t>
            </w:r>
          </w:p>
        </w:tc>
        <w:tc>
          <w:tcPr>
            <w:tcW w:w="720" w:type="dxa"/>
            <w:noWrap/>
          </w:tcPr>
          <w:p w14:paraId="36B0D3D1" w14:textId="31461185" w:rsidR="00B311CA" w:rsidRPr="00763A8B" w:rsidRDefault="00B311CA" w:rsidP="00B311CA">
            <w:pPr>
              <w:rPr>
                <w:rFonts w:ascii="Arial Narrow" w:eastAsia="Times New Roman" w:hAnsi="Arial Narrow" w:cs="Helvetica"/>
                <w:color w:val="222222"/>
                <w:sz w:val="20"/>
                <w:szCs w:val="20"/>
              </w:rPr>
            </w:pPr>
            <w:r w:rsidRPr="00763A8B">
              <w:rPr>
                <w:rFonts w:ascii="Arial Narrow" w:hAnsi="Arial Narrow"/>
                <w:sz w:val="20"/>
                <w:szCs w:val="20"/>
              </w:rPr>
              <w:t>2018</w:t>
            </w:r>
          </w:p>
        </w:tc>
        <w:tc>
          <w:tcPr>
            <w:tcW w:w="810" w:type="dxa"/>
            <w:noWrap/>
          </w:tcPr>
          <w:p w14:paraId="38BABE9C" w14:textId="681AE68B" w:rsidR="00B311CA" w:rsidRPr="00763A8B" w:rsidRDefault="00B311CA" w:rsidP="00B311CA">
            <w:pPr>
              <w:rPr>
                <w:rFonts w:ascii="Arial Narrow" w:eastAsia="Times New Roman" w:hAnsi="Arial Narrow" w:cs="Helvetica"/>
                <w:color w:val="222222"/>
                <w:sz w:val="20"/>
                <w:szCs w:val="20"/>
              </w:rPr>
            </w:pPr>
            <w:r w:rsidRPr="00763A8B">
              <w:rPr>
                <w:rFonts w:ascii="Arial Narrow" w:hAnsi="Arial Narrow"/>
                <w:sz w:val="20"/>
                <w:szCs w:val="20"/>
              </w:rPr>
              <w:t>1.89</w:t>
            </w:r>
          </w:p>
        </w:tc>
        <w:tc>
          <w:tcPr>
            <w:tcW w:w="2515" w:type="dxa"/>
            <w:noWrap/>
            <w:vAlign w:val="center"/>
          </w:tcPr>
          <w:p w14:paraId="6F2F3DA9" w14:textId="222B0364" w:rsidR="00B311CA" w:rsidRPr="00763A8B" w:rsidRDefault="00763A8B" w:rsidP="00763A8B">
            <w:pPr>
              <w:jc w:val="left"/>
              <w:rPr>
                <w:rFonts w:ascii="Arial Narrow" w:eastAsia="Times New Roman" w:hAnsi="Arial Narrow" w:cs="Arial"/>
                <w:sz w:val="20"/>
                <w:szCs w:val="20"/>
              </w:rPr>
            </w:pPr>
            <w:r w:rsidRPr="00763A8B">
              <w:rPr>
                <w:rFonts w:ascii="Arial Narrow" w:hAnsi="Arial Narrow"/>
                <w:sz w:val="20"/>
                <w:szCs w:val="20"/>
              </w:rPr>
              <w:t>Wolf Creek from the upstream PWS end upstream to its headwaters</w:t>
            </w:r>
          </w:p>
        </w:tc>
      </w:tr>
    </w:tbl>
    <w:p w14:paraId="20BAEFEB" w14:textId="06B9E88C" w:rsidR="008B1DEC" w:rsidRPr="007A0C83" w:rsidRDefault="00466886" w:rsidP="008B1DEC">
      <w:pPr>
        <w:pStyle w:val="BlockText"/>
        <w:keepNext/>
        <w:rPr>
          <w:highlight w:val="yellow"/>
        </w:rPr>
      </w:pPr>
      <w:r>
        <w:rPr>
          <w:noProof/>
        </w:rPr>
        <w:lastRenderedPageBreak/>
        <w:drawing>
          <wp:inline distT="0" distB="0" distL="0" distR="0" wp14:anchorId="251AE840" wp14:editId="4AAB437C">
            <wp:extent cx="5943600" cy="4572000"/>
            <wp:effectExtent l="0" t="0" r="0" b="0"/>
            <wp:docPr id="14" name="Picture 14" descr="Location of benthic impairments in the Roanoke River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oanoke Project.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4572000"/>
                    </a:xfrm>
                    <a:prstGeom prst="rect">
                      <a:avLst/>
                    </a:prstGeom>
                  </pic:spPr>
                </pic:pic>
              </a:graphicData>
            </a:graphic>
          </wp:inline>
        </w:drawing>
      </w:r>
    </w:p>
    <w:p w14:paraId="3E92C976" w14:textId="2219741F" w:rsidR="008B1DEC" w:rsidRPr="002C52DF" w:rsidRDefault="008B1DEC" w:rsidP="008B1DEC">
      <w:pPr>
        <w:pStyle w:val="Caption"/>
      </w:pPr>
      <w:bookmarkStart w:id="15" w:name="_Ref84925785"/>
      <w:bookmarkStart w:id="16" w:name="_Toc162948219"/>
      <w:r w:rsidRPr="00CA12C3">
        <w:t xml:space="preserve">Figure </w:t>
      </w:r>
      <w:r w:rsidRPr="00CA12C3">
        <w:rPr>
          <w:noProof/>
        </w:rPr>
        <w:fldChar w:fldCharType="begin"/>
      </w:r>
      <w:r w:rsidRPr="00CA12C3">
        <w:rPr>
          <w:noProof/>
        </w:rPr>
        <w:instrText xml:space="preserve"> SEQ Figure \* ARABIC </w:instrText>
      </w:r>
      <w:r w:rsidRPr="00CA12C3">
        <w:rPr>
          <w:noProof/>
        </w:rPr>
        <w:fldChar w:fldCharType="separate"/>
      </w:r>
      <w:r w:rsidR="004A78BF">
        <w:rPr>
          <w:noProof/>
        </w:rPr>
        <w:t>1</w:t>
      </w:r>
      <w:r w:rsidRPr="00CA12C3">
        <w:rPr>
          <w:noProof/>
        </w:rPr>
        <w:fldChar w:fldCharType="end"/>
      </w:r>
      <w:bookmarkEnd w:id="15"/>
      <w:r w:rsidRPr="00CA12C3">
        <w:t xml:space="preserve">. Location of benthic impairments in </w:t>
      </w:r>
      <w:r w:rsidR="00D51088">
        <w:t xml:space="preserve">the </w:t>
      </w:r>
      <w:r w:rsidR="00CA12C3" w:rsidRPr="00CA12C3">
        <w:t>Roanoke River Project</w:t>
      </w:r>
      <w:r w:rsidRPr="00CA12C3">
        <w:t>.</w:t>
      </w:r>
      <w:bookmarkEnd w:id="16"/>
    </w:p>
    <w:p w14:paraId="1D9EC1AE" w14:textId="77777777" w:rsidR="008B1DEC" w:rsidRPr="007A0C83" w:rsidRDefault="008B1DEC" w:rsidP="008B1DEC">
      <w:pPr>
        <w:rPr>
          <w:highlight w:val="yellow"/>
        </w:rPr>
      </w:pPr>
    </w:p>
    <w:p w14:paraId="6870EE8E" w14:textId="61C5EE76" w:rsidR="00CB514C" w:rsidRPr="00923FCF" w:rsidRDefault="00CB514C" w:rsidP="00CB514C">
      <w:pPr>
        <w:pStyle w:val="Heading2"/>
      </w:pPr>
      <w:bookmarkStart w:id="17" w:name="_Toc162948151"/>
      <w:r w:rsidRPr="00923FCF">
        <w:t>Stressor Analysis Process</w:t>
      </w:r>
      <w:bookmarkEnd w:id="17"/>
    </w:p>
    <w:p w14:paraId="66720B48" w14:textId="2EBEEA46" w:rsidR="00856AEB" w:rsidRPr="00923FCF" w:rsidRDefault="00B600C0" w:rsidP="00B600C0">
      <w:pPr>
        <w:pStyle w:val="BlockText"/>
      </w:pPr>
      <w:r w:rsidRPr="00923FCF">
        <w:t xml:space="preserve">Benthic impairments are based on biological assessments of the benthic community.  These biological assessments are effective at determining whether a water body is impaired or not, but they do not provide </w:t>
      </w:r>
      <w:r w:rsidR="00547824">
        <w:t xml:space="preserve">definitive </w:t>
      </w:r>
      <w:r w:rsidRPr="00923FCF">
        <w:t xml:space="preserve">information on the stressor or source causing the impairment.  To determine the cause of the impairment, a stressor identification analysis must be conducted.  JMU conducted this analysis according to the </w:t>
      </w:r>
      <w:r w:rsidR="00215E0B" w:rsidRPr="00923FCF">
        <w:t xml:space="preserve">U.S. </w:t>
      </w:r>
      <w:r w:rsidRPr="00923FCF">
        <w:t xml:space="preserve">Environmental Protection Agency’s </w:t>
      </w:r>
      <w:r w:rsidR="00215E0B" w:rsidRPr="00923FCF">
        <w:t xml:space="preserve">(USEPA) </w:t>
      </w:r>
      <w:r w:rsidRPr="00923FCF">
        <w:t>Stressor Identification Guidance Document (USEPA, 2000</w:t>
      </w:r>
      <w:r w:rsidR="009E6E4B" w:rsidRPr="00923FCF">
        <w:t>b</w:t>
      </w:r>
      <w:r w:rsidRPr="00923FCF">
        <w:t xml:space="preserve">). </w:t>
      </w:r>
      <w:r w:rsidR="00856AEB" w:rsidRPr="00923FCF">
        <w:t>In short, the stressor identification analysis identifies the pollutant(s) responsible for the benthic impairment through a weight of evidence approach that evaluates all available information on potential candidate stressors (</w:t>
      </w:r>
      <w:r w:rsidR="00856AEB" w:rsidRPr="00923FCF">
        <w:fldChar w:fldCharType="begin"/>
      </w:r>
      <w:r w:rsidR="00856AEB" w:rsidRPr="00923FCF">
        <w:instrText xml:space="preserve"> REF _Ref46322148 \h </w:instrText>
      </w:r>
      <w:r w:rsidR="00867C44" w:rsidRPr="00923FCF">
        <w:instrText xml:space="preserve"> \* MERGEFORMAT </w:instrText>
      </w:r>
      <w:r w:rsidR="00856AEB" w:rsidRPr="00923FCF">
        <w:fldChar w:fldCharType="separate"/>
      </w:r>
      <w:r w:rsidR="004A78BF" w:rsidRPr="00923FCF">
        <w:t xml:space="preserve">Figure </w:t>
      </w:r>
      <w:r w:rsidR="004A78BF">
        <w:rPr>
          <w:noProof/>
        </w:rPr>
        <w:t>2</w:t>
      </w:r>
      <w:r w:rsidR="00856AEB" w:rsidRPr="00923FCF">
        <w:fldChar w:fldCharType="end"/>
      </w:r>
      <w:r w:rsidR="00856AEB" w:rsidRPr="00923FCF">
        <w:t xml:space="preserve">). </w:t>
      </w:r>
      <w:bookmarkStart w:id="18" w:name="_Hlk80704213"/>
      <w:r w:rsidR="00D7450D" w:rsidRPr="00923FCF">
        <w:t xml:space="preserve">Once the probable stressor(s) is identified, a </w:t>
      </w:r>
      <w:r w:rsidR="00856AEB" w:rsidRPr="00923FCF">
        <w:t xml:space="preserve">TMDL </w:t>
      </w:r>
      <w:r w:rsidR="00D7450D" w:rsidRPr="00923FCF">
        <w:t>can be developed for that pollutant to reduce sources and restore the aquatic life designated use</w:t>
      </w:r>
      <w:r w:rsidR="00856AEB" w:rsidRPr="00923FCF">
        <w:t>.</w:t>
      </w:r>
      <w:bookmarkEnd w:id="18"/>
      <w:r w:rsidR="00856AEB" w:rsidRPr="00923FCF">
        <w:t xml:space="preserve"> </w:t>
      </w:r>
    </w:p>
    <w:p w14:paraId="38C64148" w14:textId="1DCDC07E" w:rsidR="00856AEB" w:rsidRPr="00923FCF" w:rsidRDefault="00813496" w:rsidP="00856AEB">
      <w:pPr>
        <w:pStyle w:val="BlockText"/>
        <w:keepNext/>
      </w:pPr>
      <w:r w:rsidRPr="00923FCF">
        <w:rPr>
          <w:noProof/>
        </w:rPr>
        <w:drawing>
          <wp:inline distT="0" distB="0" distL="0" distR="0" wp14:anchorId="610E5F03" wp14:editId="75F51096">
            <wp:extent cx="4928343" cy="3877343"/>
            <wp:effectExtent l="0" t="0" r="5715" b="8890"/>
            <wp:docPr id="15" name="Picture 15" descr="Stressor identification analysi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47240" cy="3892210"/>
                    </a:xfrm>
                    <a:prstGeom prst="rect">
                      <a:avLst/>
                    </a:prstGeom>
                    <a:noFill/>
                  </pic:spPr>
                </pic:pic>
              </a:graphicData>
            </a:graphic>
          </wp:inline>
        </w:drawing>
      </w:r>
    </w:p>
    <w:p w14:paraId="28C343EB" w14:textId="71FDAAFF" w:rsidR="00856AEB" w:rsidRPr="00923FCF" w:rsidRDefault="00856AEB" w:rsidP="00856AEB">
      <w:pPr>
        <w:pStyle w:val="Caption"/>
      </w:pPr>
      <w:bookmarkStart w:id="19" w:name="_Ref46322148"/>
      <w:bookmarkStart w:id="20" w:name="_Toc162948220"/>
      <w:r w:rsidRPr="00923FCF">
        <w:t xml:space="preserve">Figure </w:t>
      </w:r>
      <w:r w:rsidR="00563518" w:rsidRPr="00923FCF">
        <w:rPr>
          <w:noProof/>
        </w:rPr>
        <w:fldChar w:fldCharType="begin"/>
      </w:r>
      <w:r w:rsidR="00563518" w:rsidRPr="00923FCF">
        <w:rPr>
          <w:noProof/>
        </w:rPr>
        <w:instrText xml:space="preserve"> SEQ Figure \* ARABIC </w:instrText>
      </w:r>
      <w:r w:rsidR="00563518" w:rsidRPr="00923FCF">
        <w:rPr>
          <w:noProof/>
        </w:rPr>
        <w:fldChar w:fldCharType="separate"/>
      </w:r>
      <w:r w:rsidR="004A78BF">
        <w:rPr>
          <w:noProof/>
        </w:rPr>
        <w:t>2</w:t>
      </w:r>
      <w:r w:rsidR="00563518" w:rsidRPr="00923FCF">
        <w:rPr>
          <w:noProof/>
        </w:rPr>
        <w:fldChar w:fldCharType="end"/>
      </w:r>
      <w:bookmarkEnd w:id="19"/>
      <w:r w:rsidRPr="00923FCF">
        <w:t>. Stressor identification analysis process.</w:t>
      </w:r>
      <w:bookmarkEnd w:id="20"/>
    </w:p>
    <w:p w14:paraId="1CE4C546" w14:textId="77777777" w:rsidR="00856AEB" w:rsidRPr="00923FCF" w:rsidRDefault="00856AEB" w:rsidP="00B600C0">
      <w:pPr>
        <w:pStyle w:val="BlockText"/>
      </w:pPr>
    </w:p>
    <w:p w14:paraId="08D09741" w14:textId="47E358A5" w:rsidR="009A18A8" w:rsidRPr="00923FCF" w:rsidRDefault="00B600C0" w:rsidP="00B600C0">
      <w:pPr>
        <w:pStyle w:val="BlockText"/>
      </w:pPr>
      <w:r w:rsidRPr="00923FCF">
        <w:t xml:space="preserve">The first step in the stressor identification analysis is to list potential candidate stressors.  JMU identified these from the listing information, monitoring data, scientific literature, and historic information. </w:t>
      </w:r>
      <w:r w:rsidR="00856AEB" w:rsidRPr="00923FCF">
        <w:t xml:space="preserve">Potential stressors include </w:t>
      </w:r>
      <w:r w:rsidR="009A18A8" w:rsidRPr="00923FCF">
        <w:t>both pollutants that can be targeted through TMDL development and additiona</w:t>
      </w:r>
      <w:r w:rsidR="009D635C" w:rsidRPr="00923FCF">
        <w:t>l contributing factors that can influence and stress benthic communities but that cannot be effectively targeted through TMDL development (</w:t>
      </w:r>
      <w:r w:rsidR="009D635C" w:rsidRPr="00923FCF">
        <w:fldChar w:fldCharType="begin"/>
      </w:r>
      <w:r w:rsidR="009D635C" w:rsidRPr="00923FCF">
        <w:instrText xml:space="preserve"> REF _Ref46322975 \h </w:instrText>
      </w:r>
      <w:r w:rsidR="00867C44" w:rsidRPr="00923FCF">
        <w:instrText xml:space="preserve"> \* MERGEFORMAT </w:instrText>
      </w:r>
      <w:r w:rsidR="009D635C" w:rsidRPr="00923FCF">
        <w:fldChar w:fldCharType="separate"/>
      </w:r>
      <w:r w:rsidR="004A78BF" w:rsidRPr="00923FCF">
        <w:t xml:space="preserve">Table </w:t>
      </w:r>
      <w:r w:rsidR="004A78BF">
        <w:rPr>
          <w:noProof/>
        </w:rPr>
        <w:t>2</w:t>
      </w:r>
      <w:r w:rsidR="009D635C" w:rsidRPr="00923FCF">
        <w:fldChar w:fldCharType="end"/>
      </w:r>
      <w:r w:rsidR="009D635C" w:rsidRPr="00923FCF">
        <w:t xml:space="preserve">). </w:t>
      </w:r>
    </w:p>
    <w:p w14:paraId="321269C9" w14:textId="39EDC03E" w:rsidR="00F30A15" w:rsidRDefault="00F30A15" w:rsidP="00F30A15">
      <w:pPr>
        <w:pStyle w:val="BlockText"/>
      </w:pPr>
      <w:r w:rsidRPr="00923FCF">
        <w:t>The next step is to analyze all of the available evidence to support or eliminate potential candidate stressors.</w:t>
      </w:r>
      <w:r w:rsidRPr="00923FCF">
        <w:rPr>
          <w:noProof/>
        </w:rPr>
        <w:t xml:space="preserve"> In this step, JMU used the Causal Analysis/Diagnosis Decision Information System (CADDIS) (USEPA, 2018a). The CADDIS approach provides guidance on evaluating various lines of evidence to determine the cause of biological impairments. For this project, JMU used available physical, chemical, and biological data collected throughout the watershed, published water quality standards and threshold values, and available literature from other cases to investigate the potential causes of impairment in each of the impaired streams. </w:t>
      </w:r>
      <w:r w:rsidRPr="00923FCF">
        <w:t>Based on the weight of evidence supporting each potential candidate, stressors were then separated into the following categories: non-stressor(s), possible stressor(s), and probable stressor(s).</w:t>
      </w:r>
    </w:p>
    <w:p w14:paraId="70F4CFAE" w14:textId="77777777" w:rsidR="00F35736" w:rsidRPr="00923FCF" w:rsidRDefault="00F35736" w:rsidP="00F35736">
      <w:pPr>
        <w:pStyle w:val="BlockText"/>
        <w:spacing w:before="0" w:after="0" w:line="240" w:lineRule="auto"/>
      </w:pPr>
    </w:p>
    <w:p w14:paraId="2E08490B" w14:textId="198A61D3" w:rsidR="009A18A8" w:rsidRPr="00923FCF" w:rsidRDefault="009A18A8" w:rsidP="009A18A8">
      <w:pPr>
        <w:pStyle w:val="Caption"/>
      </w:pPr>
      <w:bookmarkStart w:id="21" w:name="_Ref46322975"/>
      <w:bookmarkStart w:id="22" w:name="_Toc162948269"/>
      <w:r w:rsidRPr="00923FCF">
        <w:t xml:space="preserve">Table </w:t>
      </w:r>
      <w:r w:rsidR="00563518" w:rsidRPr="00923FCF">
        <w:rPr>
          <w:noProof/>
        </w:rPr>
        <w:fldChar w:fldCharType="begin"/>
      </w:r>
      <w:r w:rsidR="00563518" w:rsidRPr="00923FCF">
        <w:rPr>
          <w:noProof/>
        </w:rPr>
        <w:instrText xml:space="preserve"> SEQ Table \* ARABIC </w:instrText>
      </w:r>
      <w:r w:rsidR="00563518" w:rsidRPr="00923FCF">
        <w:rPr>
          <w:noProof/>
        </w:rPr>
        <w:fldChar w:fldCharType="separate"/>
      </w:r>
      <w:r w:rsidR="004A78BF">
        <w:rPr>
          <w:noProof/>
        </w:rPr>
        <w:t>2</w:t>
      </w:r>
      <w:r w:rsidR="00563518" w:rsidRPr="00923FCF">
        <w:rPr>
          <w:noProof/>
        </w:rPr>
        <w:fldChar w:fldCharType="end"/>
      </w:r>
      <w:bookmarkEnd w:id="21"/>
      <w:r w:rsidRPr="00923FCF">
        <w:t xml:space="preserve">. Candidate stressors evaluated in </w:t>
      </w:r>
      <w:r w:rsidR="002D0ED8">
        <w:t>the Roanoke River Project</w:t>
      </w:r>
      <w:r w:rsidRPr="00923FCF">
        <w:t>.</w:t>
      </w:r>
      <w:bookmarkEnd w:id="22"/>
    </w:p>
    <w:tbl>
      <w:tblPr>
        <w:tblStyle w:val="TableGrid"/>
        <w:tblW w:w="9445" w:type="dxa"/>
        <w:tblLook w:val="04A0" w:firstRow="1" w:lastRow="0" w:firstColumn="1" w:lastColumn="0" w:noHBand="0" w:noVBand="1"/>
      </w:tblPr>
      <w:tblGrid>
        <w:gridCol w:w="2785"/>
        <w:gridCol w:w="2700"/>
        <w:gridCol w:w="3960"/>
      </w:tblGrid>
      <w:tr w:rsidR="00580C74" w:rsidRPr="00923FCF" w14:paraId="60B14EE5" w14:textId="77777777" w:rsidTr="00580C74">
        <w:tc>
          <w:tcPr>
            <w:tcW w:w="2785" w:type="dxa"/>
            <w:tcBorders>
              <w:right w:val="nil"/>
            </w:tcBorders>
            <w:shd w:val="clear" w:color="auto" w:fill="D9D9D9" w:themeFill="background1" w:themeFillShade="D9"/>
            <w:vAlign w:val="center"/>
          </w:tcPr>
          <w:p w14:paraId="4971297D" w14:textId="063F474C" w:rsidR="00580C74" w:rsidRPr="00923FCF" w:rsidRDefault="00580C74" w:rsidP="00580C74">
            <w:pPr>
              <w:jc w:val="left"/>
              <w:rPr>
                <w:rFonts w:ascii="Arial Narrow" w:hAnsi="Arial Narrow"/>
                <w:b/>
                <w:color w:val="000000"/>
                <w:sz w:val="20"/>
                <w:szCs w:val="20"/>
              </w:rPr>
            </w:pPr>
          </w:p>
        </w:tc>
        <w:tc>
          <w:tcPr>
            <w:tcW w:w="2700" w:type="dxa"/>
            <w:tcBorders>
              <w:left w:val="nil"/>
              <w:right w:val="nil"/>
            </w:tcBorders>
            <w:shd w:val="clear" w:color="auto" w:fill="D9D9D9" w:themeFill="background1" w:themeFillShade="D9"/>
            <w:vAlign w:val="center"/>
          </w:tcPr>
          <w:p w14:paraId="1551881D" w14:textId="4FE1030F" w:rsidR="00580C74" w:rsidRPr="00923FCF" w:rsidRDefault="00580C74" w:rsidP="00580C74">
            <w:pPr>
              <w:jc w:val="left"/>
              <w:rPr>
                <w:rFonts w:ascii="Arial Narrow" w:hAnsi="Arial Narrow"/>
                <w:color w:val="000000"/>
                <w:sz w:val="20"/>
                <w:szCs w:val="20"/>
              </w:rPr>
            </w:pPr>
            <w:r w:rsidRPr="00923FCF">
              <w:rPr>
                <w:rFonts w:ascii="Arial Narrow" w:hAnsi="Arial Narrow"/>
                <w:b/>
                <w:color w:val="000000"/>
                <w:sz w:val="20"/>
                <w:szCs w:val="20"/>
              </w:rPr>
              <w:t>Candidate Pollutants</w:t>
            </w:r>
          </w:p>
        </w:tc>
        <w:tc>
          <w:tcPr>
            <w:tcW w:w="3960" w:type="dxa"/>
            <w:tcBorders>
              <w:left w:val="nil"/>
            </w:tcBorders>
            <w:shd w:val="clear" w:color="auto" w:fill="D9D9D9" w:themeFill="background1" w:themeFillShade="D9"/>
            <w:vAlign w:val="center"/>
          </w:tcPr>
          <w:p w14:paraId="73DF82FE" w14:textId="0F59AE0C" w:rsidR="00580C74" w:rsidRPr="00923FCF" w:rsidRDefault="00580C74" w:rsidP="00580C74">
            <w:pPr>
              <w:jc w:val="left"/>
              <w:rPr>
                <w:rFonts w:ascii="Arial Narrow" w:hAnsi="Arial Narrow"/>
                <w:color w:val="000000"/>
                <w:sz w:val="20"/>
                <w:szCs w:val="20"/>
              </w:rPr>
            </w:pPr>
          </w:p>
        </w:tc>
      </w:tr>
      <w:tr w:rsidR="00580C74" w:rsidRPr="00852401" w14:paraId="2D018169" w14:textId="77777777" w:rsidTr="003F3C32">
        <w:tc>
          <w:tcPr>
            <w:tcW w:w="2785" w:type="dxa"/>
            <w:vAlign w:val="center"/>
          </w:tcPr>
          <w:p w14:paraId="23CBA9E9" w14:textId="2E490134" w:rsidR="00580C74" w:rsidRPr="00852401" w:rsidRDefault="00580C74" w:rsidP="00580C74">
            <w:pPr>
              <w:jc w:val="left"/>
              <w:rPr>
                <w:rFonts w:ascii="Arial Narrow" w:hAnsi="Arial Narrow"/>
                <w:color w:val="000000"/>
                <w:sz w:val="20"/>
                <w:szCs w:val="20"/>
              </w:rPr>
            </w:pPr>
            <w:r w:rsidRPr="00852401">
              <w:rPr>
                <w:rFonts w:ascii="Arial Narrow" w:hAnsi="Arial Narrow"/>
                <w:color w:val="000000"/>
                <w:sz w:val="20"/>
                <w:szCs w:val="20"/>
              </w:rPr>
              <w:t>pH</w:t>
            </w:r>
          </w:p>
        </w:tc>
        <w:tc>
          <w:tcPr>
            <w:tcW w:w="2700" w:type="dxa"/>
            <w:vAlign w:val="center"/>
          </w:tcPr>
          <w:p w14:paraId="574214CD" w14:textId="41BFF717" w:rsidR="00580C74" w:rsidRPr="00852401" w:rsidRDefault="00580C74" w:rsidP="00580C74">
            <w:pPr>
              <w:jc w:val="left"/>
              <w:rPr>
                <w:rFonts w:ascii="Arial Narrow" w:hAnsi="Arial Narrow"/>
                <w:color w:val="000000"/>
                <w:sz w:val="20"/>
                <w:szCs w:val="20"/>
              </w:rPr>
            </w:pPr>
            <w:r w:rsidRPr="00852401">
              <w:rPr>
                <w:rFonts w:ascii="Arial Narrow" w:hAnsi="Arial Narrow"/>
                <w:color w:val="000000"/>
                <w:sz w:val="20"/>
                <w:szCs w:val="20"/>
              </w:rPr>
              <w:t>Dissolved Sulfate</w:t>
            </w:r>
          </w:p>
        </w:tc>
        <w:tc>
          <w:tcPr>
            <w:tcW w:w="3960" w:type="dxa"/>
            <w:vAlign w:val="center"/>
          </w:tcPr>
          <w:p w14:paraId="1D24EF6A" w14:textId="7C7706F7" w:rsidR="00580C74" w:rsidRPr="00852401" w:rsidRDefault="00580C74" w:rsidP="00580C74">
            <w:pPr>
              <w:jc w:val="left"/>
              <w:rPr>
                <w:rFonts w:ascii="Arial Narrow" w:hAnsi="Arial Narrow"/>
                <w:color w:val="000000"/>
                <w:sz w:val="20"/>
                <w:szCs w:val="20"/>
              </w:rPr>
            </w:pPr>
            <w:r w:rsidRPr="00852401">
              <w:rPr>
                <w:rFonts w:ascii="Arial Narrow" w:hAnsi="Arial Narrow"/>
                <w:color w:val="000000"/>
                <w:sz w:val="20"/>
                <w:szCs w:val="20"/>
              </w:rPr>
              <w:t>Ammonia</w:t>
            </w:r>
          </w:p>
        </w:tc>
      </w:tr>
      <w:tr w:rsidR="00580C74" w:rsidRPr="00852401" w14:paraId="6FF3757A" w14:textId="77777777" w:rsidTr="003F3C32">
        <w:tc>
          <w:tcPr>
            <w:tcW w:w="2785" w:type="dxa"/>
            <w:vAlign w:val="center"/>
          </w:tcPr>
          <w:p w14:paraId="0D2C9484" w14:textId="77777777" w:rsidR="00580C74" w:rsidRPr="00852401" w:rsidRDefault="00580C74" w:rsidP="00580C74">
            <w:pPr>
              <w:jc w:val="left"/>
              <w:rPr>
                <w:rFonts w:ascii="Arial Narrow" w:hAnsi="Arial Narrow"/>
                <w:sz w:val="20"/>
                <w:szCs w:val="20"/>
              </w:rPr>
            </w:pPr>
            <w:r w:rsidRPr="00852401">
              <w:rPr>
                <w:rFonts w:ascii="Arial Narrow" w:hAnsi="Arial Narrow"/>
                <w:color w:val="000000"/>
                <w:sz w:val="20"/>
                <w:szCs w:val="20"/>
              </w:rPr>
              <w:t>Dissolved Oxygen</w:t>
            </w:r>
          </w:p>
        </w:tc>
        <w:tc>
          <w:tcPr>
            <w:tcW w:w="2700" w:type="dxa"/>
            <w:vAlign w:val="center"/>
          </w:tcPr>
          <w:p w14:paraId="024A3FF5" w14:textId="77777777" w:rsidR="00580C74" w:rsidRPr="00852401" w:rsidRDefault="00580C74" w:rsidP="00580C74">
            <w:pPr>
              <w:jc w:val="left"/>
              <w:rPr>
                <w:rFonts w:ascii="Arial Narrow" w:hAnsi="Arial Narrow"/>
                <w:sz w:val="20"/>
                <w:szCs w:val="20"/>
              </w:rPr>
            </w:pPr>
            <w:r w:rsidRPr="00852401">
              <w:rPr>
                <w:rFonts w:ascii="Arial Narrow" w:hAnsi="Arial Narrow"/>
                <w:sz w:val="20"/>
                <w:szCs w:val="20"/>
              </w:rPr>
              <w:t>Total Dissolved Ions</w:t>
            </w:r>
          </w:p>
        </w:tc>
        <w:tc>
          <w:tcPr>
            <w:tcW w:w="3960" w:type="dxa"/>
            <w:vAlign w:val="center"/>
          </w:tcPr>
          <w:p w14:paraId="75844FB9" w14:textId="77777777" w:rsidR="00580C74" w:rsidRPr="00852401" w:rsidRDefault="00580C74" w:rsidP="00580C74">
            <w:pPr>
              <w:jc w:val="left"/>
              <w:rPr>
                <w:rFonts w:ascii="Arial Narrow" w:hAnsi="Arial Narrow"/>
                <w:sz w:val="20"/>
                <w:szCs w:val="20"/>
              </w:rPr>
            </w:pPr>
            <w:r w:rsidRPr="00852401">
              <w:rPr>
                <w:rFonts w:ascii="Arial Narrow" w:hAnsi="Arial Narrow"/>
                <w:color w:val="000000"/>
                <w:sz w:val="20"/>
                <w:szCs w:val="20"/>
              </w:rPr>
              <w:t>Dissolved Metals</w:t>
            </w:r>
          </w:p>
        </w:tc>
      </w:tr>
      <w:tr w:rsidR="00580C74" w:rsidRPr="00852401" w14:paraId="186AC36A" w14:textId="77777777" w:rsidTr="003F3C32">
        <w:tc>
          <w:tcPr>
            <w:tcW w:w="2785" w:type="dxa"/>
            <w:vAlign w:val="center"/>
          </w:tcPr>
          <w:p w14:paraId="69EEB13E" w14:textId="77777777" w:rsidR="00580C74" w:rsidRPr="00852401" w:rsidRDefault="00580C74" w:rsidP="00580C74">
            <w:pPr>
              <w:jc w:val="left"/>
              <w:rPr>
                <w:rFonts w:ascii="Arial Narrow" w:hAnsi="Arial Narrow"/>
                <w:sz w:val="20"/>
                <w:szCs w:val="20"/>
              </w:rPr>
            </w:pPr>
            <w:r w:rsidRPr="00852401">
              <w:rPr>
                <w:rFonts w:ascii="Arial Narrow" w:hAnsi="Arial Narrow"/>
                <w:color w:val="000000"/>
                <w:sz w:val="20"/>
                <w:szCs w:val="20"/>
              </w:rPr>
              <w:t>Temperature</w:t>
            </w:r>
          </w:p>
        </w:tc>
        <w:tc>
          <w:tcPr>
            <w:tcW w:w="2700" w:type="dxa"/>
            <w:vAlign w:val="center"/>
          </w:tcPr>
          <w:p w14:paraId="05129555" w14:textId="77777777" w:rsidR="00580C74" w:rsidRPr="00852401" w:rsidRDefault="00580C74" w:rsidP="00580C74">
            <w:pPr>
              <w:jc w:val="left"/>
              <w:rPr>
                <w:rFonts w:ascii="Arial Narrow" w:hAnsi="Arial Narrow"/>
                <w:sz w:val="20"/>
                <w:szCs w:val="20"/>
              </w:rPr>
            </w:pPr>
            <w:r w:rsidRPr="00852401">
              <w:rPr>
                <w:rFonts w:ascii="Arial Narrow" w:hAnsi="Arial Narrow"/>
                <w:color w:val="000000"/>
                <w:sz w:val="20"/>
                <w:szCs w:val="20"/>
              </w:rPr>
              <w:t>Suspended Solids</w:t>
            </w:r>
          </w:p>
        </w:tc>
        <w:tc>
          <w:tcPr>
            <w:tcW w:w="3960" w:type="dxa"/>
            <w:vAlign w:val="center"/>
          </w:tcPr>
          <w:p w14:paraId="34F79062" w14:textId="79A6D694" w:rsidR="00580C74" w:rsidRPr="00852401" w:rsidRDefault="00DF37D0" w:rsidP="00580C74">
            <w:pPr>
              <w:jc w:val="left"/>
              <w:rPr>
                <w:rFonts w:ascii="Arial Narrow" w:hAnsi="Arial Narrow"/>
                <w:sz w:val="20"/>
                <w:szCs w:val="20"/>
              </w:rPr>
            </w:pPr>
            <w:r>
              <w:rPr>
                <w:rFonts w:ascii="Arial Narrow" w:hAnsi="Arial Narrow"/>
                <w:color w:val="000000"/>
                <w:sz w:val="20"/>
                <w:szCs w:val="20"/>
              </w:rPr>
              <w:t>Water Column Toxics</w:t>
            </w:r>
          </w:p>
        </w:tc>
      </w:tr>
      <w:tr w:rsidR="00580C74" w:rsidRPr="00852401" w14:paraId="6EF4F477" w14:textId="77777777" w:rsidTr="003F3C32">
        <w:tc>
          <w:tcPr>
            <w:tcW w:w="2785" w:type="dxa"/>
            <w:vAlign w:val="center"/>
          </w:tcPr>
          <w:p w14:paraId="52D77BBE" w14:textId="77777777" w:rsidR="00580C74" w:rsidRPr="00852401" w:rsidRDefault="00580C74" w:rsidP="00580C74">
            <w:pPr>
              <w:jc w:val="left"/>
              <w:rPr>
                <w:rFonts w:ascii="Arial Narrow" w:hAnsi="Arial Narrow"/>
                <w:sz w:val="20"/>
                <w:szCs w:val="20"/>
              </w:rPr>
            </w:pPr>
            <w:r w:rsidRPr="00852401">
              <w:rPr>
                <w:rFonts w:ascii="Arial Narrow" w:hAnsi="Arial Narrow"/>
                <w:color w:val="000000"/>
                <w:sz w:val="20"/>
                <w:szCs w:val="20"/>
              </w:rPr>
              <w:t>Conductivity</w:t>
            </w:r>
          </w:p>
        </w:tc>
        <w:tc>
          <w:tcPr>
            <w:tcW w:w="2700" w:type="dxa"/>
            <w:vAlign w:val="center"/>
          </w:tcPr>
          <w:p w14:paraId="2FB317BE" w14:textId="77777777" w:rsidR="00580C74" w:rsidRPr="00852401" w:rsidRDefault="00580C74" w:rsidP="00580C74">
            <w:pPr>
              <w:jc w:val="left"/>
              <w:rPr>
                <w:rFonts w:ascii="Arial Narrow" w:hAnsi="Arial Narrow"/>
                <w:sz w:val="20"/>
                <w:szCs w:val="20"/>
              </w:rPr>
            </w:pPr>
            <w:r w:rsidRPr="00852401">
              <w:rPr>
                <w:rFonts w:ascii="Arial Narrow" w:hAnsi="Arial Narrow"/>
                <w:color w:val="000000"/>
                <w:sz w:val="20"/>
                <w:szCs w:val="20"/>
              </w:rPr>
              <w:t>Deposited Sediment</w:t>
            </w:r>
          </w:p>
        </w:tc>
        <w:tc>
          <w:tcPr>
            <w:tcW w:w="3960" w:type="dxa"/>
            <w:vAlign w:val="center"/>
          </w:tcPr>
          <w:p w14:paraId="04A2A733" w14:textId="77777777" w:rsidR="00580C74" w:rsidRPr="00852401" w:rsidRDefault="00580C74" w:rsidP="00580C74">
            <w:pPr>
              <w:jc w:val="left"/>
              <w:rPr>
                <w:rFonts w:ascii="Arial Narrow" w:hAnsi="Arial Narrow"/>
                <w:sz w:val="20"/>
                <w:szCs w:val="20"/>
              </w:rPr>
            </w:pPr>
            <w:r w:rsidRPr="00852401">
              <w:rPr>
                <w:rFonts w:ascii="Arial Narrow" w:hAnsi="Arial Narrow"/>
                <w:color w:val="000000"/>
                <w:sz w:val="20"/>
                <w:szCs w:val="20"/>
              </w:rPr>
              <w:t>Sediment Metals</w:t>
            </w:r>
          </w:p>
        </w:tc>
      </w:tr>
      <w:tr w:rsidR="00580C74" w:rsidRPr="00852401" w14:paraId="3D4DF3EE" w14:textId="77777777" w:rsidTr="003F3C32">
        <w:tc>
          <w:tcPr>
            <w:tcW w:w="2785" w:type="dxa"/>
            <w:vAlign w:val="center"/>
          </w:tcPr>
          <w:p w14:paraId="46536820" w14:textId="77777777" w:rsidR="00580C74" w:rsidRPr="00852401" w:rsidRDefault="00580C74" w:rsidP="00580C74">
            <w:pPr>
              <w:jc w:val="left"/>
              <w:rPr>
                <w:rFonts w:ascii="Arial Narrow" w:hAnsi="Arial Narrow"/>
                <w:sz w:val="20"/>
                <w:szCs w:val="20"/>
              </w:rPr>
            </w:pPr>
            <w:r w:rsidRPr="00852401">
              <w:rPr>
                <w:rFonts w:ascii="Arial Narrow" w:hAnsi="Arial Narrow"/>
                <w:color w:val="000000"/>
                <w:sz w:val="20"/>
                <w:szCs w:val="20"/>
              </w:rPr>
              <w:t>Dissolved Chloride</w:t>
            </w:r>
          </w:p>
        </w:tc>
        <w:tc>
          <w:tcPr>
            <w:tcW w:w="2700" w:type="dxa"/>
            <w:vAlign w:val="center"/>
          </w:tcPr>
          <w:p w14:paraId="08CE66E0" w14:textId="77777777" w:rsidR="00580C74" w:rsidRPr="00852401" w:rsidRDefault="00580C74" w:rsidP="00580C74">
            <w:pPr>
              <w:jc w:val="left"/>
              <w:rPr>
                <w:rFonts w:ascii="Arial Narrow" w:hAnsi="Arial Narrow"/>
                <w:sz w:val="20"/>
                <w:szCs w:val="20"/>
              </w:rPr>
            </w:pPr>
            <w:r w:rsidRPr="00852401">
              <w:rPr>
                <w:rFonts w:ascii="Arial Narrow" w:hAnsi="Arial Narrow"/>
                <w:color w:val="000000"/>
                <w:sz w:val="20"/>
                <w:szCs w:val="20"/>
              </w:rPr>
              <w:t>Organic Matter</w:t>
            </w:r>
          </w:p>
        </w:tc>
        <w:tc>
          <w:tcPr>
            <w:tcW w:w="3960" w:type="dxa"/>
            <w:vAlign w:val="center"/>
          </w:tcPr>
          <w:p w14:paraId="714D4B48" w14:textId="720F751B" w:rsidR="00580C74" w:rsidRPr="00852401" w:rsidRDefault="00DF37D0" w:rsidP="00580C74">
            <w:pPr>
              <w:jc w:val="left"/>
              <w:rPr>
                <w:rFonts w:ascii="Arial Narrow" w:hAnsi="Arial Narrow"/>
                <w:sz w:val="20"/>
                <w:szCs w:val="20"/>
              </w:rPr>
            </w:pPr>
            <w:r>
              <w:rPr>
                <w:rFonts w:ascii="Arial Narrow" w:hAnsi="Arial Narrow"/>
                <w:sz w:val="20"/>
                <w:szCs w:val="20"/>
              </w:rPr>
              <w:t>Sediment PAHs</w:t>
            </w:r>
          </w:p>
        </w:tc>
      </w:tr>
      <w:tr w:rsidR="00580C74" w:rsidRPr="00852401" w14:paraId="27E9AB7B" w14:textId="77777777" w:rsidTr="003F3C32">
        <w:tc>
          <w:tcPr>
            <w:tcW w:w="2785" w:type="dxa"/>
            <w:vAlign w:val="center"/>
          </w:tcPr>
          <w:p w14:paraId="7293C527" w14:textId="77777777" w:rsidR="00580C74" w:rsidRPr="00852401" w:rsidRDefault="00580C74" w:rsidP="00580C74">
            <w:pPr>
              <w:jc w:val="left"/>
              <w:rPr>
                <w:rFonts w:ascii="Arial Narrow" w:hAnsi="Arial Narrow"/>
                <w:sz w:val="20"/>
                <w:szCs w:val="20"/>
              </w:rPr>
            </w:pPr>
            <w:r w:rsidRPr="00852401">
              <w:rPr>
                <w:rFonts w:ascii="Arial Narrow" w:hAnsi="Arial Narrow"/>
                <w:color w:val="000000"/>
                <w:sz w:val="20"/>
                <w:szCs w:val="20"/>
              </w:rPr>
              <w:t>Dissolved Sodium</w:t>
            </w:r>
          </w:p>
        </w:tc>
        <w:tc>
          <w:tcPr>
            <w:tcW w:w="2700" w:type="dxa"/>
            <w:vAlign w:val="center"/>
          </w:tcPr>
          <w:p w14:paraId="29FF6540" w14:textId="77777777" w:rsidR="00580C74" w:rsidRPr="00852401" w:rsidRDefault="00580C74" w:rsidP="00580C74">
            <w:pPr>
              <w:jc w:val="left"/>
              <w:rPr>
                <w:rFonts w:ascii="Arial Narrow" w:hAnsi="Arial Narrow"/>
                <w:sz w:val="20"/>
                <w:szCs w:val="20"/>
              </w:rPr>
            </w:pPr>
            <w:r w:rsidRPr="00852401">
              <w:rPr>
                <w:rFonts w:ascii="Arial Narrow" w:hAnsi="Arial Narrow"/>
                <w:color w:val="000000"/>
                <w:sz w:val="20"/>
                <w:szCs w:val="20"/>
              </w:rPr>
              <w:t>Nitrogen</w:t>
            </w:r>
          </w:p>
        </w:tc>
        <w:tc>
          <w:tcPr>
            <w:tcW w:w="3960" w:type="dxa"/>
            <w:vAlign w:val="center"/>
          </w:tcPr>
          <w:p w14:paraId="45DC1A4C" w14:textId="01E9775C" w:rsidR="00580C74" w:rsidRPr="00852401" w:rsidRDefault="00DF37D0" w:rsidP="00580C74">
            <w:pPr>
              <w:jc w:val="left"/>
              <w:rPr>
                <w:rFonts w:ascii="Arial Narrow" w:hAnsi="Arial Narrow"/>
                <w:sz w:val="20"/>
                <w:szCs w:val="20"/>
              </w:rPr>
            </w:pPr>
            <w:r>
              <w:rPr>
                <w:rFonts w:ascii="Arial Narrow" w:hAnsi="Arial Narrow"/>
                <w:sz w:val="20"/>
                <w:szCs w:val="20"/>
              </w:rPr>
              <w:t>Sediment PCBs</w:t>
            </w:r>
          </w:p>
        </w:tc>
      </w:tr>
      <w:tr w:rsidR="00580C74" w:rsidRPr="00852401" w14:paraId="4C473A07" w14:textId="77777777" w:rsidTr="00580C74">
        <w:tc>
          <w:tcPr>
            <w:tcW w:w="2785" w:type="dxa"/>
            <w:tcBorders>
              <w:bottom w:val="single" w:sz="4" w:space="0" w:color="auto"/>
            </w:tcBorders>
            <w:vAlign w:val="center"/>
          </w:tcPr>
          <w:p w14:paraId="4A64474E" w14:textId="77777777" w:rsidR="00580C74" w:rsidRPr="00852401" w:rsidRDefault="00580C74" w:rsidP="00580C74">
            <w:pPr>
              <w:jc w:val="left"/>
              <w:rPr>
                <w:rFonts w:ascii="Arial Narrow" w:hAnsi="Arial Narrow"/>
                <w:sz w:val="20"/>
                <w:szCs w:val="20"/>
              </w:rPr>
            </w:pPr>
            <w:r w:rsidRPr="00852401">
              <w:rPr>
                <w:rFonts w:ascii="Arial Narrow" w:hAnsi="Arial Narrow"/>
                <w:color w:val="000000"/>
                <w:sz w:val="20"/>
                <w:szCs w:val="20"/>
              </w:rPr>
              <w:t>Dissolved Potassium</w:t>
            </w:r>
          </w:p>
        </w:tc>
        <w:tc>
          <w:tcPr>
            <w:tcW w:w="2700" w:type="dxa"/>
            <w:tcBorders>
              <w:bottom w:val="single" w:sz="4" w:space="0" w:color="auto"/>
            </w:tcBorders>
            <w:vAlign w:val="center"/>
          </w:tcPr>
          <w:p w14:paraId="041048F7" w14:textId="77777777" w:rsidR="00580C74" w:rsidRPr="00852401" w:rsidRDefault="00580C74" w:rsidP="00580C74">
            <w:pPr>
              <w:jc w:val="left"/>
              <w:rPr>
                <w:rFonts w:ascii="Arial Narrow" w:hAnsi="Arial Narrow"/>
                <w:sz w:val="20"/>
                <w:szCs w:val="20"/>
              </w:rPr>
            </w:pPr>
            <w:r w:rsidRPr="00852401">
              <w:rPr>
                <w:rFonts w:ascii="Arial Narrow" w:hAnsi="Arial Narrow"/>
                <w:color w:val="000000"/>
                <w:sz w:val="20"/>
                <w:szCs w:val="20"/>
              </w:rPr>
              <w:t>Phosphorus</w:t>
            </w:r>
          </w:p>
        </w:tc>
        <w:tc>
          <w:tcPr>
            <w:tcW w:w="3960" w:type="dxa"/>
            <w:tcBorders>
              <w:bottom w:val="single" w:sz="4" w:space="0" w:color="auto"/>
            </w:tcBorders>
            <w:vAlign w:val="center"/>
          </w:tcPr>
          <w:p w14:paraId="7FCBE619" w14:textId="41C54E06" w:rsidR="00580C74" w:rsidRPr="00852401" w:rsidRDefault="00DF37D0" w:rsidP="00580C74">
            <w:pPr>
              <w:jc w:val="left"/>
              <w:rPr>
                <w:rFonts w:ascii="Arial Narrow" w:hAnsi="Arial Narrow"/>
                <w:sz w:val="20"/>
                <w:szCs w:val="20"/>
              </w:rPr>
            </w:pPr>
            <w:r>
              <w:rPr>
                <w:rFonts w:ascii="Arial Narrow" w:hAnsi="Arial Narrow"/>
                <w:sz w:val="20"/>
                <w:szCs w:val="20"/>
              </w:rPr>
              <w:t>Sediment Pesticides and Organics</w:t>
            </w:r>
          </w:p>
        </w:tc>
      </w:tr>
      <w:tr w:rsidR="006145C3" w:rsidRPr="00852401" w14:paraId="2AFD079C" w14:textId="77777777" w:rsidTr="00580C74">
        <w:tc>
          <w:tcPr>
            <w:tcW w:w="2785" w:type="dxa"/>
            <w:tcBorders>
              <w:bottom w:val="single" w:sz="4" w:space="0" w:color="auto"/>
            </w:tcBorders>
            <w:vAlign w:val="center"/>
          </w:tcPr>
          <w:p w14:paraId="70072631" w14:textId="1C9C1465" w:rsidR="006145C3" w:rsidRPr="00852401" w:rsidRDefault="006145C3" w:rsidP="00580C74">
            <w:pPr>
              <w:jc w:val="left"/>
              <w:rPr>
                <w:rFonts w:ascii="Arial Narrow" w:hAnsi="Arial Narrow"/>
                <w:color w:val="000000"/>
                <w:sz w:val="20"/>
                <w:szCs w:val="20"/>
              </w:rPr>
            </w:pPr>
            <w:r>
              <w:rPr>
                <w:rFonts w:ascii="Arial Narrow" w:hAnsi="Arial Narrow"/>
                <w:color w:val="000000"/>
                <w:sz w:val="20"/>
                <w:szCs w:val="20"/>
              </w:rPr>
              <w:t>PFAS</w:t>
            </w:r>
          </w:p>
        </w:tc>
        <w:tc>
          <w:tcPr>
            <w:tcW w:w="2700" w:type="dxa"/>
            <w:tcBorders>
              <w:bottom w:val="single" w:sz="4" w:space="0" w:color="auto"/>
            </w:tcBorders>
            <w:vAlign w:val="center"/>
          </w:tcPr>
          <w:p w14:paraId="5D51087B" w14:textId="77777777" w:rsidR="006145C3" w:rsidRPr="00852401" w:rsidRDefault="006145C3" w:rsidP="00580C74">
            <w:pPr>
              <w:jc w:val="left"/>
              <w:rPr>
                <w:rFonts w:ascii="Arial Narrow" w:hAnsi="Arial Narrow"/>
                <w:color w:val="000000"/>
                <w:sz w:val="20"/>
                <w:szCs w:val="20"/>
              </w:rPr>
            </w:pPr>
          </w:p>
        </w:tc>
        <w:tc>
          <w:tcPr>
            <w:tcW w:w="3960" w:type="dxa"/>
            <w:tcBorders>
              <w:bottom w:val="single" w:sz="4" w:space="0" w:color="auto"/>
            </w:tcBorders>
            <w:vAlign w:val="center"/>
          </w:tcPr>
          <w:p w14:paraId="08BF3911" w14:textId="77777777" w:rsidR="006145C3" w:rsidRDefault="006145C3" w:rsidP="00580C74">
            <w:pPr>
              <w:jc w:val="left"/>
              <w:rPr>
                <w:rFonts w:ascii="Arial Narrow" w:hAnsi="Arial Narrow"/>
                <w:sz w:val="20"/>
                <w:szCs w:val="20"/>
              </w:rPr>
            </w:pPr>
          </w:p>
        </w:tc>
      </w:tr>
      <w:tr w:rsidR="00580C74" w:rsidRPr="00852401" w14:paraId="45F0AF1C" w14:textId="77777777" w:rsidTr="00580C74">
        <w:tc>
          <w:tcPr>
            <w:tcW w:w="2785" w:type="dxa"/>
            <w:tcBorders>
              <w:bottom w:val="single" w:sz="4" w:space="0" w:color="auto"/>
              <w:right w:val="nil"/>
            </w:tcBorders>
            <w:shd w:val="clear" w:color="auto" w:fill="D9D9D9" w:themeFill="background1" w:themeFillShade="D9"/>
            <w:vAlign w:val="center"/>
          </w:tcPr>
          <w:p w14:paraId="7BE81412" w14:textId="77777777" w:rsidR="00580C74" w:rsidRPr="00852401" w:rsidRDefault="00580C74" w:rsidP="00580C74">
            <w:pPr>
              <w:jc w:val="left"/>
              <w:rPr>
                <w:rFonts w:ascii="Arial Narrow" w:hAnsi="Arial Narrow"/>
                <w:color w:val="000000"/>
                <w:sz w:val="20"/>
                <w:szCs w:val="20"/>
              </w:rPr>
            </w:pPr>
          </w:p>
        </w:tc>
        <w:tc>
          <w:tcPr>
            <w:tcW w:w="2700" w:type="dxa"/>
            <w:tcBorders>
              <w:left w:val="nil"/>
              <w:bottom w:val="single" w:sz="4" w:space="0" w:color="auto"/>
              <w:right w:val="nil"/>
            </w:tcBorders>
            <w:shd w:val="clear" w:color="auto" w:fill="D9D9D9" w:themeFill="background1" w:themeFillShade="D9"/>
            <w:vAlign w:val="center"/>
          </w:tcPr>
          <w:p w14:paraId="1156F073" w14:textId="582CD686" w:rsidR="00580C74" w:rsidRPr="00852401" w:rsidRDefault="00580C74" w:rsidP="00580C74">
            <w:pPr>
              <w:jc w:val="left"/>
              <w:rPr>
                <w:rFonts w:ascii="Arial Narrow" w:hAnsi="Arial Narrow"/>
                <w:b/>
                <w:color w:val="000000"/>
                <w:sz w:val="20"/>
                <w:szCs w:val="20"/>
              </w:rPr>
            </w:pPr>
            <w:r w:rsidRPr="00852401">
              <w:rPr>
                <w:rFonts w:ascii="Arial Narrow" w:hAnsi="Arial Narrow"/>
                <w:b/>
                <w:color w:val="000000"/>
                <w:sz w:val="20"/>
                <w:szCs w:val="20"/>
              </w:rPr>
              <w:t>Additional Contributing Factors</w:t>
            </w:r>
          </w:p>
        </w:tc>
        <w:tc>
          <w:tcPr>
            <w:tcW w:w="3960" w:type="dxa"/>
            <w:tcBorders>
              <w:left w:val="nil"/>
              <w:bottom w:val="single" w:sz="4" w:space="0" w:color="auto"/>
            </w:tcBorders>
            <w:shd w:val="clear" w:color="auto" w:fill="D9D9D9" w:themeFill="background1" w:themeFillShade="D9"/>
            <w:vAlign w:val="center"/>
          </w:tcPr>
          <w:p w14:paraId="4F5333A2" w14:textId="77777777" w:rsidR="00580C74" w:rsidRPr="00852401" w:rsidRDefault="00580C74" w:rsidP="00580C74">
            <w:pPr>
              <w:jc w:val="left"/>
              <w:rPr>
                <w:rFonts w:ascii="Arial Narrow" w:hAnsi="Arial Narrow"/>
                <w:color w:val="000000"/>
                <w:sz w:val="20"/>
                <w:szCs w:val="20"/>
              </w:rPr>
            </w:pPr>
          </w:p>
        </w:tc>
      </w:tr>
      <w:tr w:rsidR="00580C74" w:rsidRPr="00852401" w14:paraId="6179827D" w14:textId="77777777" w:rsidTr="003F3C32">
        <w:tc>
          <w:tcPr>
            <w:tcW w:w="2785" w:type="dxa"/>
            <w:vAlign w:val="center"/>
          </w:tcPr>
          <w:p w14:paraId="340E15B3" w14:textId="77777777" w:rsidR="00580C74" w:rsidRPr="00852401" w:rsidRDefault="00580C74" w:rsidP="00580C74">
            <w:pPr>
              <w:jc w:val="left"/>
              <w:rPr>
                <w:rFonts w:ascii="Arial Narrow" w:hAnsi="Arial Narrow"/>
                <w:color w:val="000000"/>
                <w:sz w:val="20"/>
                <w:szCs w:val="20"/>
              </w:rPr>
            </w:pPr>
            <w:r w:rsidRPr="00852401">
              <w:rPr>
                <w:rFonts w:ascii="Arial Narrow" w:hAnsi="Arial Narrow"/>
                <w:color w:val="000000"/>
                <w:sz w:val="20"/>
                <w:szCs w:val="20"/>
              </w:rPr>
              <w:t>Habitat</w:t>
            </w:r>
          </w:p>
        </w:tc>
        <w:tc>
          <w:tcPr>
            <w:tcW w:w="2700" w:type="dxa"/>
            <w:vAlign w:val="center"/>
          </w:tcPr>
          <w:p w14:paraId="1B6330DF" w14:textId="77777777" w:rsidR="00580C74" w:rsidRPr="00852401" w:rsidRDefault="00580C74" w:rsidP="00580C74">
            <w:pPr>
              <w:jc w:val="left"/>
              <w:rPr>
                <w:rFonts w:ascii="Arial Narrow" w:hAnsi="Arial Narrow"/>
                <w:color w:val="000000"/>
                <w:sz w:val="20"/>
                <w:szCs w:val="20"/>
              </w:rPr>
            </w:pPr>
            <w:r w:rsidRPr="00852401">
              <w:rPr>
                <w:rFonts w:ascii="Arial Narrow" w:hAnsi="Arial Narrow"/>
                <w:color w:val="000000"/>
                <w:sz w:val="20"/>
                <w:szCs w:val="20"/>
              </w:rPr>
              <w:t>Hydrologic Alteration</w:t>
            </w:r>
          </w:p>
        </w:tc>
        <w:tc>
          <w:tcPr>
            <w:tcW w:w="3960" w:type="dxa"/>
            <w:vAlign w:val="center"/>
          </w:tcPr>
          <w:p w14:paraId="4756A15F" w14:textId="1DE597A5" w:rsidR="00580C74" w:rsidRPr="00852401" w:rsidRDefault="00DF37D0" w:rsidP="00580C74">
            <w:pPr>
              <w:jc w:val="left"/>
              <w:rPr>
                <w:rFonts w:ascii="Arial Narrow" w:hAnsi="Arial Narrow"/>
                <w:color w:val="000000"/>
                <w:sz w:val="20"/>
                <w:szCs w:val="20"/>
              </w:rPr>
            </w:pPr>
            <w:r>
              <w:rPr>
                <w:rFonts w:ascii="Arial Narrow" w:hAnsi="Arial Narrow"/>
                <w:color w:val="000000"/>
                <w:sz w:val="20"/>
                <w:szCs w:val="20"/>
              </w:rPr>
              <w:t>Niagara Dam</w:t>
            </w:r>
          </w:p>
        </w:tc>
      </w:tr>
      <w:tr w:rsidR="00580C74" w:rsidRPr="00923FCF" w14:paraId="53C18726" w14:textId="77777777" w:rsidTr="003F3C32">
        <w:tc>
          <w:tcPr>
            <w:tcW w:w="2785" w:type="dxa"/>
            <w:vAlign w:val="center"/>
          </w:tcPr>
          <w:p w14:paraId="0D8FF278" w14:textId="24404B15" w:rsidR="00580C74" w:rsidRPr="00852401" w:rsidRDefault="00DF37D0" w:rsidP="00580C74">
            <w:pPr>
              <w:jc w:val="left"/>
              <w:rPr>
                <w:rFonts w:ascii="Arial Narrow" w:hAnsi="Arial Narrow"/>
                <w:color w:val="000000"/>
                <w:sz w:val="20"/>
                <w:szCs w:val="20"/>
              </w:rPr>
            </w:pPr>
            <w:r>
              <w:rPr>
                <w:rFonts w:ascii="Arial Narrow" w:hAnsi="Arial Narrow"/>
                <w:color w:val="000000"/>
                <w:sz w:val="20"/>
                <w:szCs w:val="20"/>
              </w:rPr>
              <w:t>Imperviousness</w:t>
            </w:r>
          </w:p>
        </w:tc>
        <w:tc>
          <w:tcPr>
            <w:tcW w:w="2700" w:type="dxa"/>
            <w:vAlign w:val="center"/>
          </w:tcPr>
          <w:p w14:paraId="66559F23" w14:textId="77777777" w:rsidR="00580C74" w:rsidRPr="00852401" w:rsidRDefault="00580C74" w:rsidP="00580C74">
            <w:pPr>
              <w:jc w:val="left"/>
              <w:rPr>
                <w:rFonts w:ascii="Arial Narrow" w:hAnsi="Arial Narrow"/>
                <w:color w:val="000000"/>
                <w:sz w:val="20"/>
                <w:szCs w:val="20"/>
              </w:rPr>
            </w:pPr>
            <w:r w:rsidRPr="00852401">
              <w:rPr>
                <w:rFonts w:ascii="Arial Narrow" w:hAnsi="Arial Narrow"/>
                <w:color w:val="000000"/>
                <w:sz w:val="20"/>
                <w:szCs w:val="20"/>
              </w:rPr>
              <w:t>Current Land Use Practices</w:t>
            </w:r>
          </w:p>
        </w:tc>
        <w:tc>
          <w:tcPr>
            <w:tcW w:w="3960" w:type="dxa"/>
            <w:vAlign w:val="center"/>
          </w:tcPr>
          <w:p w14:paraId="7DC6EEBB" w14:textId="518D3626" w:rsidR="00580C74" w:rsidRPr="00923FCF" w:rsidRDefault="00580C74" w:rsidP="00580C74">
            <w:pPr>
              <w:jc w:val="left"/>
              <w:rPr>
                <w:rFonts w:ascii="Arial Narrow" w:hAnsi="Arial Narrow"/>
                <w:color w:val="000000"/>
                <w:sz w:val="20"/>
                <w:szCs w:val="20"/>
              </w:rPr>
            </w:pPr>
          </w:p>
        </w:tc>
      </w:tr>
    </w:tbl>
    <w:p w14:paraId="16013BB9" w14:textId="77777777" w:rsidR="00F30A15" w:rsidRPr="00923FCF" w:rsidRDefault="00F30A15" w:rsidP="00B600C0">
      <w:pPr>
        <w:pStyle w:val="BlockText"/>
      </w:pPr>
    </w:p>
    <w:p w14:paraId="31229151" w14:textId="07710609" w:rsidR="00B600C0" w:rsidRPr="00923FCF" w:rsidRDefault="00B600C0" w:rsidP="00B600C0">
      <w:pPr>
        <w:pStyle w:val="BlockText"/>
      </w:pPr>
      <w:r w:rsidRPr="00923FCF">
        <w:t xml:space="preserve">Once </w:t>
      </w:r>
      <w:r w:rsidR="001F2046" w:rsidRPr="00923FCF">
        <w:t>a</w:t>
      </w:r>
      <w:r w:rsidRPr="00923FCF">
        <w:t xml:space="preserve"> probable stressor(s) was identified, a conceptual model was developed to describe the causal pathways linking pollutant sources to the probable stressors and mechanisms of impairment.  The pathways in the conceptual model were then evaluated to determine if the existing data support those mechanisms for producing the impairment. </w:t>
      </w:r>
    </w:p>
    <w:p w14:paraId="4017F946" w14:textId="3DF41F57" w:rsidR="00123ABF" w:rsidRPr="007D5D45" w:rsidRDefault="00123ABF" w:rsidP="00587F90">
      <w:pPr>
        <w:pStyle w:val="Heading1"/>
      </w:pPr>
      <w:bookmarkStart w:id="23" w:name="_Toc162948152"/>
      <w:r w:rsidRPr="007D5D45">
        <w:t>Biological, Physical, and Chemical Data</w:t>
      </w:r>
      <w:bookmarkEnd w:id="23"/>
    </w:p>
    <w:p w14:paraId="41414061" w14:textId="62275291" w:rsidR="00B678E5" w:rsidRDefault="00123ABF" w:rsidP="00123ABF">
      <w:pPr>
        <w:pStyle w:val="BlockText"/>
      </w:pPr>
      <w:r w:rsidRPr="006519E3">
        <w:t xml:space="preserve">For the stressor identification analysis, JMU used biological, physical, and chemical data from </w:t>
      </w:r>
      <w:r w:rsidR="00AA707B">
        <w:t>67</w:t>
      </w:r>
      <w:r w:rsidRPr="006519E3">
        <w:t xml:space="preserve"> </w:t>
      </w:r>
      <w:r w:rsidR="00FC2539" w:rsidRPr="006519E3">
        <w:t xml:space="preserve">VDEQ </w:t>
      </w:r>
      <w:r w:rsidRPr="006519E3">
        <w:t xml:space="preserve">monitoring stations within the </w:t>
      </w:r>
      <w:r w:rsidR="00EA4FCE">
        <w:t xml:space="preserve">Roanoke River </w:t>
      </w:r>
      <w:r w:rsidR="007D5D45" w:rsidRPr="006519E3">
        <w:t>watershed</w:t>
      </w:r>
      <w:r w:rsidRPr="006519E3">
        <w:t xml:space="preserve"> (</w:t>
      </w:r>
      <w:r w:rsidR="00526C74" w:rsidRPr="006519E3">
        <w:fldChar w:fldCharType="begin"/>
      </w:r>
      <w:r w:rsidR="00526C74" w:rsidRPr="006519E3">
        <w:instrText xml:space="preserve"> REF _Ref42617362 </w:instrText>
      </w:r>
      <w:r w:rsidR="00867C44" w:rsidRPr="006519E3">
        <w:instrText xml:space="preserve"> \* MERGEFORMAT </w:instrText>
      </w:r>
      <w:r w:rsidR="00526C74" w:rsidRPr="006519E3">
        <w:fldChar w:fldCharType="separate"/>
      </w:r>
      <w:r w:rsidR="004A78BF" w:rsidRPr="002B49BC">
        <w:t xml:space="preserve">Table </w:t>
      </w:r>
      <w:r w:rsidR="004A78BF">
        <w:rPr>
          <w:noProof/>
        </w:rPr>
        <w:t>3</w:t>
      </w:r>
      <w:r w:rsidR="00526C74" w:rsidRPr="006519E3">
        <w:rPr>
          <w:noProof/>
        </w:rPr>
        <w:fldChar w:fldCharType="end"/>
      </w:r>
      <w:r w:rsidRPr="006519E3">
        <w:t xml:space="preserve">). </w:t>
      </w:r>
      <w:r w:rsidR="00EA4FCE">
        <w:t xml:space="preserve">This includes 1 station in the Wolf Creek watershed, 21 stations </w:t>
      </w:r>
      <w:r w:rsidR="00B678E5">
        <w:t>in</w:t>
      </w:r>
      <w:r w:rsidR="00EA4FCE">
        <w:t xml:space="preserve"> the Tinker Creek watershed, and 45 additional stations draining to the impaired portion of the Roanoke River. Upstream stations draining to the North Fork and South Fork Roanoke River were excluded from analysis because benthic conditions are unimpaired at the confluence of these two branches, so </w:t>
      </w:r>
      <w:r w:rsidR="00B678E5">
        <w:t xml:space="preserve">upstream </w:t>
      </w:r>
      <w:r w:rsidR="00EA4FCE">
        <w:t xml:space="preserve">data </w:t>
      </w:r>
      <w:r w:rsidR="00B678E5">
        <w:t>are</w:t>
      </w:r>
      <w:r w:rsidR="00EA4FCE">
        <w:t xml:space="preserve"> not critical </w:t>
      </w:r>
      <w:r w:rsidR="00B678E5">
        <w:t>to</w:t>
      </w:r>
      <w:r w:rsidR="00EA4FCE">
        <w:t xml:space="preserve"> diagnosing the cause of impairment. </w:t>
      </w:r>
    </w:p>
    <w:p w14:paraId="14F1CA8F" w14:textId="0A6BEB06" w:rsidR="00FC2539" w:rsidRPr="006519E3" w:rsidRDefault="00FC2539" w:rsidP="00123ABF">
      <w:pPr>
        <w:pStyle w:val="BlockText"/>
      </w:pPr>
      <w:r w:rsidRPr="006519E3">
        <w:t xml:space="preserve">Water quality </w:t>
      </w:r>
      <w:r w:rsidR="00B678E5">
        <w:t>data were collected from all of the 67 stations, an</w:t>
      </w:r>
      <w:r w:rsidR="006519E3">
        <w:t xml:space="preserve">d benthic </w:t>
      </w:r>
      <w:r w:rsidRPr="006519E3">
        <w:t>data w</w:t>
      </w:r>
      <w:r w:rsidR="006519E3">
        <w:t>ere</w:t>
      </w:r>
      <w:r w:rsidRPr="006519E3">
        <w:t xml:space="preserve"> collected from </w:t>
      </w:r>
      <w:r w:rsidR="00B678E5">
        <w:t xml:space="preserve">34 of these </w:t>
      </w:r>
      <w:r w:rsidRPr="006519E3">
        <w:t>stations</w:t>
      </w:r>
      <w:r w:rsidR="006519E3">
        <w:t>.</w:t>
      </w:r>
      <w:r w:rsidRPr="006519E3">
        <w:t xml:space="preserve"> </w:t>
      </w:r>
      <w:r w:rsidR="00123ABF" w:rsidRPr="006519E3">
        <w:t xml:space="preserve">These VDEQ stations have been monitored for various </w:t>
      </w:r>
      <w:r w:rsidR="001F2046" w:rsidRPr="006519E3">
        <w:t xml:space="preserve">parameters, </w:t>
      </w:r>
      <w:r w:rsidR="00123ABF" w:rsidRPr="006519E3">
        <w:t>lengths of time</w:t>
      </w:r>
      <w:r w:rsidR="001F2046" w:rsidRPr="006519E3">
        <w:t>,</w:t>
      </w:r>
      <w:r w:rsidR="00123ABF" w:rsidRPr="006519E3">
        <w:t xml:space="preserve"> and purposes. </w:t>
      </w:r>
      <w:r w:rsidR="00526C74" w:rsidRPr="006519E3">
        <w:fldChar w:fldCharType="begin"/>
      </w:r>
      <w:r w:rsidR="00526C74" w:rsidRPr="006519E3">
        <w:instrText xml:space="preserve"> REF _Ref42617362 </w:instrText>
      </w:r>
      <w:r w:rsidR="00867C44" w:rsidRPr="006519E3">
        <w:instrText xml:space="preserve"> \* MERGEFORMAT </w:instrText>
      </w:r>
      <w:r w:rsidR="00526C74" w:rsidRPr="006519E3">
        <w:fldChar w:fldCharType="separate"/>
      </w:r>
      <w:r w:rsidR="004A78BF" w:rsidRPr="002B49BC">
        <w:t xml:space="preserve">Table </w:t>
      </w:r>
      <w:r w:rsidR="004A78BF">
        <w:rPr>
          <w:noProof/>
        </w:rPr>
        <w:t>3</w:t>
      </w:r>
      <w:r w:rsidR="00526C74" w:rsidRPr="006519E3">
        <w:rPr>
          <w:noProof/>
        </w:rPr>
        <w:fldChar w:fldCharType="end"/>
      </w:r>
      <w:r w:rsidR="004A2EE0" w:rsidRPr="006519E3">
        <w:t xml:space="preserve"> </w:t>
      </w:r>
      <w:r w:rsidR="00123ABF" w:rsidRPr="006519E3">
        <w:t xml:space="preserve">shows the number of samples and the period of time over which individual stations were monitored. </w:t>
      </w:r>
      <w:r w:rsidRPr="006519E3">
        <w:t xml:space="preserve">All data collected since 2000 was used in the stressor identification analysis. </w:t>
      </w:r>
    </w:p>
    <w:p w14:paraId="47238DAB" w14:textId="1B8D72F8" w:rsidR="00123ABF" w:rsidRPr="006519E3" w:rsidRDefault="00123ABF" w:rsidP="00123ABF">
      <w:pPr>
        <w:pStyle w:val="BlockText"/>
      </w:pPr>
      <w:r w:rsidRPr="006519E3">
        <w:t xml:space="preserve">For benthic monitoring stations, data include </w:t>
      </w:r>
      <w:r w:rsidR="001F2046" w:rsidRPr="006519E3">
        <w:t xml:space="preserve">the </w:t>
      </w:r>
      <w:r w:rsidRPr="006519E3">
        <w:t xml:space="preserve">taxonomic identification (family or genus level) and counts of </w:t>
      </w:r>
      <w:r w:rsidR="001F2046" w:rsidRPr="006519E3">
        <w:t xml:space="preserve">the collected </w:t>
      </w:r>
      <w:r w:rsidRPr="006519E3">
        <w:t xml:space="preserve">benthic macroinvertebrates, </w:t>
      </w:r>
      <w:r w:rsidR="001F2046" w:rsidRPr="006519E3">
        <w:t>eight</w:t>
      </w:r>
      <w:r w:rsidRPr="006519E3">
        <w:t xml:space="preserve"> calculated benthic metrics, stream condition index scores (SCI), </w:t>
      </w:r>
      <w:r w:rsidR="00B46C29" w:rsidRPr="006519E3">
        <w:t xml:space="preserve">biological condition gradient </w:t>
      </w:r>
      <w:r w:rsidR="007E2E2D">
        <w:t xml:space="preserve">attribute </w:t>
      </w:r>
      <w:r w:rsidR="00B46C29" w:rsidRPr="006519E3">
        <w:t xml:space="preserve">scores, </w:t>
      </w:r>
      <w:r w:rsidRPr="006519E3">
        <w:t xml:space="preserve">and visual habitat assessment scores. For water quality monitoring stations, data include results for various physical and chemical parameters. Across </w:t>
      </w:r>
      <w:r w:rsidR="001F2046" w:rsidRPr="006519E3">
        <w:t>all of the</w:t>
      </w:r>
      <w:r w:rsidRPr="006519E3">
        <w:t xml:space="preserve"> stations and sampling dates, </w:t>
      </w:r>
      <w:r w:rsidR="00A742BA">
        <w:t>39</w:t>
      </w:r>
      <w:r w:rsidR="00414833">
        <w:t>7</w:t>
      </w:r>
      <w:r w:rsidRPr="006519E3">
        <w:t xml:space="preserve"> different water quality parameters were measured. In total, </w:t>
      </w:r>
      <w:r w:rsidR="00391F0E">
        <w:t xml:space="preserve">over </w:t>
      </w:r>
      <w:r w:rsidR="00414833">
        <w:t>72</w:t>
      </w:r>
      <w:r w:rsidRPr="006519E3">
        <w:t>,000 individual data points were compiled and incorporated into the stressor identification analysis.</w:t>
      </w:r>
    </w:p>
    <w:p w14:paraId="39FEB954" w14:textId="7AB6C6D4" w:rsidR="00123ABF" w:rsidRPr="006519E3" w:rsidRDefault="004F793F" w:rsidP="00123ABF">
      <w:pPr>
        <w:pStyle w:val="BlockText"/>
      </w:pPr>
      <w:r w:rsidRPr="006519E3">
        <w:t xml:space="preserve">For some parameters and analyses, the impaired streams were compared to an unimpaired reference. </w:t>
      </w:r>
      <w:r w:rsidR="006E4A97">
        <w:t xml:space="preserve">For </w:t>
      </w:r>
      <w:r w:rsidR="00546B42">
        <w:t xml:space="preserve">the Wolf Creek and the Tinker Creek impairments, the unimpaired upstream Tinker Creek station 4ATKR014.16 was used as the benthic reference and 4ATKR015.88 used as the water quality reference. For the </w:t>
      </w:r>
      <w:r w:rsidR="00892250">
        <w:t xml:space="preserve">Roanoke River </w:t>
      </w:r>
      <w:r w:rsidR="00546B42">
        <w:t xml:space="preserve">impairment, the unimpaired upstream Roanoke River station 4AROA212.17 was used as the benthic and water quality reference. </w:t>
      </w:r>
      <w:r w:rsidR="00CC33BA">
        <w:fldChar w:fldCharType="begin"/>
      </w:r>
      <w:r w:rsidR="00CC33BA">
        <w:instrText xml:space="preserve"> REF _Ref161743698 \h </w:instrText>
      </w:r>
      <w:r w:rsidR="00CC33BA">
        <w:fldChar w:fldCharType="separate"/>
      </w:r>
      <w:r w:rsidR="004A78BF">
        <w:t xml:space="preserve">Figure </w:t>
      </w:r>
      <w:r w:rsidR="004A78BF">
        <w:rPr>
          <w:noProof/>
        </w:rPr>
        <w:t>3</w:t>
      </w:r>
      <w:r w:rsidR="00CC33BA">
        <w:fldChar w:fldCharType="end"/>
      </w:r>
      <w:r w:rsidR="00CC33BA">
        <w:t xml:space="preserve"> shows the location of the reference stations and primary benthic stations in the Roanoke River Project.</w:t>
      </w:r>
    </w:p>
    <w:p w14:paraId="7C18AE0B" w14:textId="033C2516" w:rsidR="00123ABF" w:rsidRPr="00FD287F" w:rsidRDefault="00123ABF" w:rsidP="00123ABF">
      <w:pPr>
        <w:pStyle w:val="Caption"/>
        <w:rPr>
          <w:highlight w:val="yellow"/>
        </w:rPr>
      </w:pPr>
    </w:p>
    <w:p w14:paraId="05862993" w14:textId="49136BA7" w:rsidR="00123ABF" w:rsidRPr="002B49BC" w:rsidRDefault="00123ABF" w:rsidP="00123ABF">
      <w:pPr>
        <w:pStyle w:val="Caption"/>
      </w:pPr>
      <w:bookmarkStart w:id="24" w:name="_Ref42617362"/>
      <w:bookmarkStart w:id="25" w:name="_Toc162948270"/>
      <w:r w:rsidRPr="002B49BC">
        <w:t xml:space="preserve">Table </w:t>
      </w:r>
      <w:r w:rsidR="004B5B59" w:rsidRPr="002B49BC">
        <w:rPr>
          <w:noProof/>
        </w:rPr>
        <w:fldChar w:fldCharType="begin"/>
      </w:r>
      <w:r w:rsidR="004B5B59" w:rsidRPr="002B49BC">
        <w:rPr>
          <w:noProof/>
        </w:rPr>
        <w:instrText xml:space="preserve"> SEQ Table \* ARABIC </w:instrText>
      </w:r>
      <w:r w:rsidR="004B5B59" w:rsidRPr="002B49BC">
        <w:rPr>
          <w:noProof/>
        </w:rPr>
        <w:fldChar w:fldCharType="separate"/>
      </w:r>
      <w:r w:rsidR="004A78BF">
        <w:rPr>
          <w:noProof/>
        </w:rPr>
        <w:t>3</w:t>
      </w:r>
      <w:r w:rsidR="004B5B59" w:rsidRPr="002B49BC">
        <w:rPr>
          <w:noProof/>
        </w:rPr>
        <w:fldChar w:fldCharType="end"/>
      </w:r>
      <w:bookmarkEnd w:id="24"/>
      <w:r w:rsidRPr="002B49BC">
        <w:t>. Benthic and water quality data used in</w:t>
      </w:r>
      <w:r w:rsidR="00CD2F7C" w:rsidRPr="002B49BC">
        <w:t xml:space="preserve"> the</w:t>
      </w:r>
      <w:r w:rsidRPr="002B49BC">
        <w:t xml:space="preserve"> stressor analysis.</w:t>
      </w:r>
      <w:bookmarkEnd w:id="25"/>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5"/>
        <w:gridCol w:w="1620"/>
        <w:gridCol w:w="1620"/>
        <w:gridCol w:w="1170"/>
        <w:gridCol w:w="1170"/>
        <w:gridCol w:w="1350"/>
        <w:gridCol w:w="1170"/>
      </w:tblGrid>
      <w:tr w:rsidR="00704E83" w:rsidRPr="002B49BC" w14:paraId="0F84DECA" w14:textId="77777777" w:rsidTr="00B40358">
        <w:trPr>
          <w:trHeight w:val="312"/>
        </w:trPr>
        <w:tc>
          <w:tcPr>
            <w:tcW w:w="1345" w:type="dxa"/>
            <w:vMerge w:val="restart"/>
            <w:shd w:val="clear" w:color="auto" w:fill="D9D9D9" w:themeFill="background1" w:themeFillShade="D9"/>
            <w:vAlign w:val="center"/>
          </w:tcPr>
          <w:p w14:paraId="59D9D6BA" w14:textId="5967BF0D" w:rsidR="00704E83" w:rsidRPr="002B49BC" w:rsidRDefault="00704E83" w:rsidP="008A6BA4">
            <w:pPr>
              <w:autoSpaceDE w:val="0"/>
              <w:autoSpaceDN w:val="0"/>
              <w:adjustRightInd w:val="0"/>
              <w:jc w:val="center"/>
              <w:rPr>
                <w:rFonts w:ascii="Arial Narrow" w:hAnsi="Arial Narrow" w:cs="Arial Narrow"/>
                <w:b/>
                <w:bCs/>
                <w:color w:val="000000"/>
                <w:sz w:val="20"/>
                <w:szCs w:val="20"/>
              </w:rPr>
            </w:pPr>
            <w:r w:rsidRPr="002B49BC">
              <w:rPr>
                <w:rFonts w:ascii="Arial Narrow" w:hAnsi="Arial Narrow" w:cs="Arial Narrow"/>
                <w:b/>
                <w:bCs/>
                <w:color w:val="000000"/>
                <w:sz w:val="20"/>
                <w:szCs w:val="20"/>
              </w:rPr>
              <w:t>Watershed</w:t>
            </w:r>
          </w:p>
        </w:tc>
        <w:tc>
          <w:tcPr>
            <w:tcW w:w="1620" w:type="dxa"/>
            <w:vMerge w:val="restart"/>
            <w:shd w:val="clear" w:color="auto" w:fill="D9D9D9" w:themeFill="background1" w:themeFillShade="D9"/>
            <w:vAlign w:val="center"/>
          </w:tcPr>
          <w:p w14:paraId="7E548C72" w14:textId="6F588FA5" w:rsidR="00704E83" w:rsidRPr="002B49BC" w:rsidRDefault="00704E83" w:rsidP="008A6BA4">
            <w:pPr>
              <w:autoSpaceDE w:val="0"/>
              <w:autoSpaceDN w:val="0"/>
              <w:adjustRightInd w:val="0"/>
              <w:jc w:val="center"/>
              <w:rPr>
                <w:rFonts w:ascii="Arial Narrow" w:hAnsi="Arial Narrow" w:cs="Arial Narrow"/>
                <w:b/>
                <w:bCs/>
                <w:color w:val="000000"/>
                <w:sz w:val="20"/>
                <w:szCs w:val="20"/>
              </w:rPr>
            </w:pPr>
            <w:r w:rsidRPr="002B49BC">
              <w:rPr>
                <w:rFonts w:ascii="Arial Narrow" w:hAnsi="Arial Narrow" w:cs="Arial Narrow"/>
                <w:b/>
                <w:bCs/>
                <w:color w:val="000000"/>
                <w:sz w:val="20"/>
                <w:szCs w:val="20"/>
              </w:rPr>
              <w:t>Stream</w:t>
            </w:r>
          </w:p>
        </w:tc>
        <w:tc>
          <w:tcPr>
            <w:tcW w:w="1620" w:type="dxa"/>
            <w:vMerge w:val="restart"/>
            <w:shd w:val="clear" w:color="auto" w:fill="D9D9D9" w:themeFill="background1" w:themeFillShade="D9"/>
            <w:vAlign w:val="center"/>
          </w:tcPr>
          <w:p w14:paraId="150F8BCB" w14:textId="66DE4B30" w:rsidR="00704E83" w:rsidRPr="002B49BC" w:rsidRDefault="00704E83" w:rsidP="008A6BA4">
            <w:pPr>
              <w:autoSpaceDE w:val="0"/>
              <w:autoSpaceDN w:val="0"/>
              <w:adjustRightInd w:val="0"/>
              <w:jc w:val="center"/>
              <w:rPr>
                <w:rFonts w:ascii="Arial Narrow" w:hAnsi="Arial Narrow" w:cs="Arial Narrow"/>
                <w:b/>
                <w:bCs/>
                <w:color w:val="000000"/>
                <w:sz w:val="20"/>
                <w:szCs w:val="20"/>
              </w:rPr>
            </w:pPr>
            <w:r w:rsidRPr="002B49BC">
              <w:rPr>
                <w:rFonts w:ascii="Arial Narrow" w:hAnsi="Arial Narrow" w:cs="Arial Narrow"/>
                <w:b/>
                <w:bCs/>
                <w:color w:val="000000"/>
                <w:sz w:val="20"/>
                <w:szCs w:val="20"/>
              </w:rPr>
              <w:t>Station</w:t>
            </w:r>
          </w:p>
        </w:tc>
        <w:tc>
          <w:tcPr>
            <w:tcW w:w="2340" w:type="dxa"/>
            <w:gridSpan w:val="2"/>
            <w:shd w:val="clear" w:color="auto" w:fill="D9D9D9" w:themeFill="background1" w:themeFillShade="D9"/>
            <w:vAlign w:val="center"/>
          </w:tcPr>
          <w:p w14:paraId="19495594" w14:textId="77777777" w:rsidR="00704E83" w:rsidRPr="002B49BC" w:rsidRDefault="00704E83" w:rsidP="008A6BA4">
            <w:pPr>
              <w:autoSpaceDE w:val="0"/>
              <w:autoSpaceDN w:val="0"/>
              <w:adjustRightInd w:val="0"/>
              <w:jc w:val="center"/>
              <w:rPr>
                <w:rFonts w:ascii="Arial Narrow" w:hAnsi="Arial Narrow" w:cs="Arial Narrow"/>
                <w:b/>
                <w:bCs/>
                <w:color w:val="000000"/>
                <w:sz w:val="20"/>
                <w:szCs w:val="20"/>
              </w:rPr>
            </w:pPr>
            <w:r w:rsidRPr="002B49BC">
              <w:rPr>
                <w:rFonts w:ascii="Arial Narrow" w:hAnsi="Arial Narrow" w:cs="Arial Narrow"/>
                <w:b/>
                <w:bCs/>
                <w:color w:val="000000"/>
                <w:sz w:val="20"/>
                <w:szCs w:val="20"/>
              </w:rPr>
              <w:t>Benthic Sampling</w:t>
            </w:r>
          </w:p>
        </w:tc>
        <w:tc>
          <w:tcPr>
            <w:tcW w:w="2520" w:type="dxa"/>
            <w:gridSpan w:val="2"/>
            <w:shd w:val="clear" w:color="auto" w:fill="D9D9D9" w:themeFill="background1" w:themeFillShade="D9"/>
            <w:vAlign w:val="center"/>
          </w:tcPr>
          <w:p w14:paraId="2D64CFCE" w14:textId="77777777" w:rsidR="00704E83" w:rsidRPr="002B49BC" w:rsidRDefault="00704E83" w:rsidP="008A6BA4">
            <w:pPr>
              <w:autoSpaceDE w:val="0"/>
              <w:autoSpaceDN w:val="0"/>
              <w:adjustRightInd w:val="0"/>
              <w:jc w:val="center"/>
              <w:rPr>
                <w:rFonts w:ascii="Arial Narrow" w:hAnsi="Arial Narrow" w:cs="Arial Narrow"/>
                <w:b/>
                <w:bCs/>
                <w:color w:val="000000"/>
                <w:sz w:val="20"/>
                <w:szCs w:val="20"/>
              </w:rPr>
            </w:pPr>
            <w:r w:rsidRPr="002B49BC">
              <w:rPr>
                <w:rFonts w:ascii="Arial Narrow" w:hAnsi="Arial Narrow" w:cs="Arial Narrow"/>
                <w:b/>
                <w:bCs/>
                <w:color w:val="000000"/>
                <w:sz w:val="20"/>
                <w:szCs w:val="20"/>
              </w:rPr>
              <w:t>Water Quality Sampling</w:t>
            </w:r>
          </w:p>
        </w:tc>
      </w:tr>
      <w:tr w:rsidR="00704E83" w:rsidRPr="002B49BC" w14:paraId="239DD1E8" w14:textId="77777777" w:rsidTr="002D0ED8">
        <w:trPr>
          <w:trHeight w:val="312"/>
        </w:trPr>
        <w:tc>
          <w:tcPr>
            <w:tcW w:w="1345" w:type="dxa"/>
            <w:vMerge/>
            <w:shd w:val="clear" w:color="auto" w:fill="D9D9D9" w:themeFill="background1" w:themeFillShade="D9"/>
            <w:vAlign w:val="center"/>
          </w:tcPr>
          <w:p w14:paraId="7763B3C3" w14:textId="77777777" w:rsidR="00704E83" w:rsidRPr="002B49BC" w:rsidRDefault="00704E83" w:rsidP="008A6BA4">
            <w:pPr>
              <w:autoSpaceDE w:val="0"/>
              <w:autoSpaceDN w:val="0"/>
              <w:adjustRightInd w:val="0"/>
              <w:jc w:val="center"/>
              <w:rPr>
                <w:rFonts w:ascii="Arial Narrow" w:hAnsi="Arial Narrow" w:cs="Arial Narrow"/>
                <w:b/>
                <w:bCs/>
                <w:color w:val="000000"/>
                <w:sz w:val="20"/>
                <w:szCs w:val="20"/>
              </w:rPr>
            </w:pPr>
          </w:p>
        </w:tc>
        <w:tc>
          <w:tcPr>
            <w:tcW w:w="1620" w:type="dxa"/>
            <w:vMerge/>
            <w:shd w:val="clear" w:color="auto" w:fill="D9D9D9" w:themeFill="background1" w:themeFillShade="D9"/>
            <w:vAlign w:val="center"/>
          </w:tcPr>
          <w:p w14:paraId="7DBFB731" w14:textId="77777777" w:rsidR="00704E83" w:rsidRPr="002B49BC" w:rsidRDefault="00704E83" w:rsidP="008A6BA4">
            <w:pPr>
              <w:autoSpaceDE w:val="0"/>
              <w:autoSpaceDN w:val="0"/>
              <w:adjustRightInd w:val="0"/>
              <w:jc w:val="center"/>
              <w:rPr>
                <w:rFonts w:ascii="Arial Narrow" w:hAnsi="Arial Narrow" w:cs="Arial Narrow"/>
                <w:b/>
                <w:bCs/>
                <w:color w:val="000000"/>
                <w:sz w:val="20"/>
                <w:szCs w:val="20"/>
              </w:rPr>
            </w:pPr>
          </w:p>
        </w:tc>
        <w:tc>
          <w:tcPr>
            <w:tcW w:w="1620" w:type="dxa"/>
            <w:vMerge/>
            <w:shd w:val="clear" w:color="auto" w:fill="D9D9D9" w:themeFill="background1" w:themeFillShade="D9"/>
            <w:vAlign w:val="center"/>
          </w:tcPr>
          <w:p w14:paraId="46F42B83" w14:textId="0C9CFDC2" w:rsidR="00704E83" w:rsidRPr="002B49BC" w:rsidRDefault="00704E83" w:rsidP="008A6BA4">
            <w:pPr>
              <w:autoSpaceDE w:val="0"/>
              <w:autoSpaceDN w:val="0"/>
              <w:adjustRightInd w:val="0"/>
              <w:jc w:val="center"/>
              <w:rPr>
                <w:rFonts w:ascii="Arial Narrow" w:hAnsi="Arial Narrow" w:cs="Arial Narrow"/>
                <w:b/>
                <w:bCs/>
                <w:color w:val="000000"/>
                <w:sz w:val="20"/>
                <w:szCs w:val="20"/>
              </w:rPr>
            </w:pPr>
          </w:p>
        </w:tc>
        <w:tc>
          <w:tcPr>
            <w:tcW w:w="1170" w:type="dxa"/>
            <w:shd w:val="clear" w:color="auto" w:fill="D9D9D9" w:themeFill="background1" w:themeFillShade="D9"/>
            <w:vAlign w:val="center"/>
          </w:tcPr>
          <w:p w14:paraId="56BD7E57" w14:textId="77777777" w:rsidR="00704E83" w:rsidRPr="002B49BC" w:rsidRDefault="00704E83" w:rsidP="008A6BA4">
            <w:pPr>
              <w:autoSpaceDE w:val="0"/>
              <w:autoSpaceDN w:val="0"/>
              <w:adjustRightInd w:val="0"/>
              <w:jc w:val="center"/>
              <w:rPr>
                <w:rFonts w:ascii="Arial Narrow" w:hAnsi="Arial Narrow" w:cs="Arial Narrow"/>
                <w:b/>
                <w:bCs/>
                <w:color w:val="000000"/>
                <w:sz w:val="20"/>
                <w:szCs w:val="20"/>
              </w:rPr>
            </w:pPr>
            <w:r w:rsidRPr="002B49BC">
              <w:rPr>
                <w:rFonts w:ascii="Arial Narrow" w:hAnsi="Arial Narrow" w:cs="Arial Narrow"/>
                <w:b/>
                <w:bCs/>
                <w:color w:val="000000"/>
                <w:sz w:val="20"/>
                <w:szCs w:val="20"/>
              </w:rPr>
              <w:t>Monitoring Period</w:t>
            </w:r>
          </w:p>
        </w:tc>
        <w:tc>
          <w:tcPr>
            <w:tcW w:w="1170" w:type="dxa"/>
            <w:shd w:val="clear" w:color="auto" w:fill="D9D9D9" w:themeFill="background1" w:themeFillShade="D9"/>
            <w:vAlign w:val="center"/>
          </w:tcPr>
          <w:p w14:paraId="3EA4A626" w14:textId="77777777" w:rsidR="00704E83" w:rsidRPr="002B49BC" w:rsidRDefault="00704E83" w:rsidP="008A6BA4">
            <w:pPr>
              <w:autoSpaceDE w:val="0"/>
              <w:autoSpaceDN w:val="0"/>
              <w:adjustRightInd w:val="0"/>
              <w:jc w:val="center"/>
              <w:rPr>
                <w:rFonts w:ascii="Arial Narrow" w:hAnsi="Arial Narrow" w:cs="Arial Narrow"/>
                <w:b/>
                <w:bCs/>
                <w:color w:val="000000"/>
                <w:sz w:val="20"/>
                <w:szCs w:val="20"/>
              </w:rPr>
            </w:pPr>
            <w:r w:rsidRPr="002B49BC">
              <w:rPr>
                <w:rFonts w:ascii="Arial Narrow" w:hAnsi="Arial Narrow" w:cs="Arial Narrow"/>
                <w:b/>
                <w:bCs/>
                <w:color w:val="000000"/>
                <w:sz w:val="20"/>
                <w:szCs w:val="20"/>
              </w:rPr>
              <w:t>Samples Collected</w:t>
            </w:r>
          </w:p>
        </w:tc>
        <w:tc>
          <w:tcPr>
            <w:tcW w:w="1350" w:type="dxa"/>
            <w:shd w:val="clear" w:color="auto" w:fill="D9D9D9" w:themeFill="background1" w:themeFillShade="D9"/>
            <w:vAlign w:val="center"/>
          </w:tcPr>
          <w:p w14:paraId="4D86D1C7" w14:textId="77777777" w:rsidR="00704E83" w:rsidRPr="002B49BC" w:rsidRDefault="00704E83" w:rsidP="008A6BA4">
            <w:pPr>
              <w:autoSpaceDE w:val="0"/>
              <w:autoSpaceDN w:val="0"/>
              <w:adjustRightInd w:val="0"/>
              <w:jc w:val="center"/>
              <w:rPr>
                <w:rFonts w:ascii="Arial Narrow" w:hAnsi="Arial Narrow" w:cs="Arial Narrow"/>
                <w:b/>
                <w:bCs/>
                <w:color w:val="000000"/>
                <w:sz w:val="20"/>
                <w:szCs w:val="20"/>
              </w:rPr>
            </w:pPr>
            <w:r w:rsidRPr="002B49BC">
              <w:rPr>
                <w:rFonts w:ascii="Arial Narrow" w:hAnsi="Arial Narrow" w:cs="Arial Narrow"/>
                <w:b/>
                <w:bCs/>
                <w:color w:val="000000"/>
                <w:sz w:val="20"/>
                <w:szCs w:val="20"/>
              </w:rPr>
              <w:t>Monitoring Period</w:t>
            </w:r>
          </w:p>
        </w:tc>
        <w:tc>
          <w:tcPr>
            <w:tcW w:w="1170" w:type="dxa"/>
            <w:shd w:val="clear" w:color="auto" w:fill="D9D9D9" w:themeFill="background1" w:themeFillShade="D9"/>
            <w:vAlign w:val="center"/>
          </w:tcPr>
          <w:p w14:paraId="482A8E31" w14:textId="77777777" w:rsidR="00704E83" w:rsidRPr="002B49BC" w:rsidRDefault="00704E83" w:rsidP="008A6BA4">
            <w:pPr>
              <w:autoSpaceDE w:val="0"/>
              <w:autoSpaceDN w:val="0"/>
              <w:adjustRightInd w:val="0"/>
              <w:jc w:val="center"/>
              <w:rPr>
                <w:rFonts w:ascii="Arial Narrow" w:hAnsi="Arial Narrow" w:cs="Arial Narrow"/>
                <w:b/>
                <w:bCs/>
                <w:color w:val="000000"/>
                <w:sz w:val="20"/>
                <w:szCs w:val="20"/>
              </w:rPr>
            </w:pPr>
            <w:r w:rsidRPr="002B49BC">
              <w:rPr>
                <w:rFonts w:ascii="Arial Narrow" w:hAnsi="Arial Narrow" w:cs="Arial Narrow"/>
                <w:b/>
                <w:bCs/>
                <w:color w:val="000000"/>
                <w:sz w:val="20"/>
                <w:szCs w:val="20"/>
              </w:rPr>
              <w:t>Samples Collected</w:t>
            </w:r>
          </w:p>
        </w:tc>
      </w:tr>
      <w:tr w:rsidR="008259B5" w:rsidRPr="002B49BC" w14:paraId="5CC81A5B" w14:textId="77777777" w:rsidTr="00546B42">
        <w:trPr>
          <w:trHeight w:val="312"/>
        </w:trPr>
        <w:tc>
          <w:tcPr>
            <w:tcW w:w="1345" w:type="dxa"/>
            <w:tcBorders>
              <w:bottom w:val="single" w:sz="4" w:space="0" w:color="auto"/>
            </w:tcBorders>
            <w:vAlign w:val="bottom"/>
          </w:tcPr>
          <w:p w14:paraId="16390118" w14:textId="0E18E26E"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Wolf Creek</w:t>
            </w:r>
          </w:p>
        </w:tc>
        <w:tc>
          <w:tcPr>
            <w:tcW w:w="1620" w:type="dxa"/>
            <w:tcBorders>
              <w:bottom w:val="single" w:sz="4" w:space="0" w:color="auto"/>
            </w:tcBorders>
            <w:vAlign w:val="bottom"/>
          </w:tcPr>
          <w:p w14:paraId="23EBAF31" w14:textId="5B25DC0D"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Wolf Creek</w:t>
            </w:r>
          </w:p>
        </w:tc>
        <w:tc>
          <w:tcPr>
            <w:tcW w:w="1620" w:type="dxa"/>
            <w:vAlign w:val="bottom"/>
          </w:tcPr>
          <w:p w14:paraId="23ACAA7E" w14:textId="4DC19203"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4AWOR000.34</w:t>
            </w:r>
          </w:p>
        </w:tc>
        <w:tc>
          <w:tcPr>
            <w:tcW w:w="1170" w:type="dxa"/>
            <w:vAlign w:val="bottom"/>
          </w:tcPr>
          <w:p w14:paraId="32156663" w14:textId="4EBEDB5A"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2015-2022</w:t>
            </w:r>
          </w:p>
        </w:tc>
        <w:tc>
          <w:tcPr>
            <w:tcW w:w="1170" w:type="dxa"/>
            <w:vAlign w:val="bottom"/>
          </w:tcPr>
          <w:p w14:paraId="7A05A9CB" w14:textId="09C07379" w:rsidR="008259B5" w:rsidRPr="008259B5" w:rsidRDefault="00C14720" w:rsidP="008259B5">
            <w:pPr>
              <w:autoSpaceDE w:val="0"/>
              <w:autoSpaceDN w:val="0"/>
              <w:adjustRightInd w:val="0"/>
              <w:jc w:val="center"/>
              <w:rPr>
                <w:rFonts w:ascii="Arial Narrow" w:hAnsi="Arial Narrow" w:cs="Arial Narrow"/>
                <w:color w:val="000000"/>
                <w:sz w:val="20"/>
                <w:szCs w:val="20"/>
              </w:rPr>
            </w:pPr>
            <w:r>
              <w:rPr>
                <w:rFonts w:ascii="Arial Narrow" w:hAnsi="Arial Narrow" w:cs="Calibri"/>
                <w:color w:val="000000"/>
                <w:sz w:val="20"/>
                <w:szCs w:val="20"/>
              </w:rPr>
              <w:t>8</w:t>
            </w:r>
          </w:p>
        </w:tc>
        <w:tc>
          <w:tcPr>
            <w:tcW w:w="1350" w:type="dxa"/>
            <w:vAlign w:val="bottom"/>
          </w:tcPr>
          <w:p w14:paraId="464FDC0A" w14:textId="6C886B25"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2015-2022</w:t>
            </w:r>
          </w:p>
        </w:tc>
        <w:tc>
          <w:tcPr>
            <w:tcW w:w="1170" w:type="dxa"/>
            <w:vAlign w:val="bottom"/>
          </w:tcPr>
          <w:p w14:paraId="00B938E3" w14:textId="748DCE76"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38</w:t>
            </w:r>
          </w:p>
        </w:tc>
      </w:tr>
      <w:tr w:rsidR="008259B5" w:rsidRPr="002B49BC" w14:paraId="7947BF5D" w14:textId="77777777" w:rsidTr="00546B42">
        <w:trPr>
          <w:trHeight w:val="312"/>
        </w:trPr>
        <w:tc>
          <w:tcPr>
            <w:tcW w:w="1345" w:type="dxa"/>
            <w:tcBorders>
              <w:bottom w:val="nil"/>
            </w:tcBorders>
            <w:vAlign w:val="bottom"/>
          </w:tcPr>
          <w:p w14:paraId="4CF6A096" w14:textId="688AC17F"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Tinker Creek</w:t>
            </w:r>
          </w:p>
        </w:tc>
        <w:tc>
          <w:tcPr>
            <w:tcW w:w="1620" w:type="dxa"/>
            <w:tcBorders>
              <w:bottom w:val="nil"/>
            </w:tcBorders>
            <w:vAlign w:val="bottom"/>
          </w:tcPr>
          <w:p w14:paraId="2C7B7F92" w14:textId="36BB018F"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Tinker Creek</w:t>
            </w:r>
          </w:p>
        </w:tc>
        <w:tc>
          <w:tcPr>
            <w:tcW w:w="1620" w:type="dxa"/>
            <w:vAlign w:val="bottom"/>
          </w:tcPr>
          <w:p w14:paraId="18D9DF28" w14:textId="5623DAC2"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4ATKR000.08</w:t>
            </w:r>
          </w:p>
        </w:tc>
        <w:tc>
          <w:tcPr>
            <w:tcW w:w="1170" w:type="dxa"/>
            <w:vAlign w:val="bottom"/>
          </w:tcPr>
          <w:p w14:paraId="7952B035" w14:textId="388C2FB3"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170" w:type="dxa"/>
            <w:vAlign w:val="bottom"/>
          </w:tcPr>
          <w:p w14:paraId="743EE7AC" w14:textId="750EBD1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350" w:type="dxa"/>
            <w:vAlign w:val="bottom"/>
          </w:tcPr>
          <w:p w14:paraId="2C4AAC98" w14:textId="2E84CA4D"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2015-2018</w:t>
            </w:r>
          </w:p>
        </w:tc>
        <w:tc>
          <w:tcPr>
            <w:tcW w:w="1170" w:type="dxa"/>
            <w:vAlign w:val="bottom"/>
          </w:tcPr>
          <w:p w14:paraId="47CC077A" w14:textId="54588E2D"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25</w:t>
            </w:r>
          </w:p>
        </w:tc>
      </w:tr>
      <w:tr w:rsidR="008259B5" w:rsidRPr="002B49BC" w14:paraId="322037B8" w14:textId="77777777" w:rsidTr="00546B42">
        <w:trPr>
          <w:trHeight w:val="312"/>
        </w:trPr>
        <w:tc>
          <w:tcPr>
            <w:tcW w:w="1345" w:type="dxa"/>
            <w:tcBorders>
              <w:top w:val="nil"/>
              <w:bottom w:val="nil"/>
            </w:tcBorders>
            <w:vAlign w:val="bottom"/>
          </w:tcPr>
          <w:p w14:paraId="7B642D63"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top w:val="nil"/>
              <w:bottom w:val="nil"/>
            </w:tcBorders>
            <w:vAlign w:val="bottom"/>
          </w:tcPr>
          <w:p w14:paraId="4D2E3ADB" w14:textId="72FFD1F5"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vAlign w:val="bottom"/>
          </w:tcPr>
          <w:p w14:paraId="0194C232" w14:textId="0A0A48AE"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4ATKR000.69</w:t>
            </w:r>
          </w:p>
        </w:tc>
        <w:tc>
          <w:tcPr>
            <w:tcW w:w="1170" w:type="dxa"/>
            <w:vAlign w:val="bottom"/>
          </w:tcPr>
          <w:p w14:paraId="42EABB73" w14:textId="6B939F55"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2008-2022</w:t>
            </w:r>
          </w:p>
        </w:tc>
        <w:tc>
          <w:tcPr>
            <w:tcW w:w="1170" w:type="dxa"/>
            <w:vAlign w:val="bottom"/>
          </w:tcPr>
          <w:p w14:paraId="422608F7" w14:textId="10FBF681" w:rsidR="008259B5" w:rsidRPr="008259B5" w:rsidRDefault="00C14720" w:rsidP="008259B5">
            <w:pPr>
              <w:autoSpaceDE w:val="0"/>
              <w:autoSpaceDN w:val="0"/>
              <w:adjustRightInd w:val="0"/>
              <w:jc w:val="center"/>
              <w:rPr>
                <w:rFonts w:ascii="Arial Narrow" w:hAnsi="Arial Narrow" w:cs="Arial Narrow"/>
                <w:color w:val="000000"/>
                <w:sz w:val="20"/>
                <w:szCs w:val="20"/>
              </w:rPr>
            </w:pPr>
            <w:r>
              <w:rPr>
                <w:rFonts w:ascii="Arial Narrow" w:hAnsi="Arial Narrow" w:cs="Calibri"/>
                <w:color w:val="000000"/>
                <w:sz w:val="20"/>
                <w:szCs w:val="20"/>
              </w:rPr>
              <w:t>9</w:t>
            </w:r>
          </w:p>
        </w:tc>
        <w:tc>
          <w:tcPr>
            <w:tcW w:w="1350" w:type="dxa"/>
            <w:vAlign w:val="bottom"/>
          </w:tcPr>
          <w:p w14:paraId="4832B709" w14:textId="7B2351D7"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2000-2023</w:t>
            </w:r>
          </w:p>
        </w:tc>
        <w:tc>
          <w:tcPr>
            <w:tcW w:w="1170" w:type="dxa"/>
            <w:vAlign w:val="bottom"/>
          </w:tcPr>
          <w:p w14:paraId="5CA49CCC" w14:textId="63322470"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170</w:t>
            </w:r>
          </w:p>
        </w:tc>
      </w:tr>
      <w:tr w:rsidR="008259B5" w:rsidRPr="002B49BC" w14:paraId="0B391E6D" w14:textId="77777777" w:rsidTr="00546B42">
        <w:trPr>
          <w:trHeight w:val="312"/>
        </w:trPr>
        <w:tc>
          <w:tcPr>
            <w:tcW w:w="1345" w:type="dxa"/>
            <w:tcBorders>
              <w:top w:val="nil"/>
              <w:bottom w:val="nil"/>
            </w:tcBorders>
            <w:vAlign w:val="bottom"/>
          </w:tcPr>
          <w:p w14:paraId="700BC71E"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top w:val="nil"/>
              <w:bottom w:val="nil"/>
            </w:tcBorders>
            <w:vAlign w:val="bottom"/>
          </w:tcPr>
          <w:p w14:paraId="0EE2C59C" w14:textId="5B26AAA6"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vAlign w:val="bottom"/>
          </w:tcPr>
          <w:p w14:paraId="2CC3A0F4" w14:textId="22BA12FA"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4ATKR002.26</w:t>
            </w:r>
          </w:p>
        </w:tc>
        <w:tc>
          <w:tcPr>
            <w:tcW w:w="1170" w:type="dxa"/>
            <w:vAlign w:val="bottom"/>
          </w:tcPr>
          <w:p w14:paraId="68027BB7" w14:textId="5776CEBF"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2020-2021</w:t>
            </w:r>
          </w:p>
        </w:tc>
        <w:tc>
          <w:tcPr>
            <w:tcW w:w="1170" w:type="dxa"/>
            <w:vAlign w:val="bottom"/>
          </w:tcPr>
          <w:p w14:paraId="42511BD5" w14:textId="03E64BA2"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w:t>
            </w:r>
          </w:p>
        </w:tc>
        <w:tc>
          <w:tcPr>
            <w:tcW w:w="1350" w:type="dxa"/>
            <w:vAlign w:val="bottom"/>
          </w:tcPr>
          <w:p w14:paraId="3CA599FD" w14:textId="34F03BF3"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2020-2021</w:t>
            </w:r>
          </w:p>
        </w:tc>
        <w:tc>
          <w:tcPr>
            <w:tcW w:w="1170" w:type="dxa"/>
            <w:vAlign w:val="bottom"/>
          </w:tcPr>
          <w:p w14:paraId="3811500F" w14:textId="7F38B8A8"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w:t>
            </w:r>
          </w:p>
        </w:tc>
      </w:tr>
      <w:tr w:rsidR="008259B5" w:rsidRPr="002B49BC" w14:paraId="1767EB4F" w14:textId="77777777" w:rsidTr="00546B42">
        <w:trPr>
          <w:trHeight w:val="312"/>
        </w:trPr>
        <w:tc>
          <w:tcPr>
            <w:tcW w:w="1345" w:type="dxa"/>
            <w:tcBorders>
              <w:top w:val="nil"/>
              <w:bottom w:val="nil"/>
            </w:tcBorders>
            <w:vAlign w:val="bottom"/>
          </w:tcPr>
          <w:p w14:paraId="3BF00347"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top w:val="nil"/>
              <w:bottom w:val="nil"/>
            </w:tcBorders>
            <w:vAlign w:val="bottom"/>
          </w:tcPr>
          <w:p w14:paraId="01BA9CE1" w14:textId="756D8BE0"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vAlign w:val="bottom"/>
          </w:tcPr>
          <w:p w14:paraId="6F210E4C" w14:textId="2F52F157"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4ATKR003.03</w:t>
            </w:r>
          </w:p>
        </w:tc>
        <w:tc>
          <w:tcPr>
            <w:tcW w:w="1170" w:type="dxa"/>
            <w:vAlign w:val="bottom"/>
          </w:tcPr>
          <w:p w14:paraId="622E5A0B" w14:textId="1C015A31"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2018-2019</w:t>
            </w:r>
          </w:p>
        </w:tc>
        <w:tc>
          <w:tcPr>
            <w:tcW w:w="1170" w:type="dxa"/>
            <w:vAlign w:val="bottom"/>
          </w:tcPr>
          <w:p w14:paraId="27414013" w14:textId="7AEDDD7E"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w:t>
            </w:r>
          </w:p>
        </w:tc>
        <w:tc>
          <w:tcPr>
            <w:tcW w:w="1350" w:type="dxa"/>
            <w:vAlign w:val="bottom"/>
          </w:tcPr>
          <w:p w14:paraId="0D43D7D8" w14:textId="125726DC"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2018-2019</w:t>
            </w:r>
          </w:p>
        </w:tc>
        <w:tc>
          <w:tcPr>
            <w:tcW w:w="1170" w:type="dxa"/>
            <w:vAlign w:val="bottom"/>
          </w:tcPr>
          <w:p w14:paraId="7EBC431F" w14:textId="347A719B"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w:t>
            </w:r>
          </w:p>
        </w:tc>
      </w:tr>
      <w:tr w:rsidR="008259B5" w:rsidRPr="002B49BC" w14:paraId="45EA063E" w14:textId="77777777" w:rsidTr="00546B42">
        <w:trPr>
          <w:trHeight w:val="312"/>
        </w:trPr>
        <w:tc>
          <w:tcPr>
            <w:tcW w:w="1345" w:type="dxa"/>
            <w:tcBorders>
              <w:top w:val="nil"/>
              <w:bottom w:val="nil"/>
            </w:tcBorders>
            <w:vAlign w:val="bottom"/>
          </w:tcPr>
          <w:p w14:paraId="5CDF7D26"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top w:val="nil"/>
              <w:bottom w:val="nil"/>
            </w:tcBorders>
            <w:vAlign w:val="bottom"/>
          </w:tcPr>
          <w:p w14:paraId="04D0F971" w14:textId="069C0DF5"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vAlign w:val="bottom"/>
          </w:tcPr>
          <w:p w14:paraId="5FFE2756" w14:textId="3A1D2755"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4ATKR005.68</w:t>
            </w:r>
          </w:p>
        </w:tc>
        <w:tc>
          <w:tcPr>
            <w:tcW w:w="1170" w:type="dxa"/>
            <w:vAlign w:val="bottom"/>
          </w:tcPr>
          <w:p w14:paraId="3437EC6E"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170" w:type="dxa"/>
            <w:vAlign w:val="bottom"/>
          </w:tcPr>
          <w:p w14:paraId="6075F7CC"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350" w:type="dxa"/>
            <w:vAlign w:val="bottom"/>
          </w:tcPr>
          <w:p w14:paraId="28B04406" w14:textId="0B7AB582"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2023</w:t>
            </w:r>
          </w:p>
        </w:tc>
        <w:tc>
          <w:tcPr>
            <w:tcW w:w="1170" w:type="dxa"/>
            <w:vAlign w:val="bottom"/>
          </w:tcPr>
          <w:p w14:paraId="0D2E57C6" w14:textId="7D91F698"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w:t>
            </w:r>
          </w:p>
        </w:tc>
      </w:tr>
      <w:tr w:rsidR="008259B5" w:rsidRPr="002B49BC" w14:paraId="26F1473E" w14:textId="77777777" w:rsidTr="00546B42">
        <w:trPr>
          <w:trHeight w:val="312"/>
        </w:trPr>
        <w:tc>
          <w:tcPr>
            <w:tcW w:w="1345" w:type="dxa"/>
            <w:tcBorders>
              <w:top w:val="nil"/>
              <w:bottom w:val="nil"/>
            </w:tcBorders>
            <w:vAlign w:val="bottom"/>
          </w:tcPr>
          <w:p w14:paraId="00F6D3E4"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top w:val="nil"/>
              <w:bottom w:val="nil"/>
            </w:tcBorders>
            <w:vAlign w:val="bottom"/>
          </w:tcPr>
          <w:p w14:paraId="182B8CA6" w14:textId="2BD033F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vAlign w:val="bottom"/>
          </w:tcPr>
          <w:p w14:paraId="59BF8655" w14:textId="27FBB34B"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4ATKR009.30</w:t>
            </w:r>
          </w:p>
        </w:tc>
        <w:tc>
          <w:tcPr>
            <w:tcW w:w="1170" w:type="dxa"/>
            <w:vAlign w:val="bottom"/>
          </w:tcPr>
          <w:p w14:paraId="239161E8" w14:textId="7E1A1C82"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2015-2021</w:t>
            </w:r>
          </w:p>
        </w:tc>
        <w:tc>
          <w:tcPr>
            <w:tcW w:w="1170" w:type="dxa"/>
            <w:vAlign w:val="bottom"/>
          </w:tcPr>
          <w:p w14:paraId="1B65B62F" w14:textId="4AC4A661"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10</w:t>
            </w:r>
          </w:p>
        </w:tc>
        <w:tc>
          <w:tcPr>
            <w:tcW w:w="1350" w:type="dxa"/>
            <w:vAlign w:val="bottom"/>
          </w:tcPr>
          <w:p w14:paraId="280AE5B1" w14:textId="752FBA84"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2001-2023</w:t>
            </w:r>
          </w:p>
        </w:tc>
        <w:tc>
          <w:tcPr>
            <w:tcW w:w="1170" w:type="dxa"/>
            <w:vAlign w:val="bottom"/>
          </w:tcPr>
          <w:p w14:paraId="451A8F1E" w14:textId="43134DA4"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72</w:t>
            </w:r>
          </w:p>
        </w:tc>
      </w:tr>
      <w:tr w:rsidR="008259B5" w:rsidRPr="002B49BC" w14:paraId="088B4974" w14:textId="77777777" w:rsidTr="00546B42">
        <w:trPr>
          <w:trHeight w:val="312"/>
        </w:trPr>
        <w:tc>
          <w:tcPr>
            <w:tcW w:w="1345" w:type="dxa"/>
            <w:tcBorders>
              <w:top w:val="nil"/>
              <w:bottom w:val="nil"/>
            </w:tcBorders>
            <w:vAlign w:val="bottom"/>
          </w:tcPr>
          <w:p w14:paraId="075B3E92"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top w:val="nil"/>
              <w:bottom w:val="nil"/>
            </w:tcBorders>
            <w:vAlign w:val="bottom"/>
          </w:tcPr>
          <w:p w14:paraId="527C19A7" w14:textId="6D665AE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vAlign w:val="bottom"/>
          </w:tcPr>
          <w:p w14:paraId="7DF0FD1C" w14:textId="657ECA8A"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4ATKR010.54</w:t>
            </w:r>
          </w:p>
        </w:tc>
        <w:tc>
          <w:tcPr>
            <w:tcW w:w="1170" w:type="dxa"/>
            <w:vAlign w:val="bottom"/>
          </w:tcPr>
          <w:p w14:paraId="212B10D0" w14:textId="4C2CEC85"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2007-2008</w:t>
            </w:r>
          </w:p>
        </w:tc>
        <w:tc>
          <w:tcPr>
            <w:tcW w:w="1170" w:type="dxa"/>
            <w:vAlign w:val="bottom"/>
          </w:tcPr>
          <w:p w14:paraId="0C30B5EF" w14:textId="727A82BB"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w:t>
            </w:r>
          </w:p>
        </w:tc>
        <w:tc>
          <w:tcPr>
            <w:tcW w:w="1350" w:type="dxa"/>
            <w:vAlign w:val="bottom"/>
          </w:tcPr>
          <w:p w14:paraId="43C05868" w14:textId="60F626A9"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2007-2008</w:t>
            </w:r>
          </w:p>
        </w:tc>
        <w:tc>
          <w:tcPr>
            <w:tcW w:w="1170" w:type="dxa"/>
            <w:vAlign w:val="bottom"/>
          </w:tcPr>
          <w:p w14:paraId="450C6BAB" w14:textId="5E35FC6E"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9</w:t>
            </w:r>
          </w:p>
        </w:tc>
      </w:tr>
      <w:tr w:rsidR="008259B5" w:rsidRPr="002B49BC" w14:paraId="5EB88EE0" w14:textId="77777777" w:rsidTr="00546B42">
        <w:trPr>
          <w:trHeight w:val="312"/>
        </w:trPr>
        <w:tc>
          <w:tcPr>
            <w:tcW w:w="1345" w:type="dxa"/>
            <w:tcBorders>
              <w:top w:val="nil"/>
              <w:bottom w:val="nil"/>
            </w:tcBorders>
            <w:vAlign w:val="bottom"/>
          </w:tcPr>
          <w:p w14:paraId="6BC92E39"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top w:val="nil"/>
              <w:bottom w:val="nil"/>
            </w:tcBorders>
            <w:vAlign w:val="bottom"/>
          </w:tcPr>
          <w:p w14:paraId="1FFF2B2F" w14:textId="0ABA3766"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vAlign w:val="bottom"/>
          </w:tcPr>
          <w:p w14:paraId="1B2861E6" w14:textId="2ADCB93C"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4ATKR014.16</w:t>
            </w:r>
          </w:p>
        </w:tc>
        <w:tc>
          <w:tcPr>
            <w:tcW w:w="1170" w:type="dxa"/>
            <w:vAlign w:val="bottom"/>
          </w:tcPr>
          <w:p w14:paraId="77407464" w14:textId="70BB0703"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2008-2017</w:t>
            </w:r>
          </w:p>
        </w:tc>
        <w:tc>
          <w:tcPr>
            <w:tcW w:w="1170" w:type="dxa"/>
            <w:vAlign w:val="bottom"/>
          </w:tcPr>
          <w:p w14:paraId="7EBE173C" w14:textId="52090496"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5</w:t>
            </w:r>
          </w:p>
        </w:tc>
        <w:tc>
          <w:tcPr>
            <w:tcW w:w="1350" w:type="dxa"/>
            <w:vAlign w:val="bottom"/>
          </w:tcPr>
          <w:p w14:paraId="5D8E6330" w14:textId="3F01CA21"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2008-2017</w:t>
            </w:r>
          </w:p>
        </w:tc>
        <w:tc>
          <w:tcPr>
            <w:tcW w:w="1170" w:type="dxa"/>
            <w:vAlign w:val="bottom"/>
          </w:tcPr>
          <w:p w14:paraId="3A801529" w14:textId="42B43372"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11</w:t>
            </w:r>
          </w:p>
        </w:tc>
      </w:tr>
      <w:tr w:rsidR="008259B5" w:rsidRPr="002B49BC" w14:paraId="489038E1" w14:textId="77777777" w:rsidTr="00546B42">
        <w:trPr>
          <w:trHeight w:val="312"/>
        </w:trPr>
        <w:tc>
          <w:tcPr>
            <w:tcW w:w="1345" w:type="dxa"/>
            <w:tcBorders>
              <w:top w:val="nil"/>
              <w:bottom w:val="nil"/>
            </w:tcBorders>
            <w:vAlign w:val="bottom"/>
          </w:tcPr>
          <w:p w14:paraId="339108CC"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top w:val="nil"/>
              <w:bottom w:val="nil"/>
            </w:tcBorders>
            <w:vAlign w:val="bottom"/>
          </w:tcPr>
          <w:p w14:paraId="5E0B36A6" w14:textId="24EBF1B0"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vAlign w:val="bottom"/>
          </w:tcPr>
          <w:p w14:paraId="6F3C7583" w14:textId="5EEF1220"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4ATKR015.40</w:t>
            </w:r>
          </w:p>
        </w:tc>
        <w:tc>
          <w:tcPr>
            <w:tcW w:w="1170" w:type="dxa"/>
            <w:vAlign w:val="bottom"/>
          </w:tcPr>
          <w:p w14:paraId="7D75226A" w14:textId="14973FF4"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2007</w:t>
            </w:r>
          </w:p>
        </w:tc>
        <w:tc>
          <w:tcPr>
            <w:tcW w:w="1170" w:type="dxa"/>
            <w:vAlign w:val="bottom"/>
          </w:tcPr>
          <w:p w14:paraId="11B63838" w14:textId="097D1D74"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w:t>
            </w:r>
          </w:p>
        </w:tc>
        <w:tc>
          <w:tcPr>
            <w:tcW w:w="1350" w:type="dxa"/>
            <w:vAlign w:val="bottom"/>
          </w:tcPr>
          <w:p w14:paraId="16976BA0" w14:textId="1FDFAC41"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2007</w:t>
            </w:r>
          </w:p>
        </w:tc>
        <w:tc>
          <w:tcPr>
            <w:tcW w:w="1170" w:type="dxa"/>
            <w:vAlign w:val="bottom"/>
          </w:tcPr>
          <w:p w14:paraId="4A08A434" w14:textId="62E00D88"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w:t>
            </w:r>
          </w:p>
        </w:tc>
      </w:tr>
      <w:tr w:rsidR="008259B5" w:rsidRPr="002B49BC" w14:paraId="732AC208" w14:textId="77777777" w:rsidTr="00546B42">
        <w:trPr>
          <w:trHeight w:val="312"/>
        </w:trPr>
        <w:tc>
          <w:tcPr>
            <w:tcW w:w="1345" w:type="dxa"/>
            <w:tcBorders>
              <w:top w:val="nil"/>
              <w:bottom w:val="nil"/>
            </w:tcBorders>
            <w:vAlign w:val="bottom"/>
          </w:tcPr>
          <w:p w14:paraId="40EBBFB8"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top w:val="nil"/>
            </w:tcBorders>
            <w:vAlign w:val="bottom"/>
          </w:tcPr>
          <w:p w14:paraId="2F26D082" w14:textId="0AA3B82B"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vAlign w:val="bottom"/>
          </w:tcPr>
          <w:p w14:paraId="7F19DCD2" w14:textId="25F1C997"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4ATKR015.88</w:t>
            </w:r>
          </w:p>
        </w:tc>
        <w:tc>
          <w:tcPr>
            <w:tcW w:w="1170" w:type="dxa"/>
            <w:vAlign w:val="bottom"/>
          </w:tcPr>
          <w:p w14:paraId="1E395D13"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170" w:type="dxa"/>
            <w:vAlign w:val="bottom"/>
          </w:tcPr>
          <w:p w14:paraId="19B47440"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350" w:type="dxa"/>
            <w:vAlign w:val="bottom"/>
          </w:tcPr>
          <w:p w14:paraId="3ADC86A1" w14:textId="47CF7CD9"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2001-2012</w:t>
            </w:r>
          </w:p>
        </w:tc>
        <w:tc>
          <w:tcPr>
            <w:tcW w:w="1170" w:type="dxa"/>
            <w:vAlign w:val="bottom"/>
          </w:tcPr>
          <w:p w14:paraId="39259DFD" w14:textId="7DF5663F"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47</w:t>
            </w:r>
          </w:p>
        </w:tc>
      </w:tr>
      <w:tr w:rsidR="008259B5" w:rsidRPr="002B49BC" w14:paraId="03485E90" w14:textId="77777777" w:rsidTr="00546B42">
        <w:trPr>
          <w:trHeight w:val="312"/>
        </w:trPr>
        <w:tc>
          <w:tcPr>
            <w:tcW w:w="1345" w:type="dxa"/>
            <w:tcBorders>
              <w:top w:val="nil"/>
              <w:bottom w:val="nil"/>
            </w:tcBorders>
            <w:vAlign w:val="bottom"/>
          </w:tcPr>
          <w:p w14:paraId="49F43C71"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bottom w:val="single" w:sz="4" w:space="0" w:color="auto"/>
            </w:tcBorders>
            <w:vAlign w:val="bottom"/>
          </w:tcPr>
          <w:p w14:paraId="39BF9ABC" w14:textId="4A6081C9" w:rsidR="008259B5" w:rsidRPr="008259B5" w:rsidRDefault="008259B5" w:rsidP="008259B5">
            <w:pPr>
              <w:autoSpaceDE w:val="0"/>
              <w:autoSpaceDN w:val="0"/>
              <w:adjustRightInd w:val="0"/>
              <w:jc w:val="center"/>
              <w:rPr>
                <w:rFonts w:ascii="Arial Narrow" w:hAnsi="Arial Narrow" w:cs="Arial Narrow"/>
                <w:color w:val="000000"/>
                <w:sz w:val="20"/>
                <w:szCs w:val="20"/>
              </w:rPr>
            </w:pPr>
            <w:proofErr w:type="spellStart"/>
            <w:r w:rsidRPr="008259B5">
              <w:rPr>
                <w:rFonts w:ascii="Arial Narrow" w:hAnsi="Arial Narrow" w:cs="Calibri"/>
                <w:color w:val="000000"/>
                <w:sz w:val="20"/>
                <w:szCs w:val="20"/>
              </w:rPr>
              <w:t>Coyner</w:t>
            </w:r>
            <w:proofErr w:type="spellEnd"/>
            <w:r w:rsidRPr="008259B5">
              <w:rPr>
                <w:rFonts w:ascii="Arial Narrow" w:hAnsi="Arial Narrow" w:cs="Calibri"/>
                <w:color w:val="000000"/>
                <w:sz w:val="20"/>
                <w:szCs w:val="20"/>
              </w:rPr>
              <w:t xml:space="preserve"> Branch</w:t>
            </w:r>
          </w:p>
        </w:tc>
        <w:tc>
          <w:tcPr>
            <w:tcW w:w="1620" w:type="dxa"/>
            <w:vAlign w:val="bottom"/>
          </w:tcPr>
          <w:p w14:paraId="069FF66B" w14:textId="735FE272"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4ACNE000.12</w:t>
            </w:r>
          </w:p>
        </w:tc>
        <w:tc>
          <w:tcPr>
            <w:tcW w:w="1170" w:type="dxa"/>
            <w:vAlign w:val="bottom"/>
          </w:tcPr>
          <w:p w14:paraId="41BD0B5D"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170" w:type="dxa"/>
            <w:vAlign w:val="bottom"/>
          </w:tcPr>
          <w:p w14:paraId="0C69B3DF"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350" w:type="dxa"/>
            <w:vAlign w:val="bottom"/>
          </w:tcPr>
          <w:p w14:paraId="4E26379F" w14:textId="407F14DE"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2002-2003</w:t>
            </w:r>
          </w:p>
        </w:tc>
        <w:tc>
          <w:tcPr>
            <w:tcW w:w="1170" w:type="dxa"/>
            <w:vAlign w:val="bottom"/>
          </w:tcPr>
          <w:p w14:paraId="2B309EC9" w14:textId="66506063"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3</w:t>
            </w:r>
          </w:p>
        </w:tc>
      </w:tr>
      <w:tr w:rsidR="008259B5" w:rsidRPr="002B49BC" w14:paraId="42CC128B" w14:textId="77777777" w:rsidTr="00546B42">
        <w:trPr>
          <w:trHeight w:val="312"/>
        </w:trPr>
        <w:tc>
          <w:tcPr>
            <w:tcW w:w="1345" w:type="dxa"/>
            <w:tcBorders>
              <w:top w:val="nil"/>
              <w:bottom w:val="nil"/>
            </w:tcBorders>
            <w:vAlign w:val="bottom"/>
          </w:tcPr>
          <w:p w14:paraId="17B30C67"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bottom w:val="nil"/>
            </w:tcBorders>
            <w:vAlign w:val="bottom"/>
          </w:tcPr>
          <w:p w14:paraId="4AEF8988" w14:textId="348EAAB4" w:rsidR="008259B5" w:rsidRPr="008259B5" w:rsidRDefault="008259B5" w:rsidP="008259B5">
            <w:pPr>
              <w:autoSpaceDE w:val="0"/>
              <w:autoSpaceDN w:val="0"/>
              <w:adjustRightInd w:val="0"/>
              <w:jc w:val="center"/>
              <w:rPr>
                <w:rFonts w:ascii="Arial Narrow" w:hAnsi="Arial Narrow" w:cs="Arial Narrow"/>
                <w:color w:val="000000"/>
                <w:sz w:val="20"/>
                <w:szCs w:val="20"/>
              </w:rPr>
            </w:pPr>
            <w:proofErr w:type="spellStart"/>
            <w:r w:rsidRPr="008259B5">
              <w:rPr>
                <w:rFonts w:ascii="Arial Narrow" w:hAnsi="Arial Narrow" w:cs="Calibri"/>
                <w:color w:val="000000"/>
                <w:sz w:val="20"/>
                <w:szCs w:val="20"/>
              </w:rPr>
              <w:t>Carvin</w:t>
            </w:r>
            <w:proofErr w:type="spellEnd"/>
            <w:r w:rsidRPr="008259B5">
              <w:rPr>
                <w:rFonts w:ascii="Arial Narrow" w:hAnsi="Arial Narrow" w:cs="Calibri"/>
                <w:color w:val="000000"/>
                <w:sz w:val="20"/>
                <w:szCs w:val="20"/>
              </w:rPr>
              <w:t xml:space="preserve"> Creek</w:t>
            </w:r>
          </w:p>
        </w:tc>
        <w:tc>
          <w:tcPr>
            <w:tcW w:w="1620" w:type="dxa"/>
            <w:vAlign w:val="bottom"/>
          </w:tcPr>
          <w:p w14:paraId="627C167F" w14:textId="60379514"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4ACRV000.28</w:t>
            </w:r>
          </w:p>
        </w:tc>
        <w:tc>
          <w:tcPr>
            <w:tcW w:w="1170" w:type="dxa"/>
            <w:vAlign w:val="bottom"/>
          </w:tcPr>
          <w:p w14:paraId="4D77FC26"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170" w:type="dxa"/>
            <w:vAlign w:val="bottom"/>
          </w:tcPr>
          <w:p w14:paraId="0F111ADE"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350" w:type="dxa"/>
            <w:vAlign w:val="bottom"/>
          </w:tcPr>
          <w:p w14:paraId="1E40810E" w14:textId="4F5F0A5D"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2002-2003</w:t>
            </w:r>
          </w:p>
        </w:tc>
        <w:tc>
          <w:tcPr>
            <w:tcW w:w="1170" w:type="dxa"/>
            <w:vAlign w:val="bottom"/>
          </w:tcPr>
          <w:p w14:paraId="2BA3B7BA" w14:textId="0C1D736C"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13</w:t>
            </w:r>
          </w:p>
        </w:tc>
      </w:tr>
      <w:tr w:rsidR="008259B5" w:rsidRPr="002B49BC" w14:paraId="6A3B4FBC" w14:textId="77777777" w:rsidTr="00546B42">
        <w:trPr>
          <w:trHeight w:val="312"/>
        </w:trPr>
        <w:tc>
          <w:tcPr>
            <w:tcW w:w="1345" w:type="dxa"/>
            <w:tcBorders>
              <w:top w:val="nil"/>
              <w:bottom w:val="nil"/>
            </w:tcBorders>
            <w:vAlign w:val="bottom"/>
          </w:tcPr>
          <w:p w14:paraId="2B77E60C"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top w:val="nil"/>
              <w:bottom w:val="nil"/>
            </w:tcBorders>
            <w:vAlign w:val="bottom"/>
          </w:tcPr>
          <w:p w14:paraId="31C1146E" w14:textId="45DD0B2F"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vAlign w:val="bottom"/>
          </w:tcPr>
          <w:p w14:paraId="57399108" w14:textId="4A5E3221"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4ACRV001.88</w:t>
            </w:r>
          </w:p>
        </w:tc>
        <w:tc>
          <w:tcPr>
            <w:tcW w:w="1170" w:type="dxa"/>
            <w:vAlign w:val="bottom"/>
          </w:tcPr>
          <w:p w14:paraId="567DCE46"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170" w:type="dxa"/>
            <w:vAlign w:val="bottom"/>
          </w:tcPr>
          <w:p w14:paraId="335F42A0"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350" w:type="dxa"/>
            <w:vAlign w:val="bottom"/>
          </w:tcPr>
          <w:p w14:paraId="688BBCE1" w14:textId="1AB5EAD1"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2001-2010</w:t>
            </w:r>
          </w:p>
        </w:tc>
        <w:tc>
          <w:tcPr>
            <w:tcW w:w="1170" w:type="dxa"/>
            <w:vAlign w:val="bottom"/>
          </w:tcPr>
          <w:p w14:paraId="53D9EBE3" w14:textId="4FFE0AB3"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22</w:t>
            </w:r>
          </w:p>
        </w:tc>
      </w:tr>
      <w:tr w:rsidR="008259B5" w:rsidRPr="002B49BC" w14:paraId="0E4B82A9" w14:textId="77777777" w:rsidTr="00546B42">
        <w:trPr>
          <w:trHeight w:val="312"/>
        </w:trPr>
        <w:tc>
          <w:tcPr>
            <w:tcW w:w="1345" w:type="dxa"/>
            <w:tcBorders>
              <w:top w:val="nil"/>
              <w:bottom w:val="nil"/>
            </w:tcBorders>
            <w:vAlign w:val="bottom"/>
          </w:tcPr>
          <w:p w14:paraId="5A89AC33"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top w:val="nil"/>
              <w:bottom w:val="nil"/>
            </w:tcBorders>
            <w:vAlign w:val="bottom"/>
          </w:tcPr>
          <w:p w14:paraId="6EA00D65" w14:textId="4C02E171"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vAlign w:val="bottom"/>
          </w:tcPr>
          <w:p w14:paraId="0D2ED8FA" w14:textId="2CB29AF0"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4ACRV005.10</w:t>
            </w:r>
          </w:p>
        </w:tc>
        <w:tc>
          <w:tcPr>
            <w:tcW w:w="1170" w:type="dxa"/>
            <w:vAlign w:val="bottom"/>
          </w:tcPr>
          <w:p w14:paraId="594696E8" w14:textId="5AEEA188"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2015</w:t>
            </w:r>
          </w:p>
        </w:tc>
        <w:tc>
          <w:tcPr>
            <w:tcW w:w="1170" w:type="dxa"/>
            <w:vAlign w:val="bottom"/>
          </w:tcPr>
          <w:p w14:paraId="041822F1" w14:textId="0FB7CF07"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w:t>
            </w:r>
          </w:p>
        </w:tc>
        <w:tc>
          <w:tcPr>
            <w:tcW w:w="1350" w:type="dxa"/>
            <w:vAlign w:val="bottom"/>
          </w:tcPr>
          <w:p w14:paraId="2D01372B" w14:textId="198DF33F"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2015</w:t>
            </w:r>
          </w:p>
        </w:tc>
        <w:tc>
          <w:tcPr>
            <w:tcW w:w="1170" w:type="dxa"/>
            <w:vAlign w:val="bottom"/>
          </w:tcPr>
          <w:p w14:paraId="22AE2844" w14:textId="75B97819"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19</w:t>
            </w:r>
          </w:p>
        </w:tc>
      </w:tr>
      <w:tr w:rsidR="008259B5" w:rsidRPr="002B49BC" w14:paraId="5E7C2A13" w14:textId="77777777" w:rsidTr="00546B42">
        <w:trPr>
          <w:trHeight w:val="312"/>
        </w:trPr>
        <w:tc>
          <w:tcPr>
            <w:tcW w:w="1345" w:type="dxa"/>
            <w:tcBorders>
              <w:top w:val="nil"/>
              <w:bottom w:val="nil"/>
            </w:tcBorders>
            <w:vAlign w:val="bottom"/>
          </w:tcPr>
          <w:p w14:paraId="3C7E2EFC"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top w:val="nil"/>
              <w:bottom w:val="single" w:sz="4" w:space="0" w:color="auto"/>
            </w:tcBorders>
            <w:vAlign w:val="bottom"/>
          </w:tcPr>
          <w:p w14:paraId="4FDD5209" w14:textId="258F7DF3"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vAlign w:val="bottom"/>
          </w:tcPr>
          <w:p w14:paraId="78A110F6" w14:textId="4ED2D34E"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4ACRV005.58</w:t>
            </w:r>
          </w:p>
        </w:tc>
        <w:tc>
          <w:tcPr>
            <w:tcW w:w="1170" w:type="dxa"/>
            <w:vAlign w:val="bottom"/>
          </w:tcPr>
          <w:p w14:paraId="5614AA92"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170" w:type="dxa"/>
            <w:vAlign w:val="bottom"/>
          </w:tcPr>
          <w:p w14:paraId="71E090F5"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350" w:type="dxa"/>
            <w:vAlign w:val="bottom"/>
          </w:tcPr>
          <w:p w14:paraId="4F25F2C0" w14:textId="09013EE4"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2001</w:t>
            </w:r>
          </w:p>
        </w:tc>
        <w:tc>
          <w:tcPr>
            <w:tcW w:w="1170" w:type="dxa"/>
            <w:vAlign w:val="bottom"/>
          </w:tcPr>
          <w:p w14:paraId="7DDE9161" w14:textId="0FD6655B"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1</w:t>
            </w:r>
          </w:p>
        </w:tc>
      </w:tr>
      <w:tr w:rsidR="008259B5" w:rsidRPr="002B49BC" w14:paraId="15B1D713" w14:textId="77777777" w:rsidTr="00546B42">
        <w:trPr>
          <w:trHeight w:val="312"/>
        </w:trPr>
        <w:tc>
          <w:tcPr>
            <w:tcW w:w="1345" w:type="dxa"/>
            <w:tcBorders>
              <w:top w:val="nil"/>
              <w:bottom w:val="nil"/>
            </w:tcBorders>
            <w:vAlign w:val="bottom"/>
          </w:tcPr>
          <w:p w14:paraId="2D416E11"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bottom w:val="nil"/>
            </w:tcBorders>
            <w:vAlign w:val="bottom"/>
          </w:tcPr>
          <w:p w14:paraId="422845E9" w14:textId="2EFB1433"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Glade Creek</w:t>
            </w:r>
          </w:p>
        </w:tc>
        <w:tc>
          <w:tcPr>
            <w:tcW w:w="1620" w:type="dxa"/>
            <w:vAlign w:val="bottom"/>
          </w:tcPr>
          <w:p w14:paraId="1E0EDD47" w14:textId="7142AE95"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4AGLA000.20</w:t>
            </w:r>
          </w:p>
        </w:tc>
        <w:tc>
          <w:tcPr>
            <w:tcW w:w="1170" w:type="dxa"/>
            <w:vAlign w:val="bottom"/>
          </w:tcPr>
          <w:p w14:paraId="3B4BBA45"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170" w:type="dxa"/>
            <w:vAlign w:val="bottom"/>
          </w:tcPr>
          <w:p w14:paraId="6335BBDC"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350" w:type="dxa"/>
            <w:vAlign w:val="bottom"/>
          </w:tcPr>
          <w:p w14:paraId="1F74DC1D" w14:textId="263083F7"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2001-2023</w:t>
            </w:r>
          </w:p>
        </w:tc>
        <w:tc>
          <w:tcPr>
            <w:tcW w:w="1170" w:type="dxa"/>
            <w:vAlign w:val="bottom"/>
          </w:tcPr>
          <w:p w14:paraId="612CFB4E" w14:textId="2E435BB2"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58</w:t>
            </w:r>
          </w:p>
        </w:tc>
      </w:tr>
      <w:tr w:rsidR="008259B5" w:rsidRPr="002B49BC" w14:paraId="7B27D428" w14:textId="77777777" w:rsidTr="00546B42">
        <w:trPr>
          <w:trHeight w:val="312"/>
        </w:trPr>
        <w:tc>
          <w:tcPr>
            <w:tcW w:w="1345" w:type="dxa"/>
            <w:tcBorders>
              <w:top w:val="nil"/>
              <w:bottom w:val="nil"/>
            </w:tcBorders>
            <w:vAlign w:val="bottom"/>
          </w:tcPr>
          <w:p w14:paraId="5D6A82A1"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top w:val="nil"/>
              <w:bottom w:val="nil"/>
            </w:tcBorders>
            <w:vAlign w:val="bottom"/>
          </w:tcPr>
          <w:p w14:paraId="5A22439D" w14:textId="0CDF9B36"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vAlign w:val="bottom"/>
          </w:tcPr>
          <w:p w14:paraId="6F88B1CD" w14:textId="457789CE"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4AGLA004.39</w:t>
            </w:r>
          </w:p>
        </w:tc>
        <w:tc>
          <w:tcPr>
            <w:tcW w:w="1170" w:type="dxa"/>
            <w:vAlign w:val="bottom"/>
          </w:tcPr>
          <w:p w14:paraId="6A1A0885"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170" w:type="dxa"/>
            <w:vAlign w:val="bottom"/>
          </w:tcPr>
          <w:p w14:paraId="03C5CAAF"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350" w:type="dxa"/>
            <w:vAlign w:val="bottom"/>
          </w:tcPr>
          <w:p w14:paraId="55FD526C" w14:textId="15EE8F23"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2001-2021</w:t>
            </w:r>
          </w:p>
        </w:tc>
        <w:tc>
          <w:tcPr>
            <w:tcW w:w="1170" w:type="dxa"/>
            <w:vAlign w:val="bottom"/>
          </w:tcPr>
          <w:p w14:paraId="724FD192" w14:textId="7BF5E962"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30</w:t>
            </w:r>
          </w:p>
        </w:tc>
      </w:tr>
      <w:tr w:rsidR="008259B5" w:rsidRPr="002B49BC" w14:paraId="29D0AA41" w14:textId="77777777" w:rsidTr="00546B42">
        <w:trPr>
          <w:trHeight w:val="312"/>
        </w:trPr>
        <w:tc>
          <w:tcPr>
            <w:tcW w:w="1345" w:type="dxa"/>
            <w:tcBorders>
              <w:top w:val="nil"/>
              <w:bottom w:val="nil"/>
            </w:tcBorders>
            <w:vAlign w:val="bottom"/>
          </w:tcPr>
          <w:p w14:paraId="4387AD51"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top w:val="nil"/>
              <w:bottom w:val="single" w:sz="4" w:space="0" w:color="auto"/>
            </w:tcBorders>
            <w:vAlign w:val="bottom"/>
          </w:tcPr>
          <w:p w14:paraId="4710D4EA" w14:textId="7952287A"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vAlign w:val="bottom"/>
          </w:tcPr>
          <w:p w14:paraId="6BC502B3" w14:textId="4810D760"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4AGLA008.10</w:t>
            </w:r>
          </w:p>
        </w:tc>
        <w:tc>
          <w:tcPr>
            <w:tcW w:w="1170" w:type="dxa"/>
            <w:vAlign w:val="bottom"/>
          </w:tcPr>
          <w:p w14:paraId="00058A3D"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170" w:type="dxa"/>
            <w:vAlign w:val="bottom"/>
          </w:tcPr>
          <w:p w14:paraId="6F94E75A"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350" w:type="dxa"/>
            <w:vAlign w:val="bottom"/>
          </w:tcPr>
          <w:p w14:paraId="3E7C5372" w14:textId="492348A7"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2002-2003</w:t>
            </w:r>
          </w:p>
        </w:tc>
        <w:tc>
          <w:tcPr>
            <w:tcW w:w="1170" w:type="dxa"/>
            <w:vAlign w:val="bottom"/>
          </w:tcPr>
          <w:p w14:paraId="429A0578" w14:textId="69A71325"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13</w:t>
            </w:r>
          </w:p>
        </w:tc>
      </w:tr>
      <w:tr w:rsidR="008259B5" w:rsidRPr="002B49BC" w14:paraId="630C8253" w14:textId="77777777" w:rsidTr="00546B42">
        <w:trPr>
          <w:trHeight w:val="312"/>
        </w:trPr>
        <w:tc>
          <w:tcPr>
            <w:tcW w:w="1345" w:type="dxa"/>
            <w:tcBorders>
              <w:top w:val="nil"/>
              <w:bottom w:val="nil"/>
            </w:tcBorders>
            <w:vAlign w:val="bottom"/>
          </w:tcPr>
          <w:p w14:paraId="5D1049D0"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bottom w:val="nil"/>
            </w:tcBorders>
            <w:vAlign w:val="bottom"/>
          </w:tcPr>
          <w:p w14:paraId="54EC8D53" w14:textId="49966289"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Lick Run</w:t>
            </w:r>
          </w:p>
        </w:tc>
        <w:tc>
          <w:tcPr>
            <w:tcW w:w="1620" w:type="dxa"/>
            <w:vAlign w:val="bottom"/>
          </w:tcPr>
          <w:p w14:paraId="11F67E0D" w14:textId="294EF16C"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4ALCK000.38</w:t>
            </w:r>
          </w:p>
        </w:tc>
        <w:tc>
          <w:tcPr>
            <w:tcW w:w="1170" w:type="dxa"/>
            <w:vAlign w:val="bottom"/>
          </w:tcPr>
          <w:p w14:paraId="384E647B"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170" w:type="dxa"/>
            <w:vAlign w:val="bottom"/>
          </w:tcPr>
          <w:p w14:paraId="32719F85"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350" w:type="dxa"/>
            <w:vAlign w:val="bottom"/>
          </w:tcPr>
          <w:p w14:paraId="4C018D2E" w14:textId="549072EE"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2000-2008</w:t>
            </w:r>
          </w:p>
        </w:tc>
        <w:tc>
          <w:tcPr>
            <w:tcW w:w="1170" w:type="dxa"/>
            <w:vAlign w:val="bottom"/>
          </w:tcPr>
          <w:p w14:paraId="7291EBB5" w14:textId="4496053A"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60</w:t>
            </w:r>
          </w:p>
        </w:tc>
      </w:tr>
      <w:tr w:rsidR="008259B5" w:rsidRPr="002B49BC" w14:paraId="0D92CF3F" w14:textId="77777777" w:rsidTr="00546B42">
        <w:trPr>
          <w:trHeight w:val="312"/>
        </w:trPr>
        <w:tc>
          <w:tcPr>
            <w:tcW w:w="1345" w:type="dxa"/>
            <w:tcBorders>
              <w:top w:val="nil"/>
              <w:bottom w:val="nil"/>
            </w:tcBorders>
            <w:vAlign w:val="bottom"/>
          </w:tcPr>
          <w:p w14:paraId="6D5E67AF"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top w:val="nil"/>
            </w:tcBorders>
            <w:vAlign w:val="bottom"/>
          </w:tcPr>
          <w:p w14:paraId="59BC841B" w14:textId="5FE7C38F"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vAlign w:val="bottom"/>
          </w:tcPr>
          <w:p w14:paraId="3024F06D" w14:textId="7D1912DF"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4ALCK002.17</w:t>
            </w:r>
          </w:p>
        </w:tc>
        <w:tc>
          <w:tcPr>
            <w:tcW w:w="1170" w:type="dxa"/>
            <w:vAlign w:val="bottom"/>
          </w:tcPr>
          <w:p w14:paraId="14285FAA"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170" w:type="dxa"/>
            <w:vAlign w:val="bottom"/>
          </w:tcPr>
          <w:p w14:paraId="6BEABCF8"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350" w:type="dxa"/>
            <w:vAlign w:val="bottom"/>
          </w:tcPr>
          <w:p w14:paraId="2760697C" w14:textId="45F5E927"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2002-2005</w:t>
            </w:r>
          </w:p>
        </w:tc>
        <w:tc>
          <w:tcPr>
            <w:tcW w:w="1170" w:type="dxa"/>
            <w:vAlign w:val="bottom"/>
          </w:tcPr>
          <w:p w14:paraId="38BB8966" w14:textId="05FE45A1"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18</w:t>
            </w:r>
          </w:p>
        </w:tc>
      </w:tr>
      <w:tr w:rsidR="008259B5" w:rsidRPr="002B49BC" w14:paraId="7B060492" w14:textId="77777777" w:rsidTr="00546B42">
        <w:trPr>
          <w:trHeight w:val="312"/>
        </w:trPr>
        <w:tc>
          <w:tcPr>
            <w:tcW w:w="1345" w:type="dxa"/>
            <w:tcBorders>
              <w:top w:val="nil"/>
              <w:bottom w:val="single" w:sz="4" w:space="0" w:color="auto"/>
            </w:tcBorders>
            <w:vAlign w:val="bottom"/>
          </w:tcPr>
          <w:p w14:paraId="7BEA205C"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bottom w:val="single" w:sz="4" w:space="0" w:color="auto"/>
            </w:tcBorders>
            <w:vAlign w:val="bottom"/>
          </w:tcPr>
          <w:p w14:paraId="5FE86DD2" w14:textId="06C1D768"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Tinker Creek UT</w:t>
            </w:r>
          </w:p>
        </w:tc>
        <w:tc>
          <w:tcPr>
            <w:tcW w:w="1620" w:type="dxa"/>
            <w:vAlign w:val="bottom"/>
          </w:tcPr>
          <w:p w14:paraId="72C9E9A0" w14:textId="557160CF"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4AXKN000.36</w:t>
            </w:r>
          </w:p>
        </w:tc>
        <w:tc>
          <w:tcPr>
            <w:tcW w:w="1170" w:type="dxa"/>
            <w:vAlign w:val="bottom"/>
          </w:tcPr>
          <w:p w14:paraId="4714A53F"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170" w:type="dxa"/>
            <w:vAlign w:val="bottom"/>
          </w:tcPr>
          <w:p w14:paraId="7E14411E"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350" w:type="dxa"/>
            <w:vAlign w:val="bottom"/>
          </w:tcPr>
          <w:p w14:paraId="6A1316EE" w14:textId="799BCF98"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2002</w:t>
            </w:r>
          </w:p>
        </w:tc>
        <w:tc>
          <w:tcPr>
            <w:tcW w:w="1170" w:type="dxa"/>
            <w:vAlign w:val="bottom"/>
          </w:tcPr>
          <w:p w14:paraId="79638C30" w14:textId="6977F7B9"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1</w:t>
            </w:r>
          </w:p>
        </w:tc>
      </w:tr>
      <w:tr w:rsidR="008259B5" w:rsidRPr="002B49BC" w14:paraId="342D39EC" w14:textId="77777777" w:rsidTr="00546B42">
        <w:trPr>
          <w:trHeight w:val="312"/>
        </w:trPr>
        <w:tc>
          <w:tcPr>
            <w:tcW w:w="1345" w:type="dxa"/>
            <w:tcBorders>
              <w:bottom w:val="nil"/>
            </w:tcBorders>
            <w:vAlign w:val="bottom"/>
          </w:tcPr>
          <w:p w14:paraId="0FAE14E7" w14:textId="3A6757A3"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Roanoke River</w:t>
            </w:r>
          </w:p>
        </w:tc>
        <w:tc>
          <w:tcPr>
            <w:tcW w:w="1620" w:type="dxa"/>
            <w:tcBorders>
              <w:bottom w:val="nil"/>
            </w:tcBorders>
            <w:vAlign w:val="bottom"/>
          </w:tcPr>
          <w:p w14:paraId="24649AA4" w14:textId="2999E37B"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Roanoke River</w:t>
            </w:r>
          </w:p>
        </w:tc>
        <w:tc>
          <w:tcPr>
            <w:tcW w:w="1620" w:type="dxa"/>
            <w:vAlign w:val="bottom"/>
          </w:tcPr>
          <w:p w14:paraId="428D4C50" w14:textId="0FB8A24E"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4AROA198.08</w:t>
            </w:r>
          </w:p>
        </w:tc>
        <w:tc>
          <w:tcPr>
            <w:tcW w:w="1170" w:type="dxa"/>
            <w:vAlign w:val="bottom"/>
          </w:tcPr>
          <w:p w14:paraId="41B55E85" w14:textId="39373BCA"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2005-2022</w:t>
            </w:r>
          </w:p>
        </w:tc>
        <w:tc>
          <w:tcPr>
            <w:tcW w:w="1170" w:type="dxa"/>
            <w:vAlign w:val="bottom"/>
          </w:tcPr>
          <w:p w14:paraId="65F7FCC4" w14:textId="1B30F1FF"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1</w:t>
            </w:r>
            <w:r w:rsidR="00110B34">
              <w:rPr>
                <w:rFonts w:ascii="Arial Narrow" w:hAnsi="Arial Narrow" w:cs="Calibri"/>
                <w:color w:val="000000"/>
                <w:sz w:val="20"/>
                <w:szCs w:val="20"/>
              </w:rPr>
              <w:t>8</w:t>
            </w:r>
          </w:p>
        </w:tc>
        <w:tc>
          <w:tcPr>
            <w:tcW w:w="1350" w:type="dxa"/>
            <w:vAlign w:val="bottom"/>
          </w:tcPr>
          <w:p w14:paraId="75A8CCFB" w14:textId="17997A24"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2005-2023</w:t>
            </w:r>
          </w:p>
        </w:tc>
        <w:tc>
          <w:tcPr>
            <w:tcW w:w="1170" w:type="dxa"/>
            <w:vAlign w:val="bottom"/>
          </w:tcPr>
          <w:p w14:paraId="67CCBAF5" w14:textId="75EF7B2F"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57</w:t>
            </w:r>
          </w:p>
        </w:tc>
      </w:tr>
      <w:tr w:rsidR="008259B5" w:rsidRPr="002B49BC" w14:paraId="45CD1EC4" w14:textId="77777777" w:rsidTr="00546B42">
        <w:trPr>
          <w:trHeight w:val="312"/>
        </w:trPr>
        <w:tc>
          <w:tcPr>
            <w:tcW w:w="1345" w:type="dxa"/>
            <w:tcBorders>
              <w:top w:val="nil"/>
              <w:bottom w:val="nil"/>
            </w:tcBorders>
            <w:vAlign w:val="bottom"/>
          </w:tcPr>
          <w:p w14:paraId="6C0277F1"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top w:val="nil"/>
              <w:bottom w:val="nil"/>
            </w:tcBorders>
            <w:vAlign w:val="bottom"/>
          </w:tcPr>
          <w:p w14:paraId="35C045B9" w14:textId="59462CE0"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vAlign w:val="bottom"/>
          </w:tcPr>
          <w:p w14:paraId="2C3F96B6" w14:textId="177BE019"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4AROA199.20</w:t>
            </w:r>
          </w:p>
        </w:tc>
        <w:tc>
          <w:tcPr>
            <w:tcW w:w="1170" w:type="dxa"/>
            <w:vAlign w:val="bottom"/>
          </w:tcPr>
          <w:p w14:paraId="1E85890E"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170" w:type="dxa"/>
            <w:vAlign w:val="bottom"/>
          </w:tcPr>
          <w:p w14:paraId="03E795C3"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350" w:type="dxa"/>
            <w:vAlign w:val="bottom"/>
          </w:tcPr>
          <w:p w14:paraId="66690BBD" w14:textId="0650CD77"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2005-2023</w:t>
            </w:r>
          </w:p>
        </w:tc>
        <w:tc>
          <w:tcPr>
            <w:tcW w:w="1170" w:type="dxa"/>
            <w:vAlign w:val="bottom"/>
          </w:tcPr>
          <w:p w14:paraId="66F450D0" w14:textId="64E7126A"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86</w:t>
            </w:r>
          </w:p>
        </w:tc>
      </w:tr>
      <w:tr w:rsidR="008259B5" w:rsidRPr="002B49BC" w14:paraId="4894DAAA" w14:textId="77777777" w:rsidTr="00546B42">
        <w:trPr>
          <w:trHeight w:val="312"/>
        </w:trPr>
        <w:tc>
          <w:tcPr>
            <w:tcW w:w="1345" w:type="dxa"/>
            <w:tcBorders>
              <w:top w:val="nil"/>
              <w:bottom w:val="nil"/>
            </w:tcBorders>
            <w:vAlign w:val="bottom"/>
          </w:tcPr>
          <w:p w14:paraId="134E9F09"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top w:val="nil"/>
              <w:bottom w:val="nil"/>
            </w:tcBorders>
            <w:vAlign w:val="bottom"/>
          </w:tcPr>
          <w:p w14:paraId="4A37CC4C" w14:textId="743464BD"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vAlign w:val="bottom"/>
          </w:tcPr>
          <w:p w14:paraId="59A56A02" w14:textId="79D8C29A"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4AROA200.06</w:t>
            </w:r>
          </w:p>
        </w:tc>
        <w:tc>
          <w:tcPr>
            <w:tcW w:w="1170" w:type="dxa"/>
            <w:vAlign w:val="bottom"/>
          </w:tcPr>
          <w:p w14:paraId="39E0A5DE"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170" w:type="dxa"/>
            <w:vAlign w:val="bottom"/>
          </w:tcPr>
          <w:p w14:paraId="7A481900"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350" w:type="dxa"/>
            <w:vAlign w:val="bottom"/>
          </w:tcPr>
          <w:p w14:paraId="3AF40FA9" w14:textId="0BAE895B"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2005-2009</w:t>
            </w:r>
          </w:p>
        </w:tc>
        <w:tc>
          <w:tcPr>
            <w:tcW w:w="1170" w:type="dxa"/>
            <w:vAlign w:val="bottom"/>
          </w:tcPr>
          <w:p w14:paraId="40098735" w14:textId="41D821D4"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3</w:t>
            </w:r>
          </w:p>
        </w:tc>
      </w:tr>
      <w:tr w:rsidR="008259B5" w:rsidRPr="002B49BC" w14:paraId="1D2BAE9C" w14:textId="77777777" w:rsidTr="00546B42">
        <w:trPr>
          <w:trHeight w:val="312"/>
        </w:trPr>
        <w:tc>
          <w:tcPr>
            <w:tcW w:w="1345" w:type="dxa"/>
            <w:tcBorders>
              <w:top w:val="nil"/>
              <w:bottom w:val="nil"/>
            </w:tcBorders>
            <w:vAlign w:val="bottom"/>
          </w:tcPr>
          <w:p w14:paraId="4CC46B2F"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top w:val="nil"/>
              <w:bottom w:val="nil"/>
            </w:tcBorders>
            <w:vAlign w:val="bottom"/>
          </w:tcPr>
          <w:p w14:paraId="2650D766" w14:textId="19099EEC"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vAlign w:val="bottom"/>
          </w:tcPr>
          <w:p w14:paraId="06642F10" w14:textId="7C280F41"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4AROA202.20</w:t>
            </w:r>
          </w:p>
        </w:tc>
        <w:tc>
          <w:tcPr>
            <w:tcW w:w="1170" w:type="dxa"/>
            <w:vAlign w:val="bottom"/>
          </w:tcPr>
          <w:p w14:paraId="4C6E2578" w14:textId="27DE1E4F"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2000-2022</w:t>
            </w:r>
          </w:p>
        </w:tc>
        <w:tc>
          <w:tcPr>
            <w:tcW w:w="1170" w:type="dxa"/>
            <w:vAlign w:val="bottom"/>
          </w:tcPr>
          <w:p w14:paraId="38A05053" w14:textId="14F14777" w:rsidR="008259B5" w:rsidRPr="008259B5" w:rsidRDefault="00110B34" w:rsidP="008259B5">
            <w:pPr>
              <w:autoSpaceDE w:val="0"/>
              <w:autoSpaceDN w:val="0"/>
              <w:adjustRightInd w:val="0"/>
              <w:jc w:val="center"/>
              <w:rPr>
                <w:rFonts w:ascii="Arial Narrow" w:hAnsi="Arial Narrow" w:cs="Arial Narrow"/>
                <w:color w:val="000000"/>
                <w:sz w:val="20"/>
                <w:szCs w:val="20"/>
              </w:rPr>
            </w:pPr>
            <w:r>
              <w:rPr>
                <w:rFonts w:ascii="Arial Narrow" w:hAnsi="Arial Narrow" w:cs="Calibri"/>
                <w:color w:val="000000"/>
                <w:sz w:val="20"/>
                <w:szCs w:val="20"/>
              </w:rPr>
              <w:t>20</w:t>
            </w:r>
          </w:p>
        </w:tc>
        <w:tc>
          <w:tcPr>
            <w:tcW w:w="1350" w:type="dxa"/>
            <w:vAlign w:val="bottom"/>
          </w:tcPr>
          <w:p w14:paraId="793650EC" w14:textId="485202FA"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2000-2023</w:t>
            </w:r>
          </w:p>
        </w:tc>
        <w:tc>
          <w:tcPr>
            <w:tcW w:w="1170" w:type="dxa"/>
            <w:vAlign w:val="bottom"/>
          </w:tcPr>
          <w:p w14:paraId="33CB6698" w14:textId="0D49159A"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198</w:t>
            </w:r>
          </w:p>
        </w:tc>
      </w:tr>
      <w:tr w:rsidR="008259B5" w:rsidRPr="002B49BC" w14:paraId="482A5C7D" w14:textId="77777777" w:rsidTr="00546B42">
        <w:trPr>
          <w:trHeight w:val="312"/>
        </w:trPr>
        <w:tc>
          <w:tcPr>
            <w:tcW w:w="1345" w:type="dxa"/>
            <w:tcBorders>
              <w:top w:val="nil"/>
              <w:bottom w:val="nil"/>
            </w:tcBorders>
            <w:vAlign w:val="bottom"/>
          </w:tcPr>
          <w:p w14:paraId="408E7246"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top w:val="nil"/>
              <w:bottom w:val="nil"/>
            </w:tcBorders>
            <w:vAlign w:val="bottom"/>
          </w:tcPr>
          <w:p w14:paraId="33C2C385" w14:textId="21228BBE"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vAlign w:val="bottom"/>
          </w:tcPr>
          <w:p w14:paraId="51D381DC" w14:textId="564C149A"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4AROA202.32</w:t>
            </w:r>
          </w:p>
        </w:tc>
        <w:tc>
          <w:tcPr>
            <w:tcW w:w="1170" w:type="dxa"/>
            <w:vAlign w:val="bottom"/>
          </w:tcPr>
          <w:p w14:paraId="3A29A5C5"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170" w:type="dxa"/>
            <w:vAlign w:val="bottom"/>
          </w:tcPr>
          <w:p w14:paraId="6AC95007"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350" w:type="dxa"/>
            <w:vAlign w:val="bottom"/>
          </w:tcPr>
          <w:p w14:paraId="48101819" w14:textId="3FBF3681"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2004-2009</w:t>
            </w:r>
          </w:p>
        </w:tc>
        <w:tc>
          <w:tcPr>
            <w:tcW w:w="1170" w:type="dxa"/>
            <w:vAlign w:val="bottom"/>
          </w:tcPr>
          <w:p w14:paraId="2C796527" w14:textId="259AD58C"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6</w:t>
            </w:r>
          </w:p>
        </w:tc>
      </w:tr>
      <w:tr w:rsidR="008259B5" w:rsidRPr="002B49BC" w14:paraId="05049B10" w14:textId="77777777" w:rsidTr="00546B42">
        <w:trPr>
          <w:trHeight w:val="312"/>
        </w:trPr>
        <w:tc>
          <w:tcPr>
            <w:tcW w:w="1345" w:type="dxa"/>
            <w:tcBorders>
              <w:top w:val="nil"/>
              <w:bottom w:val="nil"/>
            </w:tcBorders>
            <w:vAlign w:val="bottom"/>
          </w:tcPr>
          <w:p w14:paraId="76626002"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top w:val="nil"/>
              <w:bottom w:val="nil"/>
            </w:tcBorders>
            <w:vAlign w:val="bottom"/>
          </w:tcPr>
          <w:p w14:paraId="370A3313" w14:textId="4557C0DB"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vAlign w:val="bottom"/>
          </w:tcPr>
          <w:p w14:paraId="1D562D9B" w14:textId="3840F94D"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4AROA204.76</w:t>
            </w:r>
          </w:p>
        </w:tc>
        <w:tc>
          <w:tcPr>
            <w:tcW w:w="1170" w:type="dxa"/>
            <w:vAlign w:val="bottom"/>
          </w:tcPr>
          <w:p w14:paraId="0E2054A6"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170" w:type="dxa"/>
            <w:vAlign w:val="bottom"/>
          </w:tcPr>
          <w:p w14:paraId="095C26C5"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350" w:type="dxa"/>
            <w:vAlign w:val="bottom"/>
          </w:tcPr>
          <w:p w14:paraId="2F480B77" w14:textId="2FA8D30B"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2005-2009</w:t>
            </w:r>
          </w:p>
        </w:tc>
        <w:tc>
          <w:tcPr>
            <w:tcW w:w="1170" w:type="dxa"/>
            <w:vAlign w:val="bottom"/>
          </w:tcPr>
          <w:p w14:paraId="79EC9B09" w14:textId="7AB51F30"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6</w:t>
            </w:r>
          </w:p>
        </w:tc>
      </w:tr>
      <w:tr w:rsidR="008259B5" w:rsidRPr="002B49BC" w14:paraId="27114A94" w14:textId="77777777" w:rsidTr="00546B42">
        <w:trPr>
          <w:trHeight w:val="312"/>
        </w:trPr>
        <w:tc>
          <w:tcPr>
            <w:tcW w:w="1345" w:type="dxa"/>
            <w:tcBorders>
              <w:top w:val="nil"/>
              <w:bottom w:val="nil"/>
            </w:tcBorders>
            <w:vAlign w:val="bottom"/>
          </w:tcPr>
          <w:p w14:paraId="343B22B6"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top w:val="nil"/>
              <w:bottom w:val="nil"/>
            </w:tcBorders>
            <w:vAlign w:val="bottom"/>
          </w:tcPr>
          <w:p w14:paraId="5BAF76A8" w14:textId="528E5A50"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vAlign w:val="bottom"/>
          </w:tcPr>
          <w:p w14:paraId="7568035D" w14:textId="2357D80D"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4AROA205.67</w:t>
            </w:r>
          </w:p>
        </w:tc>
        <w:tc>
          <w:tcPr>
            <w:tcW w:w="1170" w:type="dxa"/>
            <w:vAlign w:val="bottom"/>
          </w:tcPr>
          <w:p w14:paraId="3255FC0D" w14:textId="7C083918"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2000</w:t>
            </w:r>
          </w:p>
        </w:tc>
        <w:tc>
          <w:tcPr>
            <w:tcW w:w="1170" w:type="dxa"/>
            <w:vAlign w:val="bottom"/>
          </w:tcPr>
          <w:p w14:paraId="27B33C8A" w14:textId="62834DC5"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1</w:t>
            </w:r>
          </w:p>
        </w:tc>
        <w:tc>
          <w:tcPr>
            <w:tcW w:w="1350" w:type="dxa"/>
            <w:vAlign w:val="bottom"/>
          </w:tcPr>
          <w:p w14:paraId="22264E5B" w14:textId="624B68BD"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2000-2009</w:t>
            </w:r>
          </w:p>
        </w:tc>
        <w:tc>
          <w:tcPr>
            <w:tcW w:w="1170" w:type="dxa"/>
            <w:vAlign w:val="bottom"/>
          </w:tcPr>
          <w:p w14:paraId="3298B2D4" w14:textId="01FE0344"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3</w:t>
            </w:r>
          </w:p>
        </w:tc>
      </w:tr>
      <w:tr w:rsidR="008259B5" w:rsidRPr="002B49BC" w14:paraId="3D3155F9" w14:textId="77777777" w:rsidTr="00546B42">
        <w:trPr>
          <w:trHeight w:val="312"/>
        </w:trPr>
        <w:tc>
          <w:tcPr>
            <w:tcW w:w="1345" w:type="dxa"/>
            <w:tcBorders>
              <w:top w:val="nil"/>
              <w:bottom w:val="nil"/>
            </w:tcBorders>
            <w:vAlign w:val="bottom"/>
          </w:tcPr>
          <w:p w14:paraId="1EDE0395"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top w:val="nil"/>
              <w:bottom w:val="nil"/>
            </w:tcBorders>
            <w:vAlign w:val="bottom"/>
          </w:tcPr>
          <w:p w14:paraId="463C2E6A" w14:textId="3A2B973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vAlign w:val="bottom"/>
          </w:tcPr>
          <w:p w14:paraId="0DCD76B2" w14:textId="2B6B81D7"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4AROA205.73</w:t>
            </w:r>
          </w:p>
        </w:tc>
        <w:tc>
          <w:tcPr>
            <w:tcW w:w="1170" w:type="dxa"/>
            <w:vAlign w:val="bottom"/>
          </w:tcPr>
          <w:p w14:paraId="1E4F4A81"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170" w:type="dxa"/>
            <w:vAlign w:val="bottom"/>
          </w:tcPr>
          <w:p w14:paraId="62EA0769"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350" w:type="dxa"/>
            <w:vAlign w:val="bottom"/>
          </w:tcPr>
          <w:p w14:paraId="472B2B19" w14:textId="5660D10A"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2003-2006</w:t>
            </w:r>
          </w:p>
        </w:tc>
        <w:tc>
          <w:tcPr>
            <w:tcW w:w="1170" w:type="dxa"/>
            <w:vAlign w:val="bottom"/>
          </w:tcPr>
          <w:p w14:paraId="5E2143C2" w14:textId="5B404336"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36</w:t>
            </w:r>
          </w:p>
        </w:tc>
      </w:tr>
      <w:tr w:rsidR="008259B5" w:rsidRPr="002B49BC" w14:paraId="67892120" w14:textId="77777777" w:rsidTr="00546B42">
        <w:trPr>
          <w:trHeight w:val="312"/>
        </w:trPr>
        <w:tc>
          <w:tcPr>
            <w:tcW w:w="1345" w:type="dxa"/>
            <w:tcBorders>
              <w:top w:val="nil"/>
              <w:bottom w:val="nil"/>
            </w:tcBorders>
            <w:vAlign w:val="bottom"/>
          </w:tcPr>
          <w:p w14:paraId="1400F125"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top w:val="nil"/>
              <w:bottom w:val="nil"/>
            </w:tcBorders>
            <w:vAlign w:val="bottom"/>
          </w:tcPr>
          <w:p w14:paraId="032FD403" w14:textId="3554DEE4"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vAlign w:val="bottom"/>
          </w:tcPr>
          <w:p w14:paraId="5CE53A13" w14:textId="23A1C8B3"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4AROA206.95</w:t>
            </w:r>
          </w:p>
        </w:tc>
        <w:tc>
          <w:tcPr>
            <w:tcW w:w="1170" w:type="dxa"/>
            <w:vAlign w:val="bottom"/>
          </w:tcPr>
          <w:p w14:paraId="60F1D394" w14:textId="109D4E33"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2000-2022</w:t>
            </w:r>
          </w:p>
        </w:tc>
        <w:tc>
          <w:tcPr>
            <w:tcW w:w="1170" w:type="dxa"/>
            <w:vAlign w:val="bottom"/>
          </w:tcPr>
          <w:p w14:paraId="384EBC18" w14:textId="0AE9114F"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1</w:t>
            </w:r>
            <w:r w:rsidR="00110B34">
              <w:rPr>
                <w:rFonts w:ascii="Arial Narrow" w:hAnsi="Arial Narrow" w:cs="Calibri"/>
                <w:color w:val="000000"/>
                <w:sz w:val="20"/>
                <w:szCs w:val="20"/>
              </w:rPr>
              <w:t>5</w:t>
            </w:r>
          </w:p>
        </w:tc>
        <w:tc>
          <w:tcPr>
            <w:tcW w:w="1350" w:type="dxa"/>
            <w:vAlign w:val="bottom"/>
          </w:tcPr>
          <w:p w14:paraId="3F92AAB4" w14:textId="5A2B44E9"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2000-2022</w:t>
            </w:r>
          </w:p>
        </w:tc>
        <w:tc>
          <w:tcPr>
            <w:tcW w:w="1170" w:type="dxa"/>
            <w:vAlign w:val="bottom"/>
          </w:tcPr>
          <w:p w14:paraId="78AB87E4" w14:textId="48FF71E4"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24</w:t>
            </w:r>
          </w:p>
        </w:tc>
      </w:tr>
      <w:tr w:rsidR="008259B5" w:rsidRPr="002B49BC" w14:paraId="4C7C2CFB" w14:textId="77777777" w:rsidTr="00546B42">
        <w:trPr>
          <w:trHeight w:val="312"/>
        </w:trPr>
        <w:tc>
          <w:tcPr>
            <w:tcW w:w="1345" w:type="dxa"/>
            <w:tcBorders>
              <w:top w:val="nil"/>
              <w:bottom w:val="nil"/>
            </w:tcBorders>
            <w:vAlign w:val="bottom"/>
          </w:tcPr>
          <w:p w14:paraId="04760DDE"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top w:val="nil"/>
              <w:bottom w:val="nil"/>
            </w:tcBorders>
            <w:vAlign w:val="bottom"/>
          </w:tcPr>
          <w:p w14:paraId="3FFE9DF1" w14:textId="13F7965D"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vAlign w:val="bottom"/>
          </w:tcPr>
          <w:p w14:paraId="25FE0B68" w14:textId="2AAD4BDB"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4AROA207.08</w:t>
            </w:r>
          </w:p>
        </w:tc>
        <w:tc>
          <w:tcPr>
            <w:tcW w:w="1170" w:type="dxa"/>
            <w:vAlign w:val="bottom"/>
          </w:tcPr>
          <w:p w14:paraId="1E085AFE"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170" w:type="dxa"/>
            <w:vAlign w:val="bottom"/>
          </w:tcPr>
          <w:p w14:paraId="41977D51"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350" w:type="dxa"/>
            <w:vAlign w:val="bottom"/>
          </w:tcPr>
          <w:p w14:paraId="6BAF6B5C" w14:textId="5543E42D"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2005-2009</w:t>
            </w:r>
          </w:p>
        </w:tc>
        <w:tc>
          <w:tcPr>
            <w:tcW w:w="1170" w:type="dxa"/>
            <w:vAlign w:val="bottom"/>
          </w:tcPr>
          <w:p w14:paraId="43B68795" w14:textId="28958776"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5</w:t>
            </w:r>
          </w:p>
        </w:tc>
      </w:tr>
      <w:tr w:rsidR="008259B5" w:rsidRPr="002B49BC" w14:paraId="7FBDEA57" w14:textId="77777777" w:rsidTr="00546B42">
        <w:trPr>
          <w:trHeight w:val="312"/>
        </w:trPr>
        <w:tc>
          <w:tcPr>
            <w:tcW w:w="1345" w:type="dxa"/>
            <w:tcBorders>
              <w:top w:val="nil"/>
              <w:bottom w:val="nil"/>
            </w:tcBorders>
            <w:vAlign w:val="bottom"/>
          </w:tcPr>
          <w:p w14:paraId="746438BD"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top w:val="nil"/>
              <w:bottom w:val="nil"/>
            </w:tcBorders>
            <w:vAlign w:val="bottom"/>
          </w:tcPr>
          <w:p w14:paraId="43E199B4" w14:textId="1C5036D8"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vAlign w:val="bottom"/>
          </w:tcPr>
          <w:p w14:paraId="40D26FB9" w14:textId="77F47EC2"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4AROA210.56</w:t>
            </w:r>
          </w:p>
        </w:tc>
        <w:tc>
          <w:tcPr>
            <w:tcW w:w="1170" w:type="dxa"/>
            <w:vAlign w:val="bottom"/>
          </w:tcPr>
          <w:p w14:paraId="6414E42C" w14:textId="79AFE257"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2009</w:t>
            </w:r>
          </w:p>
        </w:tc>
        <w:tc>
          <w:tcPr>
            <w:tcW w:w="1170" w:type="dxa"/>
            <w:vAlign w:val="bottom"/>
          </w:tcPr>
          <w:p w14:paraId="10824F45" w14:textId="6B8B2C33"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w:t>
            </w:r>
          </w:p>
        </w:tc>
        <w:tc>
          <w:tcPr>
            <w:tcW w:w="1350" w:type="dxa"/>
            <w:vAlign w:val="bottom"/>
          </w:tcPr>
          <w:p w14:paraId="7227B107" w14:textId="552B7F76"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2009</w:t>
            </w:r>
          </w:p>
        </w:tc>
        <w:tc>
          <w:tcPr>
            <w:tcW w:w="1170" w:type="dxa"/>
            <w:vAlign w:val="bottom"/>
          </w:tcPr>
          <w:p w14:paraId="77BF44C3" w14:textId="00C5B11B"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w:t>
            </w:r>
          </w:p>
        </w:tc>
      </w:tr>
      <w:tr w:rsidR="008259B5" w:rsidRPr="002B49BC" w14:paraId="602D9CE7" w14:textId="77777777" w:rsidTr="00546B42">
        <w:trPr>
          <w:trHeight w:val="312"/>
        </w:trPr>
        <w:tc>
          <w:tcPr>
            <w:tcW w:w="1345" w:type="dxa"/>
            <w:tcBorders>
              <w:top w:val="nil"/>
              <w:bottom w:val="nil"/>
            </w:tcBorders>
            <w:vAlign w:val="bottom"/>
          </w:tcPr>
          <w:p w14:paraId="1B653CB3"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top w:val="nil"/>
              <w:bottom w:val="nil"/>
            </w:tcBorders>
            <w:vAlign w:val="bottom"/>
          </w:tcPr>
          <w:p w14:paraId="15D66CBB" w14:textId="4C54B3C4"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vAlign w:val="bottom"/>
          </w:tcPr>
          <w:p w14:paraId="5E160345" w14:textId="09A5C71F"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4AROA212.17</w:t>
            </w:r>
          </w:p>
        </w:tc>
        <w:tc>
          <w:tcPr>
            <w:tcW w:w="1170" w:type="dxa"/>
            <w:vAlign w:val="bottom"/>
          </w:tcPr>
          <w:p w14:paraId="0D8856E5" w14:textId="37D49833"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2000-2022</w:t>
            </w:r>
          </w:p>
        </w:tc>
        <w:tc>
          <w:tcPr>
            <w:tcW w:w="1170" w:type="dxa"/>
            <w:vAlign w:val="bottom"/>
          </w:tcPr>
          <w:p w14:paraId="427A4717" w14:textId="6873E18C"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1</w:t>
            </w:r>
            <w:r w:rsidR="00110B34">
              <w:rPr>
                <w:rFonts w:ascii="Arial Narrow" w:hAnsi="Arial Narrow" w:cs="Calibri"/>
                <w:color w:val="000000"/>
                <w:sz w:val="20"/>
                <w:szCs w:val="20"/>
              </w:rPr>
              <w:t>6</w:t>
            </w:r>
          </w:p>
        </w:tc>
        <w:tc>
          <w:tcPr>
            <w:tcW w:w="1350" w:type="dxa"/>
            <w:vAlign w:val="bottom"/>
          </w:tcPr>
          <w:p w14:paraId="68060429" w14:textId="2D52F21C"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2000-2022</w:t>
            </w:r>
          </w:p>
        </w:tc>
        <w:tc>
          <w:tcPr>
            <w:tcW w:w="1170" w:type="dxa"/>
            <w:vAlign w:val="bottom"/>
          </w:tcPr>
          <w:p w14:paraId="49DA8BAF" w14:textId="621ED724"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47</w:t>
            </w:r>
          </w:p>
        </w:tc>
      </w:tr>
      <w:tr w:rsidR="008259B5" w:rsidRPr="002B49BC" w14:paraId="17E1CF54" w14:textId="77777777" w:rsidTr="00546B42">
        <w:trPr>
          <w:trHeight w:val="312"/>
        </w:trPr>
        <w:tc>
          <w:tcPr>
            <w:tcW w:w="1345" w:type="dxa"/>
            <w:tcBorders>
              <w:top w:val="nil"/>
              <w:bottom w:val="nil"/>
            </w:tcBorders>
            <w:vAlign w:val="bottom"/>
          </w:tcPr>
          <w:p w14:paraId="6DE4F4C8"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top w:val="nil"/>
              <w:bottom w:val="nil"/>
            </w:tcBorders>
            <w:vAlign w:val="bottom"/>
          </w:tcPr>
          <w:p w14:paraId="038F94FF" w14:textId="688141FD"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vAlign w:val="bottom"/>
          </w:tcPr>
          <w:p w14:paraId="3653A353" w14:textId="5DAE8146"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4AROA212.99</w:t>
            </w:r>
          </w:p>
        </w:tc>
        <w:tc>
          <w:tcPr>
            <w:tcW w:w="1170" w:type="dxa"/>
            <w:vAlign w:val="bottom"/>
          </w:tcPr>
          <w:p w14:paraId="41AD72D5"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170" w:type="dxa"/>
            <w:vAlign w:val="bottom"/>
          </w:tcPr>
          <w:p w14:paraId="361B1A64"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350" w:type="dxa"/>
            <w:vAlign w:val="bottom"/>
          </w:tcPr>
          <w:p w14:paraId="48D02CF8" w14:textId="0AA24E1F"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2009</w:t>
            </w:r>
          </w:p>
        </w:tc>
        <w:tc>
          <w:tcPr>
            <w:tcW w:w="1170" w:type="dxa"/>
            <w:vAlign w:val="bottom"/>
          </w:tcPr>
          <w:p w14:paraId="7559FA3C" w14:textId="0F9BC020"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w:t>
            </w:r>
          </w:p>
        </w:tc>
      </w:tr>
      <w:tr w:rsidR="008259B5" w:rsidRPr="002B49BC" w14:paraId="2233FED6" w14:textId="77777777" w:rsidTr="00546B42">
        <w:trPr>
          <w:trHeight w:val="312"/>
        </w:trPr>
        <w:tc>
          <w:tcPr>
            <w:tcW w:w="1345" w:type="dxa"/>
            <w:tcBorders>
              <w:top w:val="nil"/>
              <w:bottom w:val="nil"/>
            </w:tcBorders>
            <w:vAlign w:val="bottom"/>
          </w:tcPr>
          <w:p w14:paraId="0569DA18"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top w:val="nil"/>
              <w:bottom w:val="nil"/>
            </w:tcBorders>
            <w:vAlign w:val="bottom"/>
          </w:tcPr>
          <w:p w14:paraId="48E07FFE" w14:textId="41CD744E"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vAlign w:val="bottom"/>
          </w:tcPr>
          <w:p w14:paraId="679B12BB" w14:textId="06E53EE8"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4AROA215.13</w:t>
            </w:r>
          </w:p>
        </w:tc>
        <w:tc>
          <w:tcPr>
            <w:tcW w:w="1170" w:type="dxa"/>
            <w:vAlign w:val="bottom"/>
          </w:tcPr>
          <w:p w14:paraId="432A7982" w14:textId="23AAFC56"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2003-2022</w:t>
            </w:r>
          </w:p>
        </w:tc>
        <w:tc>
          <w:tcPr>
            <w:tcW w:w="1170" w:type="dxa"/>
            <w:vAlign w:val="bottom"/>
          </w:tcPr>
          <w:p w14:paraId="4F844771" w14:textId="70422546"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1</w:t>
            </w:r>
            <w:r w:rsidR="00110B34">
              <w:rPr>
                <w:rFonts w:ascii="Arial Narrow" w:hAnsi="Arial Narrow" w:cs="Calibri"/>
                <w:color w:val="000000"/>
                <w:sz w:val="20"/>
                <w:szCs w:val="20"/>
              </w:rPr>
              <w:t>3</w:t>
            </w:r>
          </w:p>
        </w:tc>
        <w:tc>
          <w:tcPr>
            <w:tcW w:w="1350" w:type="dxa"/>
            <w:vAlign w:val="bottom"/>
          </w:tcPr>
          <w:p w14:paraId="20B5A460" w14:textId="02F22847"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2003-2022</w:t>
            </w:r>
          </w:p>
        </w:tc>
        <w:tc>
          <w:tcPr>
            <w:tcW w:w="1170" w:type="dxa"/>
            <w:vAlign w:val="bottom"/>
          </w:tcPr>
          <w:p w14:paraId="736FC70C" w14:textId="1EFFCCB0"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28</w:t>
            </w:r>
          </w:p>
        </w:tc>
      </w:tr>
      <w:tr w:rsidR="008259B5" w:rsidRPr="002B49BC" w14:paraId="0B33C964" w14:textId="77777777" w:rsidTr="00546B42">
        <w:trPr>
          <w:trHeight w:val="312"/>
        </w:trPr>
        <w:tc>
          <w:tcPr>
            <w:tcW w:w="1345" w:type="dxa"/>
            <w:tcBorders>
              <w:top w:val="nil"/>
              <w:bottom w:val="nil"/>
            </w:tcBorders>
            <w:vAlign w:val="bottom"/>
          </w:tcPr>
          <w:p w14:paraId="690E89B3"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top w:val="nil"/>
              <w:bottom w:val="nil"/>
            </w:tcBorders>
            <w:vAlign w:val="bottom"/>
          </w:tcPr>
          <w:p w14:paraId="6DC586C5" w14:textId="01F3B5AC"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vAlign w:val="bottom"/>
          </w:tcPr>
          <w:p w14:paraId="4DD01F3D" w14:textId="2DD54D2B"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4AROA216.33</w:t>
            </w:r>
          </w:p>
        </w:tc>
        <w:tc>
          <w:tcPr>
            <w:tcW w:w="1170" w:type="dxa"/>
            <w:vAlign w:val="bottom"/>
          </w:tcPr>
          <w:p w14:paraId="444B41C0"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170" w:type="dxa"/>
            <w:vAlign w:val="bottom"/>
          </w:tcPr>
          <w:p w14:paraId="16262D62"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350" w:type="dxa"/>
            <w:vAlign w:val="bottom"/>
          </w:tcPr>
          <w:p w14:paraId="51A7B8C8" w14:textId="6AFE45F5"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2009</w:t>
            </w:r>
          </w:p>
        </w:tc>
        <w:tc>
          <w:tcPr>
            <w:tcW w:w="1170" w:type="dxa"/>
            <w:vAlign w:val="bottom"/>
          </w:tcPr>
          <w:p w14:paraId="2A68A2A1" w14:textId="37CEB1F4"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w:t>
            </w:r>
          </w:p>
        </w:tc>
      </w:tr>
      <w:tr w:rsidR="008259B5" w:rsidRPr="002B49BC" w14:paraId="58EE66EE" w14:textId="77777777" w:rsidTr="00546B42">
        <w:trPr>
          <w:trHeight w:val="312"/>
        </w:trPr>
        <w:tc>
          <w:tcPr>
            <w:tcW w:w="1345" w:type="dxa"/>
            <w:tcBorders>
              <w:top w:val="nil"/>
              <w:bottom w:val="nil"/>
            </w:tcBorders>
            <w:vAlign w:val="bottom"/>
          </w:tcPr>
          <w:p w14:paraId="4D031EEB"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top w:val="nil"/>
              <w:bottom w:val="nil"/>
            </w:tcBorders>
            <w:vAlign w:val="bottom"/>
          </w:tcPr>
          <w:p w14:paraId="0BC60407" w14:textId="7D8D3915"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vAlign w:val="bottom"/>
          </w:tcPr>
          <w:p w14:paraId="46952E2D" w14:textId="49DEC5B4"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4AROA216.75</w:t>
            </w:r>
          </w:p>
        </w:tc>
        <w:tc>
          <w:tcPr>
            <w:tcW w:w="1170" w:type="dxa"/>
            <w:vAlign w:val="bottom"/>
          </w:tcPr>
          <w:p w14:paraId="64193F93" w14:textId="02535433"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2017-2022</w:t>
            </w:r>
          </w:p>
        </w:tc>
        <w:tc>
          <w:tcPr>
            <w:tcW w:w="1170" w:type="dxa"/>
            <w:vAlign w:val="bottom"/>
          </w:tcPr>
          <w:p w14:paraId="37A8D254" w14:textId="51D1D8C8"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7</w:t>
            </w:r>
          </w:p>
        </w:tc>
        <w:tc>
          <w:tcPr>
            <w:tcW w:w="1350" w:type="dxa"/>
            <w:vAlign w:val="bottom"/>
          </w:tcPr>
          <w:p w14:paraId="6299B7E1" w14:textId="7A764998"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2017-2023</w:t>
            </w:r>
          </w:p>
        </w:tc>
        <w:tc>
          <w:tcPr>
            <w:tcW w:w="1170" w:type="dxa"/>
            <w:vAlign w:val="bottom"/>
          </w:tcPr>
          <w:p w14:paraId="3E302B00" w14:textId="26F2545E"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25</w:t>
            </w:r>
          </w:p>
        </w:tc>
      </w:tr>
      <w:tr w:rsidR="008259B5" w:rsidRPr="002B49BC" w14:paraId="6BE3C2F0" w14:textId="77777777" w:rsidTr="00546B42">
        <w:trPr>
          <w:trHeight w:val="312"/>
        </w:trPr>
        <w:tc>
          <w:tcPr>
            <w:tcW w:w="1345" w:type="dxa"/>
            <w:tcBorders>
              <w:top w:val="nil"/>
              <w:bottom w:val="nil"/>
            </w:tcBorders>
            <w:vAlign w:val="bottom"/>
          </w:tcPr>
          <w:p w14:paraId="5F0461B3"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top w:val="nil"/>
              <w:bottom w:val="nil"/>
            </w:tcBorders>
            <w:vAlign w:val="bottom"/>
          </w:tcPr>
          <w:p w14:paraId="4624EBD0" w14:textId="2DD3E44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vAlign w:val="bottom"/>
          </w:tcPr>
          <w:p w14:paraId="117777F6" w14:textId="163D01F4"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4AROA217.38</w:t>
            </w:r>
          </w:p>
        </w:tc>
        <w:tc>
          <w:tcPr>
            <w:tcW w:w="1170" w:type="dxa"/>
            <w:vAlign w:val="bottom"/>
          </w:tcPr>
          <w:p w14:paraId="2F41D356" w14:textId="3D80B918"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2020-2022</w:t>
            </w:r>
          </w:p>
        </w:tc>
        <w:tc>
          <w:tcPr>
            <w:tcW w:w="1170" w:type="dxa"/>
            <w:vAlign w:val="bottom"/>
          </w:tcPr>
          <w:p w14:paraId="0B556236" w14:textId="0E49A430"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5</w:t>
            </w:r>
          </w:p>
        </w:tc>
        <w:tc>
          <w:tcPr>
            <w:tcW w:w="1350" w:type="dxa"/>
            <w:vAlign w:val="bottom"/>
          </w:tcPr>
          <w:p w14:paraId="65A56E88" w14:textId="3A2C9071"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2020-2022</w:t>
            </w:r>
          </w:p>
        </w:tc>
        <w:tc>
          <w:tcPr>
            <w:tcW w:w="1170" w:type="dxa"/>
            <w:vAlign w:val="bottom"/>
          </w:tcPr>
          <w:p w14:paraId="168E4B19" w14:textId="5AAE1212"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5</w:t>
            </w:r>
          </w:p>
        </w:tc>
      </w:tr>
      <w:tr w:rsidR="008259B5" w:rsidRPr="002B49BC" w14:paraId="1684E880" w14:textId="77777777" w:rsidTr="00546B42">
        <w:trPr>
          <w:trHeight w:val="312"/>
        </w:trPr>
        <w:tc>
          <w:tcPr>
            <w:tcW w:w="1345" w:type="dxa"/>
            <w:tcBorders>
              <w:top w:val="nil"/>
              <w:bottom w:val="nil"/>
            </w:tcBorders>
            <w:vAlign w:val="bottom"/>
          </w:tcPr>
          <w:p w14:paraId="7C1ED8C3"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top w:val="nil"/>
              <w:bottom w:val="nil"/>
            </w:tcBorders>
            <w:vAlign w:val="bottom"/>
          </w:tcPr>
          <w:p w14:paraId="466EA31B" w14:textId="34E935C2"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vAlign w:val="bottom"/>
          </w:tcPr>
          <w:p w14:paraId="1D741CCD" w14:textId="63FAC7D6"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4AROA218.11</w:t>
            </w:r>
          </w:p>
        </w:tc>
        <w:tc>
          <w:tcPr>
            <w:tcW w:w="1170" w:type="dxa"/>
            <w:vAlign w:val="bottom"/>
          </w:tcPr>
          <w:p w14:paraId="0A819DB9" w14:textId="26D1559A"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2020-2022</w:t>
            </w:r>
          </w:p>
        </w:tc>
        <w:tc>
          <w:tcPr>
            <w:tcW w:w="1170" w:type="dxa"/>
            <w:vAlign w:val="bottom"/>
          </w:tcPr>
          <w:p w14:paraId="298C6CFE" w14:textId="47CDCE42"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5</w:t>
            </w:r>
          </w:p>
        </w:tc>
        <w:tc>
          <w:tcPr>
            <w:tcW w:w="1350" w:type="dxa"/>
            <w:vAlign w:val="bottom"/>
          </w:tcPr>
          <w:p w14:paraId="0B3E1B40" w14:textId="3D6EA799"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2020-2022</w:t>
            </w:r>
          </w:p>
        </w:tc>
        <w:tc>
          <w:tcPr>
            <w:tcW w:w="1170" w:type="dxa"/>
            <w:vAlign w:val="bottom"/>
          </w:tcPr>
          <w:p w14:paraId="68A82AF5" w14:textId="59206874"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5</w:t>
            </w:r>
          </w:p>
        </w:tc>
      </w:tr>
      <w:tr w:rsidR="008259B5" w:rsidRPr="002B49BC" w14:paraId="00A7C01B" w14:textId="77777777" w:rsidTr="00546B42">
        <w:trPr>
          <w:trHeight w:val="312"/>
        </w:trPr>
        <w:tc>
          <w:tcPr>
            <w:tcW w:w="1345" w:type="dxa"/>
            <w:tcBorders>
              <w:top w:val="nil"/>
              <w:bottom w:val="nil"/>
            </w:tcBorders>
            <w:vAlign w:val="bottom"/>
          </w:tcPr>
          <w:p w14:paraId="0DB773BC"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top w:val="nil"/>
              <w:bottom w:val="nil"/>
            </w:tcBorders>
            <w:vAlign w:val="bottom"/>
          </w:tcPr>
          <w:p w14:paraId="51DFADD1" w14:textId="71C035A1"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vAlign w:val="bottom"/>
          </w:tcPr>
          <w:p w14:paraId="0D1BFF73" w14:textId="74C71C36"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4AROA219.08</w:t>
            </w:r>
          </w:p>
        </w:tc>
        <w:tc>
          <w:tcPr>
            <w:tcW w:w="1170" w:type="dxa"/>
            <w:vAlign w:val="bottom"/>
          </w:tcPr>
          <w:p w14:paraId="06238E10" w14:textId="15922CBF"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2020-2022</w:t>
            </w:r>
          </w:p>
        </w:tc>
        <w:tc>
          <w:tcPr>
            <w:tcW w:w="1170" w:type="dxa"/>
            <w:vAlign w:val="bottom"/>
          </w:tcPr>
          <w:p w14:paraId="1D0DA088" w14:textId="23CB48DF"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5</w:t>
            </w:r>
          </w:p>
        </w:tc>
        <w:tc>
          <w:tcPr>
            <w:tcW w:w="1350" w:type="dxa"/>
            <w:vAlign w:val="bottom"/>
          </w:tcPr>
          <w:p w14:paraId="2ED43509" w14:textId="48B7504E"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2020-2022</w:t>
            </w:r>
          </w:p>
        </w:tc>
        <w:tc>
          <w:tcPr>
            <w:tcW w:w="1170" w:type="dxa"/>
            <w:vAlign w:val="bottom"/>
          </w:tcPr>
          <w:p w14:paraId="1E035384" w14:textId="3B908A24"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5</w:t>
            </w:r>
          </w:p>
        </w:tc>
      </w:tr>
      <w:tr w:rsidR="008259B5" w:rsidRPr="002B49BC" w14:paraId="7A98F56A" w14:textId="77777777" w:rsidTr="00546B42">
        <w:trPr>
          <w:trHeight w:val="312"/>
        </w:trPr>
        <w:tc>
          <w:tcPr>
            <w:tcW w:w="1345" w:type="dxa"/>
            <w:tcBorders>
              <w:top w:val="nil"/>
              <w:bottom w:val="nil"/>
            </w:tcBorders>
            <w:vAlign w:val="bottom"/>
          </w:tcPr>
          <w:p w14:paraId="0794303C"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top w:val="nil"/>
              <w:bottom w:val="nil"/>
            </w:tcBorders>
            <w:vAlign w:val="bottom"/>
          </w:tcPr>
          <w:p w14:paraId="5B0B1848" w14:textId="75D65FBD"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vAlign w:val="bottom"/>
          </w:tcPr>
          <w:p w14:paraId="53AF5B9F" w14:textId="15E74E9B"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4AROA219.99</w:t>
            </w:r>
          </w:p>
        </w:tc>
        <w:tc>
          <w:tcPr>
            <w:tcW w:w="1170" w:type="dxa"/>
            <w:vAlign w:val="bottom"/>
          </w:tcPr>
          <w:p w14:paraId="095AB7F5"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170" w:type="dxa"/>
            <w:vAlign w:val="bottom"/>
          </w:tcPr>
          <w:p w14:paraId="784FF9A2"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350" w:type="dxa"/>
            <w:vAlign w:val="bottom"/>
          </w:tcPr>
          <w:p w14:paraId="2F28AE91" w14:textId="65BF5B16"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2005</w:t>
            </w:r>
          </w:p>
        </w:tc>
        <w:tc>
          <w:tcPr>
            <w:tcW w:w="1170" w:type="dxa"/>
            <w:vAlign w:val="bottom"/>
          </w:tcPr>
          <w:p w14:paraId="46BDCE1C" w14:textId="79163F78"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1</w:t>
            </w:r>
          </w:p>
        </w:tc>
      </w:tr>
      <w:tr w:rsidR="008259B5" w:rsidRPr="002B49BC" w14:paraId="2BCE041E" w14:textId="77777777" w:rsidTr="00546B42">
        <w:trPr>
          <w:trHeight w:val="312"/>
        </w:trPr>
        <w:tc>
          <w:tcPr>
            <w:tcW w:w="1345" w:type="dxa"/>
            <w:tcBorders>
              <w:top w:val="nil"/>
              <w:bottom w:val="nil"/>
            </w:tcBorders>
            <w:vAlign w:val="bottom"/>
          </w:tcPr>
          <w:p w14:paraId="1B4BFE4F"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top w:val="nil"/>
              <w:bottom w:val="nil"/>
            </w:tcBorders>
            <w:vAlign w:val="bottom"/>
          </w:tcPr>
          <w:p w14:paraId="4D67DB90" w14:textId="3C23D869"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vAlign w:val="bottom"/>
          </w:tcPr>
          <w:p w14:paraId="245F0C5D" w14:textId="0C3F0597"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4AROA220.94</w:t>
            </w:r>
          </w:p>
        </w:tc>
        <w:tc>
          <w:tcPr>
            <w:tcW w:w="1170" w:type="dxa"/>
            <w:vAlign w:val="bottom"/>
          </w:tcPr>
          <w:p w14:paraId="6D6A1896"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170" w:type="dxa"/>
            <w:vAlign w:val="bottom"/>
          </w:tcPr>
          <w:p w14:paraId="1A3E134D"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350" w:type="dxa"/>
            <w:vAlign w:val="bottom"/>
          </w:tcPr>
          <w:p w14:paraId="5A773E86" w14:textId="68C6288D"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2003-2005</w:t>
            </w:r>
          </w:p>
        </w:tc>
        <w:tc>
          <w:tcPr>
            <w:tcW w:w="1170" w:type="dxa"/>
            <w:vAlign w:val="bottom"/>
          </w:tcPr>
          <w:p w14:paraId="2BA67472" w14:textId="150E99FE"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12</w:t>
            </w:r>
          </w:p>
        </w:tc>
      </w:tr>
      <w:tr w:rsidR="008259B5" w:rsidRPr="002B49BC" w14:paraId="6B7AEE55" w14:textId="77777777" w:rsidTr="00546B42">
        <w:trPr>
          <w:trHeight w:val="312"/>
        </w:trPr>
        <w:tc>
          <w:tcPr>
            <w:tcW w:w="1345" w:type="dxa"/>
            <w:tcBorders>
              <w:top w:val="nil"/>
              <w:bottom w:val="nil"/>
            </w:tcBorders>
            <w:vAlign w:val="bottom"/>
          </w:tcPr>
          <w:p w14:paraId="5EAB0208"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top w:val="nil"/>
              <w:bottom w:val="nil"/>
            </w:tcBorders>
            <w:vAlign w:val="bottom"/>
          </w:tcPr>
          <w:p w14:paraId="6179CD43" w14:textId="46320CA3"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vAlign w:val="bottom"/>
          </w:tcPr>
          <w:p w14:paraId="18C473CF" w14:textId="7E16D6FA"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4AROA221.95</w:t>
            </w:r>
          </w:p>
        </w:tc>
        <w:tc>
          <w:tcPr>
            <w:tcW w:w="1170" w:type="dxa"/>
            <w:vAlign w:val="bottom"/>
          </w:tcPr>
          <w:p w14:paraId="439B9854" w14:textId="4D422909"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2002-2006</w:t>
            </w:r>
          </w:p>
        </w:tc>
        <w:tc>
          <w:tcPr>
            <w:tcW w:w="1170" w:type="dxa"/>
            <w:vAlign w:val="bottom"/>
          </w:tcPr>
          <w:p w14:paraId="432F96F9" w14:textId="7E2D0D9D"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w:t>
            </w:r>
          </w:p>
        </w:tc>
        <w:tc>
          <w:tcPr>
            <w:tcW w:w="1350" w:type="dxa"/>
            <w:vAlign w:val="bottom"/>
          </w:tcPr>
          <w:p w14:paraId="13BF9ABD" w14:textId="21704DF4"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2002-2006</w:t>
            </w:r>
          </w:p>
        </w:tc>
        <w:tc>
          <w:tcPr>
            <w:tcW w:w="1170" w:type="dxa"/>
            <w:vAlign w:val="bottom"/>
          </w:tcPr>
          <w:p w14:paraId="389FF4B1" w14:textId="6C6B3E50"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w:t>
            </w:r>
          </w:p>
        </w:tc>
      </w:tr>
      <w:tr w:rsidR="008259B5" w:rsidRPr="002B49BC" w14:paraId="583AD8CE" w14:textId="77777777" w:rsidTr="00546B42">
        <w:trPr>
          <w:trHeight w:val="312"/>
        </w:trPr>
        <w:tc>
          <w:tcPr>
            <w:tcW w:w="1345" w:type="dxa"/>
            <w:tcBorders>
              <w:top w:val="nil"/>
              <w:bottom w:val="nil"/>
            </w:tcBorders>
            <w:vAlign w:val="bottom"/>
          </w:tcPr>
          <w:p w14:paraId="7527F6C9"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top w:val="nil"/>
              <w:bottom w:val="nil"/>
            </w:tcBorders>
            <w:vAlign w:val="bottom"/>
          </w:tcPr>
          <w:p w14:paraId="19337EB9" w14:textId="091B908D"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vAlign w:val="bottom"/>
          </w:tcPr>
          <w:p w14:paraId="679142DD" w14:textId="35EF4DD4"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4AROA224.54</w:t>
            </w:r>
          </w:p>
        </w:tc>
        <w:tc>
          <w:tcPr>
            <w:tcW w:w="1170" w:type="dxa"/>
            <w:vAlign w:val="bottom"/>
          </w:tcPr>
          <w:p w14:paraId="4ABF1950" w14:textId="3889A02C"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2000-2022</w:t>
            </w:r>
          </w:p>
        </w:tc>
        <w:tc>
          <w:tcPr>
            <w:tcW w:w="1170" w:type="dxa"/>
            <w:vAlign w:val="bottom"/>
          </w:tcPr>
          <w:p w14:paraId="203AE3A9" w14:textId="02AC97EA"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1</w:t>
            </w:r>
            <w:r w:rsidR="00110B34">
              <w:rPr>
                <w:rFonts w:ascii="Arial Narrow" w:hAnsi="Arial Narrow" w:cs="Calibri"/>
                <w:color w:val="000000"/>
                <w:sz w:val="20"/>
                <w:szCs w:val="20"/>
              </w:rPr>
              <w:t>6</w:t>
            </w:r>
          </w:p>
        </w:tc>
        <w:tc>
          <w:tcPr>
            <w:tcW w:w="1350" w:type="dxa"/>
            <w:vAlign w:val="bottom"/>
          </w:tcPr>
          <w:p w14:paraId="0E3C9CD2" w14:textId="32E660B0"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2000-2022</w:t>
            </w:r>
          </w:p>
        </w:tc>
        <w:tc>
          <w:tcPr>
            <w:tcW w:w="1170" w:type="dxa"/>
            <w:vAlign w:val="bottom"/>
          </w:tcPr>
          <w:p w14:paraId="4658D046" w14:textId="4B181162"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27</w:t>
            </w:r>
          </w:p>
        </w:tc>
      </w:tr>
      <w:tr w:rsidR="008259B5" w:rsidRPr="002B49BC" w14:paraId="2BF5864E" w14:textId="77777777" w:rsidTr="00546B42">
        <w:trPr>
          <w:trHeight w:val="312"/>
        </w:trPr>
        <w:tc>
          <w:tcPr>
            <w:tcW w:w="1345" w:type="dxa"/>
            <w:tcBorders>
              <w:top w:val="nil"/>
              <w:bottom w:val="nil"/>
            </w:tcBorders>
            <w:vAlign w:val="bottom"/>
          </w:tcPr>
          <w:p w14:paraId="08CA9010"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top w:val="nil"/>
              <w:bottom w:val="nil"/>
            </w:tcBorders>
            <w:vAlign w:val="bottom"/>
          </w:tcPr>
          <w:p w14:paraId="5E057400" w14:textId="018521B5"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vAlign w:val="bottom"/>
          </w:tcPr>
          <w:p w14:paraId="12401B10" w14:textId="7673615D"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4AROA226.64</w:t>
            </w:r>
          </w:p>
        </w:tc>
        <w:tc>
          <w:tcPr>
            <w:tcW w:w="1170" w:type="dxa"/>
            <w:vAlign w:val="bottom"/>
          </w:tcPr>
          <w:p w14:paraId="405B0057" w14:textId="436B1DDA"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2017-2018</w:t>
            </w:r>
          </w:p>
        </w:tc>
        <w:tc>
          <w:tcPr>
            <w:tcW w:w="1170" w:type="dxa"/>
            <w:vAlign w:val="bottom"/>
          </w:tcPr>
          <w:p w14:paraId="7E28E70A" w14:textId="7F6511C7"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w:t>
            </w:r>
          </w:p>
        </w:tc>
        <w:tc>
          <w:tcPr>
            <w:tcW w:w="1350" w:type="dxa"/>
            <w:vAlign w:val="bottom"/>
          </w:tcPr>
          <w:p w14:paraId="023457E2" w14:textId="6367FA79"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2017-2018</w:t>
            </w:r>
          </w:p>
        </w:tc>
        <w:tc>
          <w:tcPr>
            <w:tcW w:w="1170" w:type="dxa"/>
            <w:vAlign w:val="bottom"/>
          </w:tcPr>
          <w:p w14:paraId="2D1C2649" w14:textId="2700E57A"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w:t>
            </w:r>
          </w:p>
        </w:tc>
      </w:tr>
      <w:tr w:rsidR="008259B5" w:rsidRPr="002B49BC" w14:paraId="7EDEEE86" w14:textId="77777777" w:rsidTr="00546B42">
        <w:trPr>
          <w:trHeight w:val="312"/>
        </w:trPr>
        <w:tc>
          <w:tcPr>
            <w:tcW w:w="1345" w:type="dxa"/>
            <w:tcBorders>
              <w:top w:val="nil"/>
              <w:bottom w:val="nil"/>
            </w:tcBorders>
            <w:vAlign w:val="bottom"/>
          </w:tcPr>
          <w:p w14:paraId="7C61408C"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top w:val="nil"/>
              <w:bottom w:val="nil"/>
            </w:tcBorders>
            <w:vAlign w:val="bottom"/>
          </w:tcPr>
          <w:p w14:paraId="39F62EB3" w14:textId="6B6ABDDF"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vAlign w:val="bottom"/>
          </w:tcPr>
          <w:p w14:paraId="346A5BF9" w14:textId="3384737F"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4AROA226.86</w:t>
            </w:r>
          </w:p>
        </w:tc>
        <w:tc>
          <w:tcPr>
            <w:tcW w:w="1170" w:type="dxa"/>
            <w:vAlign w:val="bottom"/>
          </w:tcPr>
          <w:p w14:paraId="6F573C37" w14:textId="7B4FA0A8"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2017-2018</w:t>
            </w:r>
          </w:p>
        </w:tc>
        <w:tc>
          <w:tcPr>
            <w:tcW w:w="1170" w:type="dxa"/>
            <w:vAlign w:val="bottom"/>
          </w:tcPr>
          <w:p w14:paraId="00AE053E" w14:textId="38D33ED9"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w:t>
            </w:r>
          </w:p>
        </w:tc>
        <w:tc>
          <w:tcPr>
            <w:tcW w:w="1350" w:type="dxa"/>
            <w:vAlign w:val="bottom"/>
          </w:tcPr>
          <w:p w14:paraId="2F0BC75C" w14:textId="1B1EE160"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2017-2018</w:t>
            </w:r>
          </w:p>
        </w:tc>
        <w:tc>
          <w:tcPr>
            <w:tcW w:w="1170" w:type="dxa"/>
            <w:vAlign w:val="bottom"/>
          </w:tcPr>
          <w:p w14:paraId="71EBD1DD" w14:textId="0AB8F1DA"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w:t>
            </w:r>
          </w:p>
        </w:tc>
      </w:tr>
      <w:tr w:rsidR="008259B5" w:rsidRPr="002B49BC" w14:paraId="05D7A314" w14:textId="77777777" w:rsidTr="00546B42">
        <w:trPr>
          <w:trHeight w:val="312"/>
        </w:trPr>
        <w:tc>
          <w:tcPr>
            <w:tcW w:w="1345" w:type="dxa"/>
            <w:tcBorders>
              <w:top w:val="nil"/>
              <w:bottom w:val="nil"/>
            </w:tcBorders>
            <w:vAlign w:val="bottom"/>
          </w:tcPr>
          <w:p w14:paraId="6EE2C8DD"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top w:val="nil"/>
            </w:tcBorders>
            <w:vAlign w:val="bottom"/>
          </w:tcPr>
          <w:p w14:paraId="0D40B854" w14:textId="7902F8CA"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vAlign w:val="bottom"/>
          </w:tcPr>
          <w:p w14:paraId="06EC33AE" w14:textId="79144A09"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4AROA227.42</w:t>
            </w:r>
          </w:p>
        </w:tc>
        <w:tc>
          <w:tcPr>
            <w:tcW w:w="1170" w:type="dxa"/>
            <w:vAlign w:val="bottom"/>
          </w:tcPr>
          <w:p w14:paraId="2E87406D"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170" w:type="dxa"/>
            <w:vAlign w:val="bottom"/>
          </w:tcPr>
          <w:p w14:paraId="15BF6181"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350" w:type="dxa"/>
            <w:vAlign w:val="bottom"/>
          </w:tcPr>
          <w:p w14:paraId="6A0C4569" w14:textId="1A692EE3"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2000-2023</w:t>
            </w:r>
          </w:p>
        </w:tc>
        <w:tc>
          <w:tcPr>
            <w:tcW w:w="1170" w:type="dxa"/>
            <w:vAlign w:val="bottom"/>
          </w:tcPr>
          <w:p w14:paraId="73CFCC25" w14:textId="5038786E"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168</w:t>
            </w:r>
          </w:p>
        </w:tc>
      </w:tr>
      <w:tr w:rsidR="008259B5" w:rsidRPr="002B49BC" w14:paraId="7CBFB1D5" w14:textId="77777777" w:rsidTr="00546B42">
        <w:trPr>
          <w:trHeight w:val="312"/>
        </w:trPr>
        <w:tc>
          <w:tcPr>
            <w:tcW w:w="1345" w:type="dxa"/>
            <w:tcBorders>
              <w:top w:val="nil"/>
              <w:bottom w:val="nil"/>
            </w:tcBorders>
            <w:vAlign w:val="bottom"/>
          </w:tcPr>
          <w:p w14:paraId="1B780360"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vAlign w:val="bottom"/>
          </w:tcPr>
          <w:p w14:paraId="66263AD6" w14:textId="2170F61F"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Barnhardt Creek</w:t>
            </w:r>
          </w:p>
        </w:tc>
        <w:tc>
          <w:tcPr>
            <w:tcW w:w="1620" w:type="dxa"/>
            <w:vAlign w:val="bottom"/>
          </w:tcPr>
          <w:p w14:paraId="63AC1016" w14:textId="059EB4CB"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4ABHT001.90</w:t>
            </w:r>
          </w:p>
        </w:tc>
        <w:tc>
          <w:tcPr>
            <w:tcW w:w="1170" w:type="dxa"/>
            <w:vAlign w:val="bottom"/>
          </w:tcPr>
          <w:p w14:paraId="5AF20EDB" w14:textId="348A85B2"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2009-2010</w:t>
            </w:r>
          </w:p>
        </w:tc>
        <w:tc>
          <w:tcPr>
            <w:tcW w:w="1170" w:type="dxa"/>
            <w:vAlign w:val="bottom"/>
          </w:tcPr>
          <w:p w14:paraId="1330D2DC" w14:textId="4137CF1D"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3</w:t>
            </w:r>
          </w:p>
        </w:tc>
        <w:tc>
          <w:tcPr>
            <w:tcW w:w="1350" w:type="dxa"/>
            <w:vAlign w:val="bottom"/>
          </w:tcPr>
          <w:p w14:paraId="5315F998" w14:textId="15115006"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2009-2010</w:t>
            </w:r>
          </w:p>
        </w:tc>
        <w:tc>
          <w:tcPr>
            <w:tcW w:w="1170" w:type="dxa"/>
            <w:vAlign w:val="bottom"/>
          </w:tcPr>
          <w:p w14:paraId="0D15147D" w14:textId="5437AA67"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3</w:t>
            </w:r>
          </w:p>
        </w:tc>
      </w:tr>
      <w:tr w:rsidR="008259B5" w:rsidRPr="002B49BC" w14:paraId="24B2CE3C" w14:textId="77777777" w:rsidTr="00546B42">
        <w:trPr>
          <w:trHeight w:val="312"/>
        </w:trPr>
        <w:tc>
          <w:tcPr>
            <w:tcW w:w="1345" w:type="dxa"/>
            <w:tcBorders>
              <w:top w:val="nil"/>
              <w:bottom w:val="nil"/>
            </w:tcBorders>
            <w:vAlign w:val="bottom"/>
          </w:tcPr>
          <w:p w14:paraId="7DAC8C37"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vAlign w:val="bottom"/>
          </w:tcPr>
          <w:p w14:paraId="5F8C1E3A" w14:textId="76912268"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Dry Branch</w:t>
            </w:r>
          </w:p>
        </w:tc>
        <w:tc>
          <w:tcPr>
            <w:tcW w:w="1620" w:type="dxa"/>
            <w:vAlign w:val="bottom"/>
          </w:tcPr>
          <w:p w14:paraId="1D7087D7" w14:textId="38E1ECB0"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4ADRR000.21</w:t>
            </w:r>
          </w:p>
        </w:tc>
        <w:tc>
          <w:tcPr>
            <w:tcW w:w="1170" w:type="dxa"/>
            <w:vAlign w:val="bottom"/>
          </w:tcPr>
          <w:p w14:paraId="011804BF"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170" w:type="dxa"/>
            <w:vAlign w:val="bottom"/>
          </w:tcPr>
          <w:p w14:paraId="117ACB5C"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350" w:type="dxa"/>
            <w:vAlign w:val="bottom"/>
          </w:tcPr>
          <w:p w14:paraId="2ED85633" w14:textId="4E41EDFC"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2004-2005</w:t>
            </w:r>
          </w:p>
        </w:tc>
        <w:tc>
          <w:tcPr>
            <w:tcW w:w="1170" w:type="dxa"/>
            <w:vAlign w:val="bottom"/>
          </w:tcPr>
          <w:p w14:paraId="3C6FB656" w14:textId="5253B26A"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w:t>
            </w:r>
          </w:p>
        </w:tc>
      </w:tr>
      <w:tr w:rsidR="008259B5" w:rsidRPr="002B49BC" w14:paraId="1F66978B" w14:textId="77777777" w:rsidTr="00546B42">
        <w:trPr>
          <w:trHeight w:val="312"/>
        </w:trPr>
        <w:tc>
          <w:tcPr>
            <w:tcW w:w="1345" w:type="dxa"/>
            <w:tcBorders>
              <w:top w:val="nil"/>
              <w:bottom w:val="nil"/>
            </w:tcBorders>
            <w:vAlign w:val="bottom"/>
          </w:tcPr>
          <w:p w14:paraId="314FBEC0"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vAlign w:val="bottom"/>
          </w:tcPr>
          <w:p w14:paraId="5B5597A7" w14:textId="6FF06C7D" w:rsidR="008259B5" w:rsidRPr="008259B5" w:rsidRDefault="008259B5" w:rsidP="008259B5">
            <w:pPr>
              <w:autoSpaceDE w:val="0"/>
              <w:autoSpaceDN w:val="0"/>
              <w:adjustRightInd w:val="0"/>
              <w:jc w:val="center"/>
              <w:rPr>
                <w:rFonts w:ascii="Arial Narrow" w:hAnsi="Arial Narrow" w:cs="Arial Narrow"/>
                <w:color w:val="000000"/>
                <w:sz w:val="20"/>
                <w:szCs w:val="20"/>
              </w:rPr>
            </w:pPr>
            <w:proofErr w:type="spellStart"/>
            <w:r w:rsidRPr="008259B5">
              <w:rPr>
                <w:rFonts w:ascii="Arial Narrow" w:hAnsi="Arial Narrow" w:cs="Calibri"/>
                <w:color w:val="000000"/>
                <w:sz w:val="20"/>
                <w:szCs w:val="20"/>
              </w:rPr>
              <w:t>Garnand</w:t>
            </w:r>
            <w:proofErr w:type="spellEnd"/>
            <w:r w:rsidRPr="008259B5">
              <w:rPr>
                <w:rFonts w:ascii="Arial Narrow" w:hAnsi="Arial Narrow" w:cs="Calibri"/>
                <w:color w:val="000000"/>
                <w:sz w:val="20"/>
                <w:szCs w:val="20"/>
              </w:rPr>
              <w:t xml:space="preserve"> Branch</w:t>
            </w:r>
          </w:p>
        </w:tc>
        <w:tc>
          <w:tcPr>
            <w:tcW w:w="1620" w:type="dxa"/>
            <w:vAlign w:val="bottom"/>
          </w:tcPr>
          <w:p w14:paraId="7DA7BB94" w14:textId="757EEB65"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4AGND000.02</w:t>
            </w:r>
          </w:p>
        </w:tc>
        <w:tc>
          <w:tcPr>
            <w:tcW w:w="1170" w:type="dxa"/>
            <w:vAlign w:val="bottom"/>
          </w:tcPr>
          <w:p w14:paraId="26D41BC5"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170" w:type="dxa"/>
            <w:vAlign w:val="bottom"/>
          </w:tcPr>
          <w:p w14:paraId="323A29E9"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350" w:type="dxa"/>
            <w:vAlign w:val="bottom"/>
          </w:tcPr>
          <w:p w14:paraId="7C66A536" w14:textId="211988CA"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2008</w:t>
            </w:r>
          </w:p>
        </w:tc>
        <w:tc>
          <w:tcPr>
            <w:tcW w:w="1170" w:type="dxa"/>
            <w:vAlign w:val="bottom"/>
          </w:tcPr>
          <w:p w14:paraId="08DCF318" w14:textId="6BA1740A"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w:t>
            </w:r>
          </w:p>
        </w:tc>
      </w:tr>
      <w:tr w:rsidR="008259B5" w:rsidRPr="002B49BC" w14:paraId="4F71DA9B" w14:textId="77777777" w:rsidTr="00546B42">
        <w:trPr>
          <w:trHeight w:val="312"/>
        </w:trPr>
        <w:tc>
          <w:tcPr>
            <w:tcW w:w="1345" w:type="dxa"/>
            <w:tcBorders>
              <w:top w:val="nil"/>
              <w:bottom w:val="nil"/>
            </w:tcBorders>
            <w:vAlign w:val="bottom"/>
          </w:tcPr>
          <w:p w14:paraId="75B60E46"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bottom w:val="single" w:sz="4" w:space="0" w:color="auto"/>
            </w:tcBorders>
            <w:vAlign w:val="bottom"/>
          </w:tcPr>
          <w:p w14:paraId="644E95E1" w14:textId="2BED887D"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Gish Branch</w:t>
            </w:r>
          </w:p>
        </w:tc>
        <w:tc>
          <w:tcPr>
            <w:tcW w:w="1620" w:type="dxa"/>
            <w:vAlign w:val="bottom"/>
          </w:tcPr>
          <w:p w14:paraId="35D8BBB8" w14:textId="5299E9C4"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4AGSH001.28</w:t>
            </w:r>
          </w:p>
        </w:tc>
        <w:tc>
          <w:tcPr>
            <w:tcW w:w="1170" w:type="dxa"/>
            <w:vAlign w:val="bottom"/>
          </w:tcPr>
          <w:p w14:paraId="56A659A9" w14:textId="75A9F38B"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2012</w:t>
            </w:r>
          </w:p>
        </w:tc>
        <w:tc>
          <w:tcPr>
            <w:tcW w:w="1170" w:type="dxa"/>
            <w:vAlign w:val="bottom"/>
          </w:tcPr>
          <w:p w14:paraId="46CA7DBD" w14:textId="13F1188E"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w:t>
            </w:r>
          </w:p>
        </w:tc>
        <w:tc>
          <w:tcPr>
            <w:tcW w:w="1350" w:type="dxa"/>
            <w:vAlign w:val="bottom"/>
          </w:tcPr>
          <w:p w14:paraId="6146913A" w14:textId="2347B935"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2012</w:t>
            </w:r>
          </w:p>
        </w:tc>
        <w:tc>
          <w:tcPr>
            <w:tcW w:w="1170" w:type="dxa"/>
            <w:vAlign w:val="bottom"/>
          </w:tcPr>
          <w:p w14:paraId="6B3E488B" w14:textId="1198F3E2"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w:t>
            </w:r>
          </w:p>
        </w:tc>
      </w:tr>
      <w:tr w:rsidR="008259B5" w:rsidRPr="002B49BC" w14:paraId="29986321" w14:textId="77777777" w:rsidTr="00546B42">
        <w:trPr>
          <w:trHeight w:val="312"/>
        </w:trPr>
        <w:tc>
          <w:tcPr>
            <w:tcW w:w="1345" w:type="dxa"/>
            <w:tcBorders>
              <w:top w:val="nil"/>
              <w:bottom w:val="nil"/>
            </w:tcBorders>
            <w:vAlign w:val="bottom"/>
          </w:tcPr>
          <w:p w14:paraId="4C104AFC"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bottom w:val="nil"/>
            </w:tcBorders>
            <w:vAlign w:val="bottom"/>
          </w:tcPr>
          <w:p w14:paraId="281993C5" w14:textId="33D0DF79"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Mud Lick Creek</w:t>
            </w:r>
          </w:p>
        </w:tc>
        <w:tc>
          <w:tcPr>
            <w:tcW w:w="1620" w:type="dxa"/>
            <w:vAlign w:val="bottom"/>
          </w:tcPr>
          <w:p w14:paraId="7846A775" w14:textId="6F19EB89"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4AMDL000.34</w:t>
            </w:r>
          </w:p>
        </w:tc>
        <w:tc>
          <w:tcPr>
            <w:tcW w:w="1170" w:type="dxa"/>
            <w:vAlign w:val="bottom"/>
          </w:tcPr>
          <w:p w14:paraId="49932ADD"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170" w:type="dxa"/>
            <w:vAlign w:val="bottom"/>
          </w:tcPr>
          <w:p w14:paraId="2DE047C3"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350" w:type="dxa"/>
            <w:vAlign w:val="bottom"/>
          </w:tcPr>
          <w:p w14:paraId="102DD7C3" w14:textId="506DEB04"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2003-2023</w:t>
            </w:r>
          </w:p>
        </w:tc>
        <w:tc>
          <w:tcPr>
            <w:tcW w:w="1170" w:type="dxa"/>
            <w:vAlign w:val="bottom"/>
          </w:tcPr>
          <w:p w14:paraId="49BB1819" w14:textId="23DDE939"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27</w:t>
            </w:r>
          </w:p>
        </w:tc>
      </w:tr>
      <w:tr w:rsidR="008259B5" w:rsidRPr="002B49BC" w14:paraId="2374A071" w14:textId="77777777" w:rsidTr="00546B42">
        <w:trPr>
          <w:trHeight w:val="312"/>
        </w:trPr>
        <w:tc>
          <w:tcPr>
            <w:tcW w:w="1345" w:type="dxa"/>
            <w:tcBorders>
              <w:top w:val="nil"/>
              <w:bottom w:val="nil"/>
            </w:tcBorders>
            <w:vAlign w:val="bottom"/>
          </w:tcPr>
          <w:p w14:paraId="7156E9CA"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top w:val="nil"/>
              <w:bottom w:val="nil"/>
            </w:tcBorders>
            <w:vAlign w:val="bottom"/>
          </w:tcPr>
          <w:p w14:paraId="2E53EF4F" w14:textId="020F4E9B"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vAlign w:val="bottom"/>
          </w:tcPr>
          <w:p w14:paraId="6510662A" w14:textId="705F9B4D"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4AMDL002.93</w:t>
            </w:r>
          </w:p>
        </w:tc>
        <w:tc>
          <w:tcPr>
            <w:tcW w:w="1170" w:type="dxa"/>
            <w:vAlign w:val="bottom"/>
          </w:tcPr>
          <w:p w14:paraId="412C4980" w14:textId="1ED5CD1D"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2005-2018</w:t>
            </w:r>
          </w:p>
        </w:tc>
        <w:tc>
          <w:tcPr>
            <w:tcW w:w="1170" w:type="dxa"/>
            <w:vAlign w:val="bottom"/>
          </w:tcPr>
          <w:p w14:paraId="5B0C9116" w14:textId="0B2A99FF"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11</w:t>
            </w:r>
          </w:p>
        </w:tc>
        <w:tc>
          <w:tcPr>
            <w:tcW w:w="1350" w:type="dxa"/>
            <w:vAlign w:val="bottom"/>
          </w:tcPr>
          <w:p w14:paraId="0C26CDD1" w14:textId="7C62718C"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2005-2018</w:t>
            </w:r>
          </w:p>
        </w:tc>
        <w:tc>
          <w:tcPr>
            <w:tcW w:w="1170" w:type="dxa"/>
            <w:vAlign w:val="bottom"/>
          </w:tcPr>
          <w:p w14:paraId="47B26FB7" w14:textId="67AB049D"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11</w:t>
            </w:r>
          </w:p>
        </w:tc>
      </w:tr>
      <w:tr w:rsidR="008259B5" w:rsidRPr="002B49BC" w14:paraId="3AFACD73" w14:textId="77777777" w:rsidTr="00546B42">
        <w:trPr>
          <w:trHeight w:val="312"/>
        </w:trPr>
        <w:tc>
          <w:tcPr>
            <w:tcW w:w="1345" w:type="dxa"/>
            <w:tcBorders>
              <w:top w:val="nil"/>
              <w:bottom w:val="nil"/>
            </w:tcBorders>
            <w:vAlign w:val="bottom"/>
          </w:tcPr>
          <w:p w14:paraId="4FFE11AE"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top w:val="nil"/>
              <w:bottom w:val="single" w:sz="4" w:space="0" w:color="auto"/>
            </w:tcBorders>
            <w:vAlign w:val="bottom"/>
          </w:tcPr>
          <w:p w14:paraId="60F91314" w14:textId="20472F1B"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vAlign w:val="bottom"/>
          </w:tcPr>
          <w:p w14:paraId="4E5DE26C" w14:textId="035D8A57"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4AMDL003.34</w:t>
            </w:r>
          </w:p>
        </w:tc>
        <w:tc>
          <w:tcPr>
            <w:tcW w:w="1170" w:type="dxa"/>
            <w:vAlign w:val="bottom"/>
          </w:tcPr>
          <w:p w14:paraId="02C42241" w14:textId="3690E47A"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2005-2006</w:t>
            </w:r>
          </w:p>
        </w:tc>
        <w:tc>
          <w:tcPr>
            <w:tcW w:w="1170" w:type="dxa"/>
            <w:vAlign w:val="bottom"/>
          </w:tcPr>
          <w:p w14:paraId="3962C2FF" w14:textId="6F99F0FD"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w:t>
            </w:r>
          </w:p>
        </w:tc>
        <w:tc>
          <w:tcPr>
            <w:tcW w:w="1350" w:type="dxa"/>
            <w:vAlign w:val="bottom"/>
          </w:tcPr>
          <w:p w14:paraId="1CDF9100" w14:textId="7FBEFD7C"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2005-2006</w:t>
            </w:r>
          </w:p>
        </w:tc>
        <w:tc>
          <w:tcPr>
            <w:tcW w:w="1170" w:type="dxa"/>
            <w:vAlign w:val="bottom"/>
          </w:tcPr>
          <w:p w14:paraId="47CA67BE" w14:textId="5D0F8DAF"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w:t>
            </w:r>
          </w:p>
        </w:tc>
      </w:tr>
      <w:tr w:rsidR="008259B5" w:rsidRPr="002B49BC" w14:paraId="60D40A60" w14:textId="77777777" w:rsidTr="00546B42">
        <w:trPr>
          <w:trHeight w:val="312"/>
        </w:trPr>
        <w:tc>
          <w:tcPr>
            <w:tcW w:w="1345" w:type="dxa"/>
            <w:tcBorders>
              <w:top w:val="nil"/>
              <w:bottom w:val="nil"/>
            </w:tcBorders>
            <w:vAlign w:val="bottom"/>
          </w:tcPr>
          <w:p w14:paraId="02CB2E25"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bottom w:val="nil"/>
            </w:tcBorders>
            <w:vAlign w:val="bottom"/>
          </w:tcPr>
          <w:p w14:paraId="47B604E0" w14:textId="38BB545B"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Mason Creek</w:t>
            </w:r>
          </w:p>
        </w:tc>
        <w:tc>
          <w:tcPr>
            <w:tcW w:w="1620" w:type="dxa"/>
            <w:vAlign w:val="bottom"/>
          </w:tcPr>
          <w:p w14:paraId="2CE5F180" w14:textId="05A0027A"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4AMSN000.53</w:t>
            </w:r>
          </w:p>
        </w:tc>
        <w:tc>
          <w:tcPr>
            <w:tcW w:w="1170" w:type="dxa"/>
            <w:vAlign w:val="bottom"/>
          </w:tcPr>
          <w:p w14:paraId="0C6E8A1A" w14:textId="668BA682"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2004-2013</w:t>
            </w:r>
          </w:p>
        </w:tc>
        <w:tc>
          <w:tcPr>
            <w:tcW w:w="1170" w:type="dxa"/>
            <w:vAlign w:val="bottom"/>
          </w:tcPr>
          <w:p w14:paraId="07B4CFAE" w14:textId="167FBF2B"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5</w:t>
            </w:r>
          </w:p>
        </w:tc>
        <w:tc>
          <w:tcPr>
            <w:tcW w:w="1350" w:type="dxa"/>
            <w:vAlign w:val="bottom"/>
          </w:tcPr>
          <w:p w14:paraId="3E8FFD95" w14:textId="3DD5845A"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2004-2013</w:t>
            </w:r>
          </w:p>
        </w:tc>
        <w:tc>
          <w:tcPr>
            <w:tcW w:w="1170" w:type="dxa"/>
            <w:vAlign w:val="bottom"/>
          </w:tcPr>
          <w:p w14:paraId="35001FE3" w14:textId="43433F38"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5</w:t>
            </w:r>
          </w:p>
        </w:tc>
      </w:tr>
      <w:tr w:rsidR="008259B5" w:rsidRPr="002B49BC" w14:paraId="0AEB9E34" w14:textId="77777777" w:rsidTr="00546B42">
        <w:trPr>
          <w:trHeight w:val="312"/>
        </w:trPr>
        <w:tc>
          <w:tcPr>
            <w:tcW w:w="1345" w:type="dxa"/>
            <w:tcBorders>
              <w:top w:val="nil"/>
              <w:bottom w:val="nil"/>
            </w:tcBorders>
            <w:vAlign w:val="bottom"/>
          </w:tcPr>
          <w:p w14:paraId="36A0D858"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top w:val="nil"/>
              <w:bottom w:val="nil"/>
            </w:tcBorders>
            <w:vAlign w:val="bottom"/>
          </w:tcPr>
          <w:p w14:paraId="53987E49" w14:textId="65E6EB63"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vAlign w:val="bottom"/>
          </w:tcPr>
          <w:p w14:paraId="1C3199F4" w14:textId="115FC1F4"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4AMSN000.67</w:t>
            </w:r>
          </w:p>
        </w:tc>
        <w:tc>
          <w:tcPr>
            <w:tcW w:w="1170" w:type="dxa"/>
            <w:vAlign w:val="bottom"/>
          </w:tcPr>
          <w:p w14:paraId="35EBDA8A"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170" w:type="dxa"/>
            <w:vAlign w:val="bottom"/>
          </w:tcPr>
          <w:p w14:paraId="342BC31D"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350" w:type="dxa"/>
            <w:vAlign w:val="bottom"/>
          </w:tcPr>
          <w:p w14:paraId="0DE9075B" w14:textId="21A069A9"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2003-2021</w:t>
            </w:r>
          </w:p>
        </w:tc>
        <w:tc>
          <w:tcPr>
            <w:tcW w:w="1170" w:type="dxa"/>
            <w:vAlign w:val="bottom"/>
          </w:tcPr>
          <w:p w14:paraId="3FCBDD0A" w14:textId="22023ED4"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45</w:t>
            </w:r>
          </w:p>
        </w:tc>
      </w:tr>
      <w:tr w:rsidR="008259B5" w:rsidRPr="002B49BC" w14:paraId="57990D52" w14:textId="77777777" w:rsidTr="00546B42">
        <w:trPr>
          <w:trHeight w:val="312"/>
        </w:trPr>
        <w:tc>
          <w:tcPr>
            <w:tcW w:w="1345" w:type="dxa"/>
            <w:tcBorders>
              <w:top w:val="nil"/>
              <w:bottom w:val="nil"/>
            </w:tcBorders>
            <w:vAlign w:val="bottom"/>
          </w:tcPr>
          <w:p w14:paraId="5A4C8073"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top w:val="nil"/>
            </w:tcBorders>
            <w:vAlign w:val="bottom"/>
          </w:tcPr>
          <w:p w14:paraId="43E8A966" w14:textId="66E117DE"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vAlign w:val="bottom"/>
          </w:tcPr>
          <w:p w14:paraId="4FB77DED" w14:textId="35E4484D"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4AMSN003.05</w:t>
            </w:r>
          </w:p>
        </w:tc>
        <w:tc>
          <w:tcPr>
            <w:tcW w:w="1170" w:type="dxa"/>
            <w:vAlign w:val="bottom"/>
          </w:tcPr>
          <w:p w14:paraId="4D66DF10" w14:textId="11B69242"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2004-2005</w:t>
            </w:r>
          </w:p>
        </w:tc>
        <w:tc>
          <w:tcPr>
            <w:tcW w:w="1170" w:type="dxa"/>
            <w:vAlign w:val="bottom"/>
          </w:tcPr>
          <w:p w14:paraId="7E884D37" w14:textId="2415B11D"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3</w:t>
            </w:r>
          </w:p>
        </w:tc>
        <w:tc>
          <w:tcPr>
            <w:tcW w:w="1350" w:type="dxa"/>
            <w:vAlign w:val="bottom"/>
          </w:tcPr>
          <w:p w14:paraId="4E07201B" w14:textId="6F3875C8"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2004-2005</w:t>
            </w:r>
          </w:p>
        </w:tc>
        <w:tc>
          <w:tcPr>
            <w:tcW w:w="1170" w:type="dxa"/>
            <w:vAlign w:val="bottom"/>
          </w:tcPr>
          <w:p w14:paraId="02677FA8" w14:textId="640B6819"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3</w:t>
            </w:r>
          </w:p>
        </w:tc>
      </w:tr>
      <w:tr w:rsidR="008259B5" w:rsidRPr="002B49BC" w14:paraId="1F175A25" w14:textId="77777777" w:rsidTr="00546B42">
        <w:trPr>
          <w:trHeight w:val="312"/>
        </w:trPr>
        <w:tc>
          <w:tcPr>
            <w:tcW w:w="1345" w:type="dxa"/>
            <w:tcBorders>
              <w:top w:val="nil"/>
              <w:bottom w:val="nil"/>
            </w:tcBorders>
            <w:vAlign w:val="bottom"/>
          </w:tcPr>
          <w:p w14:paraId="27D9B01E"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bottom w:val="single" w:sz="4" w:space="0" w:color="auto"/>
            </w:tcBorders>
            <w:vAlign w:val="bottom"/>
          </w:tcPr>
          <w:p w14:paraId="65463CD2" w14:textId="24A57D65"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Mason Creek UT</w:t>
            </w:r>
          </w:p>
        </w:tc>
        <w:tc>
          <w:tcPr>
            <w:tcW w:w="1620" w:type="dxa"/>
            <w:vAlign w:val="bottom"/>
          </w:tcPr>
          <w:p w14:paraId="529840E5" w14:textId="7BC85E42"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4AXNB000.60</w:t>
            </w:r>
          </w:p>
        </w:tc>
        <w:tc>
          <w:tcPr>
            <w:tcW w:w="1170" w:type="dxa"/>
            <w:vAlign w:val="bottom"/>
          </w:tcPr>
          <w:p w14:paraId="35FE6DA7" w14:textId="50D5109F"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2006-2016</w:t>
            </w:r>
          </w:p>
        </w:tc>
        <w:tc>
          <w:tcPr>
            <w:tcW w:w="1170" w:type="dxa"/>
            <w:vAlign w:val="bottom"/>
          </w:tcPr>
          <w:p w14:paraId="7CC17F0C" w14:textId="18EB8D57"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w:t>
            </w:r>
          </w:p>
        </w:tc>
        <w:tc>
          <w:tcPr>
            <w:tcW w:w="1350" w:type="dxa"/>
            <w:vAlign w:val="bottom"/>
          </w:tcPr>
          <w:p w14:paraId="2633F855" w14:textId="1F99F376"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2006-2016</w:t>
            </w:r>
          </w:p>
        </w:tc>
        <w:tc>
          <w:tcPr>
            <w:tcW w:w="1170" w:type="dxa"/>
            <w:vAlign w:val="bottom"/>
          </w:tcPr>
          <w:p w14:paraId="32CA89DB" w14:textId="701DB9D3"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w:t>
            </w:r>
          </w:p>
        </w:tc>
      </w:tr>
      <w:tr w:rsidR="008259B5" w:rsidRPr="002B49BC" w14:paraId="309B9EAD" w14:textId="77777777" w:rsidTr="00546B42">
        <w:trPr>
          <w:trHeight w:val="312"/>
        </w:trPr>
        <w:tc>
          <w:tcPr>
            <w:tcW w:w="1345" w:type="dxa"/>
            <w:tcBorders>
              <w:top w:val="nil"/>
              <w:bottom w:val="nil"/>
            </w:tcBorders>
            <w:vAlign w:val="bottom"/>
          </w:tcPr>
          <w:p w14:paraId="72EEC1FC"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bottom w:val="nil"/>
            </w:tcBorders>
            <w:vAlign w:val="bottom"/>
          </w:tcPr>
          <w:p w14:paraId="4C94D031" w14:textId="3F6ECA30"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Murray Run</w:t>
            </w:r>
          </w:p>
        </w:tc>
        <w:tc>
          <w:tcPr>
            <w:tcW w:w="1620" w:type="dxa"/>
            <w:vAlign w:val="bottom"/>
          </w:tcPr>
          <w:p w14:paraId="0403B428" w14:textId="184F7B11"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4AMUR001.63</w:t>
            </w:r>
          </w:p>
        </w:tc>
        <w:tc>
          <w:tcPr>
            <w:tcW w:w="1170" w:type="dxa"/>
            <w:vAlign w:val="bottom"/>
          </w:tcPr>
          <w:p w14:paraId="1D231988"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170" w:type="dxa"/>
            <w:vAlign w:val="bottom"/>
          </w:tcPr>
          <w:p w14:paraId="66973651"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350" w:type="dxa"/>
            <w:vAlign w:val="bottom"/>
          </w:tcPr>
          <w:p w14:paraId="520BBF4E" w14:textId="3C30F6AB"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2000-2001</w:t>
            </w:r>
          </w:p>
        </w:tc>
        <w:tc>
          <w:tcPr>
            <w:tcW w:w="1170" w:type="dxa"/>
            <w:vAlign w:val="bottom"/>
          </w:tcPr>
          <w:p w14:paraId="27B6F32C" w14:textId="3D73E081"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6</w:t>
            </w:r>
          </w:p>
        </w:tc>
      </w:tr>
      <w:tr w:rsidR="008259B5" w:rsidRPr="002B49BC" w14:paraId="453B76DC" w14:textId="77777777" w:rsidTr="00546B42">
        <w:trPr>
          <w:trHeight w:val="312"/>
        </w:trPr>
        <w:tc>
          <w:tcPr>
            <w:tcW w:w="1345" w:type="dxa"/>
            <w:tcBorders>
              <w:top w:val="nil"/>
              <w:bottom w:val="nil"/>
            </w:tcBorders>
            <w:vAlign w:val="bottom"/>
          </w:tcPr>
          <w:p w14:paraId="7BA1C1AE"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top w:val="nil"/>
              <w:bottom w:val="single" w:sz="4" w:space="0" w:color="auto"/>
            </w:tcBorders>
            <w:vAlign w:val="bottom"/>
          </w:tcPr>
          <w:p w14:paraId="079019CA" w14:textId="645D96DC"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vAlign w:val="bottom"/>
          </w:tcPr>
          <w:p w14:paraId="3E3A0B50" w14:textId="261EE28F"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4AMUR001.82</w:t>
            </w:r>
          </w:p>
        </w:tc>
        <w:tc>
          <w:tcPr>
            <w:tcW w:w="1170" w:type="dxa"/>
            <w:vAlign w:val="bottom"/>
          </w:tcPr>
          <w:p w14:paraId="53D0C6FD" w14:textId="09E65A86"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2009-2010</w:t>
            </w:r>
          </w:p>
        </w:tc>
        <w:tc>
          <w:tcPr>
            <w:tcW w:w="1170" w:type="dxa"/>
            <w:vAlign w:val="bottom"/>
          </w:tcPr>
          <w:p w14:paraId="0B6ECA54" w14:textId="652B8099"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3</w:t>
            </w:r>
          </w:p>
        </w:tc>
        <w:tc>
          <w:tcPr>
            <w:tcW w:w="1350" w:type="dxa"/>
            <w:vAlign w:val="bottom"/>
          </w:tcPr>
          <w:p w14:paraId="3454BA01" w14:textId="50F15715"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2009-2010</w:t>
            </w:r>
          </w:p>
        </w:tc>
        <w:tc>
          <w:tcPr>
            <w:tcW w:w="1170" w:type="dxa"/>
            <w:vAlign w:val="bottom"/>
          </w:tcPr>
          <w:p w14:paraId="317088C3" w14:textId="55A690E0"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3</w:t>
            </w:r>
          </w:p>
        </w:tc>
      </w:tr>
      <w:tr w:rsidR="008259B5" w:rsidRPr="002B49BC" w14:paraId="1AC708AA" w14:textId="77777777" w:rsidTr="00546B42">
        <w:trPr>
          <w:trHeight w:val="312"/>
        </w:trPr>
        <w:tc>
          <w:tcPr>
            <w:tcW w:w="1345" w:type="dxa"/>
            <w:tcBorders>
              <w:top w:val="nil"/>
              <w:bottom w:val="nil"/>
            </w:tcBorders>
            <w:vAlign w:val="bottom"/>
          </w:tcPr>
          <w:p w14:paraId="05F1F42B"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bottom w:val="nil"/>
            </w:tcBorders>
            <w:vAlign w:val="bottom"/>
          </w:tcPr>
          <w:p w14:paraId="2E30CF64" w14:textId="7210CFD1"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Ore Branch</w:t>
            </w:r>
          </w:p>
        </w:tc>
        <w:tc>
          <w:tcPr>
            <w:tcW w:w="1620" w:type="dxa"/>
            <w:vAlign w:val="bottom"/>
          </w:tcPr>
          <w:p w14:paraId="21910AE5" w14:textId="0A017B17"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4AORE000.01</w:t>
            </w:r>
          </w:p>
        </w:tc>
        <w:tc>
          <w:tcPr>
            <w:tcW w:w="1170" w:type="dxa"/>
            <w:vAlign w:val="bottom"/>
          </w:tcPr>
          <w:p w14:paraId="545BA551" w14:textId="75DBE610"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2011</w:t>
            </w:r>
          </w:p>
        </w:tc>
        <w:tc>
          <w:tcPr>
            <w:tcW w:w="1170" w:type="dxa"/>
            <w:vAlign w:val="bottom"/>
          </w:tcPr>
          <w:p w14:paraId="5AE2021F" w14:textId="1015E34F"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w:t>
            </w:r>
          </w:p>
        </w:tc>
        <w:tc>
          <w:tcPr>
            <w:tcW w:w="1350" w:type="dxa"/>
            <w:vAlign w:val="bottom"/>
          </w:tcPr>
          <w:p w14:paraId="2B78361B" w14:textId="32BE0BF7"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2011</w:t>
            </w:r>
          </w:p>
        </w:tc>
        <w:tc>
          <w:tcPr>
            <w:tcW w:w="1170" w:type="dxa"/>
            <w:vAlign w:val="bottom"/>
          </w:tcPr>
          <w:p w14:paraId="3DC0714A" w14:textId="3FDDDA66"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w:t>
            </w:r>
          </w:p>
        </w:tc>
      </w:tr>
      <w:tr w:rsidR="008259B5" w:rsidRPr="002B49BC" w14:paraId="7ED1C55B" w14:textId="77777777" w:rsidTr="00546B42">
        <w:trPr>
          <w:trHeight w:val="312"/>
        </w:trPr>
        <w:tc>
          <w:tcPr>
            <w:tcW w:w="1345" w:type="dxa"/>
            <w:tcBorders>
              <w:top w:val="nil"/>
              <w:bottom w:val="nil"/>
            </w:tcBorders>
            <w:vAlign w:val="bottom"/>
          </w:tcPr>
          <w:p w14:paraId="2FDCD7EC"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top w:val="nil"/>
              <w:bottom w:val="single" w:sz="4" w:space="0" w:color="auto"/>
            </w:tcBorders>
            <w:vAlign w:val="bottom"/>
          </w:tcPr>
          <w:p w14:paraId="46545100" w14:textId="75714F62"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vAlign w:val="bottom"/>
          </w:tcPr>
          <w:p w14:paraId="2BB445CB" w14:textId="33D286AE"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4AORE000.19</w:t>
            </w:r>
          </w:p>
        </w:tc>
        <w:tc>
          <w:tcPr>
            <w:tcW w:w="1170" w:type="dxa"/>
            <w:vAlign w:val="bottom"/>
          </w:tcPr>
          <w:p w14:paraId="3DE63997"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170" w:type="dxa"/>
            <w:vAlign w:val="bottom"/>
          </w:tcPr>
          <w:p w14:paraId="443C1C37"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350" w:type="dxa"/>
            <w:vAlign w:val="bottom"/>
          </w:tcPr>
          <w:p w14:paraId="511332F6" w14:textId="2E858493"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2000-2006</w:t>
            </w:r>
          </w:p>
        </w:tc>
        <w:tc>
          <w:tcPr>
            <w:tcW w:w="1170" w:type="dxa"/>
            <w:vAlign w:val="bottom"/>
          </w:tcPr>
          <w:p w14:paraId="6896DE0F" w14:textId="533BBA31"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27</w:t>
            </w:r>
          </w:p>
        </w:tc>
      </w:tr>
      <w:tr w:rsidR="008259B5" w:rsidRPr="002B49BC" w14:paraId="0938E8A5" w14:textId="77777777" w:rsidTr="00546B42">
        <w:trPr>
          <w:trHeight w:val="312"/>
        </w:trPr>
        <w:tc>
          <w:tcPr>
            <w:tcW w:w="1345" w:type="dxa"/>
            <w:tcBorders>
              <w:top w:val="nil"/>
              <w:bottom w:val="nil"/>
            </w:tcBorders>
            <w:vAlign w:val="bottom"/>
          </w:tcPr>
          <w:p w14:paraId="508DF7BE"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bottom w:val="nil"/>
            </w:tcBorders>
            <w:vAlign w:val="bottom"/>
          </w:tcPr>
          <w:p w14:paraId="71660B3D" w14:textId="3562CBE2"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Peters Creek</w:t>
            </w:r>
          </w:p>
        </w:tc>
        <w:tc>
          <w:tcPr>
            <w:tcW w:w="1620" w:type="dxa"/>
            <w:vAlign w:val="bottom"/>
          </w:tcPr>
          <w:p w14:paraId="72CA247C" w14:textId="2A346E07"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4APEE000.00</w:t>
            </w:r>
          </w:p>
        </w:tc>
        <w:tc>
          <w:tcPr>
            <w:tcW w:w="1170" w:type="dxa"/>
            <w:vAlign w:val="bottom"/>
          </w:tcPr>
          <w:p w14:paraId="4FE696AB"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170" w:type="dxa"/>
            <w:vAlign w:val="bottom"/>
          </w:tcPr>
          <w:p w14:paraId="5C2EEE11"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350" w:type="dxa"/>
            <w:vAlign w:val="bottom"/>
          </w:tcPr>
          <w:p w14:paraId="0F6FFB1D" w14:textId="386DBC9D"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2005</w:t>
            </w:r>
          </w:p>
        </w:tc>
        <w:tc>
          <w:tcPr>
            <w:tcW w:w="1170" w:type="dxa"/>
            <w:vAlign w:val="bottom"/>
          </w:tcPr>
          <w:p w14:paraId="56014174" w14:textId="64E9A41B"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1</w:t>
            </w:r>
          </w:p>
        </w:tc>
      </w:tr>
      <w:tr w:rsidR="008259B5" w:rsidRPr="002B49BC" w14:paraId="226379EB" w14:textId="77777777" w:rsidTr="00546B42">
        <w:trPr>
          <w:trHeight w:val="312"/>
        </w:trPr>
        <w:tc>
          <w:tcPr>
            <w:tcW w:w="1345" w:type="dxa"/>
            <w:tcBorders>
              <w:top w:val="nil"/>
              <w:bottom w:val="nil"/>
            </w:tcBorders>
            <w:vAlign w:val="bottom"/>
          </w:tcPr>
          <w:p w14:paraId="69FF5DD7"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top w:val="nil"/>
              <w:bottom w:val="nil"/>
            </w:tcBorders>
            <w:vAlign w:val="bottom"/>
          </w:tcPr>
          <w:p w14:paraId="04BFF240" w14:textId="16FF5E29"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vAlign w:val="bottom"/>
          </w:tcPr>
          <w:p w14:paraId="52BD3F5D" w14:textId="0AE0438B"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4APEE001.04</w:t>
            </w:r>
          </w:p>
        </w:tc>
        <w:tc>
          <w:tcPr>
            <w:tcW w:w="1170" w:type="dxa"/>
            <w:vAlign w:val="bottom"/>
          </w:tcPr>
          <w:p w14:paraId="4134C2E1"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170" w:type="dxa"/>
            <w:vAlign w:val="bottom"/>
          </w:tcPr>
          <w:p w14:paraId="20250164"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350" w:type="dxa"/>
            <w:vAlign w:val="bottom"/>
          </w:tcPr>
          <w:p w14:paraId="46B31007" w14:textId="588BF440"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2000-2010</w:t>
            </w:r>
          </w:p>
        </w:tc>
        <w:tc>
          <w:tcPr>
            <w:tcW w:w="1170" w:type="dxa"/>
            <w:vAlign w:val="bottom"/>
          </w:tcPr>
          <w:p w14:paraId="5E7AA6F2" w14:textId="0C262367"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32</w:t>
            </w:r>
          </w:p>
        </w:tc>
      </w:tr>
      <w:tr w:rsidR="008259B5" w:rsidRPr="002B49BC" w14:paraId="5CF7348E" w14:textId="77777777" w:rsidTr="00546B42">
        <w:trPr>
          <w:trHeight w:val="312"/>
        </w:trPr>
        <w:tc>
          <w:tcPr>
            <w:tcW w:w="1345" w:type="dxa"/>
            <w:tcBorders>
              <w:top w:val="nil"/>
              <w:bottom w:val="nil"/>
            </w:tcBorders>
            <w:vAlign w:val="bottom"/>
          </w:tcPr>
          <w:p w14:paraId="432B08AB"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tcBorders>
              <w:top w:val="nil"/>
            </w:tcBorders>
            <w:vAlign w:val="bottom"/>
          </w:tcPr>
          <w:p w14:paraId="64F85FA3" w14:textId="5DCC1299"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vAlign w:val="bottom"/>
          </w:tcPr>
          <w:p w14:paraId="2779D00D" w14:textId="72FF180C"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4APEE001.16</w:t>
            </w:r>
          </w:p>
        </w:tc>
        <w:tc>
          <w:tcPr>
            <w:tcW w:w="1170" w:type="dxa"/>
            <w:vAlign w:val="bottom"/>
          </w:tcPr>
          <w:p w14:paraId="072F426A" w14:textId="3F4A73C7"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2013</w:t>
            </w:r>
          </w:p>
        </w:tc>
        <w:tc>
          <w:tcPr>
            <w:tcW w:w="1170" w:type="dxa"/>
            <w:vAlign w:val="bottom"/>
          </w:tcPr>
          <w:p w14:paraId="3B139F1F" w14:textId="26487708"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w:t>
            </w:r>
          </w:p>
        </w:tc>
        <w:tc>
          <w:tcPr>
            <w:tcW w:w="1350" w:type="dxa"/>
            <w:vAlign w:val="bottom"/>
          </w:tcPr>
          <w:p w14:paraId="7ACC2E17" w14:textId="450B2A4C"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2013</w:t>
            </w:r>
          </w:p>
        </w:tc>
        <w:tc>
          <w:tcPr>
            <w:tcW w:w="1170" w:type="dxa"/>
            <w:vAlign w:val="bottom"/>
          </w:tcPr>
          <w:p w14:paraId="061133A7" w14:textId="58628EE2"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w:t>
            </w:r>
          </w:p>
        </w:tc>
      </w:tr>
      <w:tr w:rsidR="008259B5" w:rsidRPr="002B49BC" w14:paraId="7A67DB7A" w14:textId="77777777" w:rsidTr="00546B42">
        <w:trPr>
          <w:trHeight w:val="312"/>
        </w:trPr>
        <w:tc>
          <w:tcPr>
            <w:tcW w:w="1345" w:type="dxa"/>
            <w:tcBorders>
              <w:top w:val="nil"/>
            </w:tcBorders>
            <w:vAlign w:val="bottom"/>
          </w:tcPr>
          <w:p w14:paraId="286826A9"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620" w:type="dxa"/>
            <w:vAlign w:val="bottom"/>
          </w:tcPr>
          <w:p w14:paraId="3E9FEBE0" w14:textId="581055CF"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Spring Hollow</w:t>
            </w:r>
          </w:p>
        </w:tc>
        <w:tc>
          <w:tcPr>
            <w:tcW w:w="1620" w:type="dxa"/>
            <w:vAlign w:val="bottom"/>
          </w:tcPr>
          <w:p w14:paraId="1828B8FC" w14:textId="05B8BAA6"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4ASHR000.24</w:t>
            </w:r>
          </w:p>
        </w:tc>
        <w:tc>
          <w:tcPr>
            <w:tcW w:w="1170" w:type="dxa"/>
            <w:vAlign w:val="bottom"/>
          </w:tcPr>
          <w:p w14:paraId="6D4D4F65"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170" w:type="dxa"/>
            <w:vAlign w:val="bottom"/>
          </w:tcPr>
          <w:p w14:paraId="49EBCA34" w14:textId="77777777" w:rsidR="008259B5" w:rsidRPr="008259B5" w:rsidRDefault="008259B5" w:rsidP="008259B5">
            <w:pPr>
              <w:autoSpaceDE w:val="0"/>
              <w:autoSpaceDN w:val="0"/>
              <w:adjustRightInd w:val="0"/>
              <w:jc w:val="center"/>
              <w:rPr>
                <w:rFonts w:ascii="Arial Narrow" w:hAnsi="Arial Narrow" w:cs="Arial Narrow"/>
                <w:color w:val="000000"/>
                <w:sz w:val="20"/>
                <w:szCs w:val="20"/>
              </w:rPr>
            </w:pPr>
          </w:p>
        </w:tc>
        <w:tc>
          <w:tcPr>
            <w:tcW w:w="1350" w:type="dxa"/>
            <w:vAlign w:val="bottom"/>
          </w:tcPr>
          <w:p w14:paraId="75B9181C" w14:textId="1ADD1A9E"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2008</w:t>
            </w:r>
          </w:p>
        </w:tc>
        <w:tc>
          <w:tcPr>
            <w:tcW w:w="1170" w:type="dxa"/>
            <w:vAlign w:val="bottom"/>
          </w:tcPr>
          <w:p w14:paraId="58DEE79A" w14:textId="2F52EE99" w:rsidR="008259B5" w:rsidRPr="008259B5" w:rsidRDefault="008259B5" w:rsidP="008259B5">
            <w:pPr>
              <w:autoSpaceDE w:val="0"/>
              <w:autoSpaceDN w:val="0"/>
              <w:adjustRightInd w:val="0"/>
              <w:jc w:val="center"/>
              <w:rPr>
                <w:rFonts w:ascii="Arial Narrow" w:hAnsi="Arial Narrow" w:cs="Arial Narrow"/>
                <w:color w:val="000000"/>
                <w:sz w:val="20"/>
                <w:szCs w:val="20"/>
              </w:rPr>
            </w:pPr>
            <w:r w:rsidRPr="008259B5">
              <w:rPr>
                <w:rFonts w:ascii="Arial Narrow" w:hAnsi="Arial Narrow" w:cs="Calibri"/>
                <w:color w:val="000000"/>
                <w:sz w:val="20"/>
                <w:szCs w:val="20"/>
              </w:rPr>
              <w:t>7</w:t>
            </w:r>
          </w:p>
        </w:tc>
      </w:tr>
    </w:tbl>
    <w:p w14:paraId="5B4F0AE2" w14:textId="01821E1F" w:rsidR="00A32CC1" w:rsidRPr="003A5C90" w:rsidRDefault="004F793F" w:rsidP="00123ABF">
      <w:pPr>
        <w:pStyle w:val="BlockText"/>
        <w:rPr>
          <w:rFonts w:ascii="Arial Narrow" w:hAnsi="Arial Narrow"/>
          <w:sz w:val="20"/>
          <w:szCs w:val="20"/>
        </w:rPr>
      </w:pPr>
      <w:r w:rsidRPr="002B49BC">
        <w:rPr>
          <w:rFonts w:ascii="Arial Narrow" w:hAnsi="Arial Narrow"/>
          <w:sz w:val="20"/>
          <w:szCs w:val="20"/>
          <w:vertAlign w:val="superscript"/>
        </w:rPr>
        <w:t>1</w:t>
      </w:r>
      <w:r w:rsidRPr="002B49BC">
        <w:rPr>
          <w:rFonts w:ascii="Arial Narrow" w:hAnsi="Arial Narrow"/>
          <w:sz w:val="20"/>
          <w:szCs w:val="20"/>
        </w:rPr>
        <w:t xml:space="preserve"> This stream/station was used as a benthic and water quality reference.</w:t>
      </w:r>
    </w:p>
    <w:p w14:paraId="6F80191B" w14:textId="77777777" w:rsidR="00CC33BA" w:rsidRDefault="00CC33BA" w:rsidP="00CC33BA">
      <w:pPr>
        <w:spacing w:before="120" w:after="120" w:line="360" w:lineRule="auto"/>
        <w:rPr>
          <w:rFonts w:eastAsia="Times New Roman"/>
        </w:rPr>
      </w:pPr>
    </w:p>
    <w:p w14:paraId="38DD1030" w14:textId="22AAE129" w:rsidR="00CC33BA" w:rsidRDefault="00432992" w:rsidP="00CC33BA">
      <w:pPr>
        <w:keepNext/>
        <w:spacing w:before="120" w:after="120" w:line="360" w:lineRule="auto"/>
      </w:pPr>
      <w:r>
        <w:rPr>
          <w:noProof/>
        </w:rPr>
        <w:drawing>
          <wp:inline distT="0" distB="0" distL="0" distR="0" wp14:anchorId="108CAA34" wp14:editId="74A1FB14">
            <wp:extent cx="5943600" cy="4572000"/>
            <wp:effectExtent l="0" t="0" r="0" b="0"/>
            <wp:docPr id="37" name="Picture 37" descr="Primary benthic stations in the Roanoke River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oanoke Project Zoom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572000"/>
                    </a:xfrm>
                    <a:prstGeom prst="rect">
                      <a:avLst/>
                    </a:prstGeom>
                  </pic:spPr>
                </pic:pic>
              </a:graphicData>
            </a:graphic>
          </wp:inline>
        </w:drawing>
      </w:r>
    </w:p>
    <w:p w14:paraId="5B6D5A52" w14:textId="6621400B" w:rsidR="00CC33BA" w:rsidRDefault="00CC33BA" w:rsidP="00CC33BA">
      <w:pPr>
        <w:pStyle w:val="Caption"/>
      </w:pPr>
      <w:bookmarkStart w:id="26" w:name="_Ref161743698"/>
      <w:bookmarkStart w:id="27" w:name="_Toc162948221"/>
      <w:r>
        <w:t xml:space="preserve">Figure </w:t>
      </w:r>
      <w:r w:rsidR="0093755C">
        <w:rPr>
          <w:noProof/>
        </w:rPr>
        <w:fldChar w:fldCharType="begin"/>
      </w:r>
      <w:r w:rsidR="0093755C">
        <w:rPr>
          <w:noProof/>
        </w:rPr>
        <w:instrText xml:space="preserve"> SEQ Figure \* ARABIC </w:instrText>
      </w:r>
      <w:r w:rsidR="0093755C">
        <w:rPr>
          <w:noProof/>
        </w:rPr>
        <w:fldChar w:fldCharType="separate"/>
      </w:r>
      <w:r w:rsidR="004A78BF">
        <w:rPr>
          <w:noProof/>
        </w:rPr>
        <w:t>3</w:t>
      </w:r>
      <w:r w:rsidR="0093755C">
        <w:rPr>
          <w:noProof/>
        </w:rPr>
        <w:fldChar w:fldCharType="end"/>
      </w:r>
      <w:bookmarkEnd w:id="26"/>
      <w:r>
        <w:t>. Primary benthic stations in the Roanoke River Project.</w:t>
      </w:r>
      <w:bookmarkEnd w:id="27"/>
    </w:p>
    <w:p w14:paraId="53323CA6" w14:textId="77777777" w:rsidR="00CC33BA" w:rsidRPr="00CC33BA" w:rsidRDefault="00CC33BA" w:rsidP="00CC33BA"/>
    <w:p w14:paraId="5F7969F9" w14:textId="65820A52" w:rsidR="0099606A" w:rsidRPr="00A233DE" w:rsidRDefault="00C80905" w:rsidP="00587F90">
      <w:pPr>
        <w:pStyle w:val="Heading2"/>
      </w:pPr>
      <w:bookmarkStart w:id="28" w:name="_Toc162948153"/>
      <w:r w:rsidRPr="00A233DE">
        <w:t>Benthic Assessments</w:t>
      </w:r>
      <w:bookmarkEnd w:id="28"/>
    </w:p>
    <w:p w14:paraId="582D3DDE" w14:textId="1B4A9A74" w:rsidR="00DB3097" w:rsidRDefault="00FC06DB" w:rsidP="00C80905">
      <w:pPr>
        <w:spacing w:before="120" w:after="120" w:line="360" w:lineRule="auto"/>
        <w:rPr>
          <w:rFonts w:eastAsia="Times New Roman"/>
        </w:rPr>
      </w:pPr>
      <w:r>
        <w:rPr>
          <w:rFonts w:eastAsia="Times New Roman"/>
        </w:rPr>
        <w:t>To assess the health of streams in Virginia and e</w:t>
      </w:r>
      <w:r w:rsidR="00DB3097" w:rsidRPr="527F7B30">
        <w:rPr>
          <w:rFonts w:eastAsia="Times New Roman"/>
        </w:rPr>
        <w:t xml:space="preserve">valuate compliance with the </w:t>
      </w:r>
      <w:r w:rsidR="00DB3097">
        <w:rPr>
          <w:rFonts w:eastAsia="Times New Roman"/>
        </w:rPr>
        <w:t>general aquatic life s</w:t>
      </w:r>
      <w:r w:rsidR="00DB3097" w:rsidRPr="527F7B30">
        <w:rPr>
          <w:rFonts w:eastAsia="Times New Roman"/>
        </w:rPr>
        <w:t>tandard</w:t>
      </w:r>
      <w:r>
        <w:rPr>
          <w:rFonts w:eastAsia="Times New Roman"/>
        </w:rPr>
        <w:t>, VDEQ</w:t>
      </w:r>
      <w:r w:rsidR="00DB3097" w:rsidRPr="527F7B30">
        <w:rPr>
          <w:rFonts w:eastAsia="Times New Roman"/>
        </w:rPr>
        <w:t xml:space="preserve"> us</w:t>
      </w:r>
      <w:r>
        <w:rPr>
          <w:rFonts w:eastAsia="Times New Roman"/>
        </w:rPr>
        <w:t>es</w:t>
      </w:r>
      <w:r w:rsidR="00DB3097" w:rsidRPr="527F7B30">
        <w:rPr>
          <w:rFonts w:eastAsia="Times New Roman"/>
        </w:rPr>
        <w:t xml:space="preserve"> the Virginia Stream Condition Index (SCI). This index was first developed by Tetra Tech (</w:t>
      </w:r>
      <w:r w:rsidR="009C6BDB">
        <w:rPr>
          <w:rFonts w:eastAsia="Times New Roman"/>
        </w:rPr>
        <w:t xml:space="preserve">Burton and Gerritsen, </w:t>
      </w:r>
      <w:r w:rsidR="00DB3097" w:rsidRPr="00BC350B">
        <w:rPr>
          <w:rFonts w:eastAsia="Times New Roman"/>
        </w:rPr>
        <w:t>2003</w:t>
      </w:r>
      <w:r w:rsidR="00DB3097" w:rsidRPr="527F7B30">
        <w:rPr>
          <w:rFonts w:eastAsia="Times New Roman"/>
        </w:rPr>
        <w:t xml:space="preserve">) and later validated by </w:t>
      </w:r>
      <w:r w:rsidR="00DB3097">
        <w:rPr>
          <w:rFonts w:eastAsia="Times New Roman"/>
        </w:rPr>
        <w:t>VDEQ</w:t>
      </w:r>
      <w:r w:rsidR="00DB3097" w:rsidRPr="527F7B30">
        <w:rPr>
          <w:rFonts w:eastAsia="Times New Roman"/>
        </w:rPr>
        <w:t xml:space="preserve"> (</w:t>
      </w:r>
      <w:r w:rsidR="00DB3097" w:rsidRPr="00F71D58">
        <w:rPr>
          <w:rFonts w:eastAsia="Times New Roman"/>
        </w:rPr>
        <w:t>2006</w:t>
      </w:r>
      <w:r w:rsidR="00DB3097" w:rsidRPr="527F7B30">
        <w:rPr>
          <w:rFonts w:eastAsia="Times New Roman"/>
        </w:rPr>
        <w:t xml:space="preserve">). The SCI is a </w:t>
      </w:r>
      <w:proofErr w:type="spellStart"/>
      <w:r w:rsidR="00DB3097" w:rsidRPr="527F7B30">
        <w:rPr>
          <w:rFonts w:eastAsia="Times New Roman"/>
        </w:rPr>
        <w:t>multimetric</w:t>
      </w:r>
      <w:proofErr w:type="spellEnd"/>
      <w:r w:rsidR="00DB3097" w:rsidRPr="527F7B30">
        <w:rPr>
          <w:rFonts w:eastAsia="Times New Roman"/>
        </w:rPr>
        <w:t xml:space="preserve"> index based on 8 biomonitoring metrics</w:t>
      </w:r>
      <w:r>
        <w:rPr>
          <w:rFonts w:eastAsia="Times New Roman"/>
        </w:rPr>
        <w:t xml:space="preserve"> of the benthic macroinvertebrate community</w:t>
      </w:r>
      <w:r w:rsidR="00DB3097" w:rsidRPr="527F7B30">
        <w:rPr>
          <w:rFonts w:eastAsia="Times New Roman"/>
        </w:rPr>
        <w:t>. The index provides a score from 0-100</w:t>
      </w:r>
      <w:r>
        <w:rPr>
          <w:rFonts w:eastAsia="Times New Roman"/>
        </w:rPr>
        <w:t xml:space="preserve">. Scores of 60 and above are considered healthy, and scores below 60 are considered impaired. </w:t>
      </w:r>
    </w:p>
    <w:p w14:paraId="1E2C4226" w14:textId="77777777" w:rsidR="00F81297" w:rsidRPr="002F372A" w:rsidRDefault="00F81297" w:rsidP="00F81297">
      <w:pPr>
        <w:pStyle w:val="Heading3"/>
      </w:pPr>
      <w:bookmarkStart w:id="29" w:name="_Toc162948154"/>
      <w:r>
        <w:t>Spatial Analysis of</w:t>
      </w:r>
      <w:r w:rsidRPr="002F372A">
        <w:t xml:space="preserve"> Benthic Data</w:t>
      </w:r>
      <w:bookmarkEnd w:id="29"/>
    </w:p>
    <w:p w14:paraId="167802C9" w14:textId="0C87D08C" w:rsidR="00EB77FF" w:rsidRDefault="00C80905" w:rsidP="00C80905">
      <w:pPr>
        <w:spacing w:before="120" w:after="120" w:line="360" w:lineRule="auto"/>
      </w:pPr>
      <w:r w:rsidRPr="00A233DE">
        <w:t xml:space="preserve">VDEQ conducted benthic assessments at </w:t>
      </w:r>
      <w:r w:rsidR="00587796">
        <w:t xml:space="preserve">34 stations within the impaired Wolf Creek, Tinker Creek, and Roanoke River watersheds for varying periods of time. </w:t>
      </w:r>
      <w:r w:rsidR="00526C74" w:rsidRPr="00A233DE">
        <w:fldChar w:fldCharType="begin"/>
      </w:r>
      <w:r w:rsidR="00526C74" w:rsidRPr="00A233DE">
        <w:instrText xml:space="preserve"> REF _Ref42674657 </w:instrText>
      </w:r>
      <w:r w:rsidR="00867C44" w:rsidRPr="00A233DE">
        <w:instrText xml:space="preserve"> \* MERGEFORMAT </w:instrText>
      </w:r>
      <w:r w:rsidR="00526C74" w:rsidRPr="00A233DE">
        <w:fldChar w:fldCharType="separate"/>
      </w:r>
      <w:r w:rsidR="004A78BF" w:rsidRPr="00A233DE">
        <w:t xml:space="preserve">Table </w:t>
      </w:r>
      <w:r w:rsidR="004A78BF">
        <w:rPr>
          <w:noProof/>
        </w:rPr>
        <w:t>4</w:t>
      </w:r>
      <w:r w:rsidR="00526C74" w:rsidRPr="00A233DE">
        <w:rPr>
          <w:noProof/>
        </w:rPr>
        <w:fldChar w:fldCharType="end"/>
      </w:r>
      <w:r w:rsidR="00237185" w:rsidRPr="00A233DE">
        <w:rPr>
          <w:noProof/>
        </w:rPr>
        <w:t xml:space="preserve"> </w:t>
      </w:r>
      <w:r w:rsidR="008637D3" w:rsidRPr="00A233DE">
        <w:rPr>
          <w:noProof/>
        </w:rPr>
        <w:t xml:space="preserve">and </w:t>
      </w:r>
      <w:r w:rsidR="00526C74" w:rsidRPr="00A233DE">
        <w:fldChar w:fldCharType="begin"/>
      </w:r>
      <w:r w:rsidR="00526C74" w:rsidRPr="00A233DE">
        <w:instrText xml:space="preserve"> REF _Ref42674672 </w:instrText>
      </w:r>
      <w:r w:rsidR="00867C44" w:rsidRPr="00A233DE">
        <w:instrText xml:space="preserve"> \* MERGEFORMAT </w:instrText>
      </w:r>
      <w:r w:rsidR="00526C74" w:rsidRPr="00A233DE">
        <w:fldChar w:fldCharType="separate"/>
      </w:r>
      <w:r w:rsidR="004A78BF" w:rsidRPr="00D50947">
        <w:t xml:space="preserve">Figure </w:t>
      </w:r>
      <w:r w:rsidR="004A78BF">
        <w:rPr>
          <w:noProof/>
        </w:rPr>
        <w:t>4</w:t>
      </w:r>
      <w:r w:rsidR="00526C74" w:rsidRPr="00A233DE">
        <w:rPr>
          <w:noProof/>
        </w:rPr>
        <w:fldChar w:fldCharType="end"/>
      </w:r>
      <w:r w:rsidR="008637D3" w:rsidRPr="00A233DE">
        <w:rPr>
          <w:noProof/>
        </w:rPr>
        <w:t xml:space="preserve"> </w:t>
      </w:r>
      <w:r w:rsidRPr="00A233DE">
        <w:t xml:space="preserve">show the average SCI scores for each station. </w:t>
      </w:r>
      <w:r w:rsidR="00587796">
        <w:t xml:space="preserve">At the impaired Wolf Creek station (4AWOR000.34), </w:t>
      </w:r>
      <w:r w:rsidR="00A233DE">
        <w:t xml:space="preserve">SCI scores </w:t>
      </w:r>
      <w:r w:rsidR="006B1625">
        <w:t xml:space="preserve">averaged </w:t>
      </w:r>
      <w:r w:rsidR="00587796">
        <w:t>47.3</w:t>
      </w:r>
      <w:r w:rsidR="0034220B">
        <w:t>,</w:t>
      </w:r>
      <w:r w:rsidR="00587796">
        <w:t xml:space="preserve"> indicating a moderate impairment.</w:t>
      </w:r>
      <w:r w:rsidR="006B1625">
        <w:t xml:space="preserve"> </w:t>
      </w:r>
      <w:r w:rsidR="00EB77FF">
        <w:t>No other benthic stations were assessed within the Wolf Creek watershed.</w:t>
      </w:r>
    </w:p>
    <w:p w14:paraId="74A840B6" w14:textId="490044DD" w:rsidR="0093378F" w:rsidRDefault="00D4593B" w:rsidP="00C80905">
      <w:pPr>
        <w:spacing w:before="120" w:after="120" w:line="360" w:lineRule="auto"/>
      </w:pPr>
      <w:r>
        <w:t xml:space="preserve">At the most downstream Tinker Creek station (4ATKR000.69), SCI scores averaged 45.4, </w:t>
      </w:r>
      <w:r w:rsidR="00C8537A">
        <w:t xml:space="preserve">indicating a moderate impairment. </w:t>
      </w:r>
      <w:r w:rsidR="0093378F">
        <w:t>B</w:t>
      </w:r>
      <w:r w:rsidR="00C8537A">
        <w:t>enthic scores on Tinker Creek</w:t>
      </w:r>
      <w:r w:rsidR="0093378F">
        <w:t xml:space="preserve">, however, </w:t>
      </w:r>
      <w:r w:rsidR="00C8537A">
        <w:t xml:space="preserve">consistently improve </w:t>
      </w:r>
      <w:r>
        <w:t>moving upstream</w:t>
      </w:r>
      <w:r w:rsidR="00F159AC">
        <w:t xml:space="preserve"> (</w:t>
      </w:r>
      <w:r w:rsidR="00F159AC">
        <w:fldChar w:fldCharType="begin"/>
      </w:r>
      <w:r w:rsidR="00F159AC">
        <w:instrText xml:space="preserve"> REF _Ref135723681 \h </w:instrText>
      </w:r>
      <w:r w:rsidR="00F159AC">
        <w:fldChar w:fldCharType="separate"/>
      </w:r>
      <w:r w:rsidR="004A78BF">
        <w:t xml:space="preserve">Figure </w:t>
      </w:r>
      <w:r w:rsidR="004A78BF">
        <w:rPr>
          <w:noProof/>
        </w:rPr>
        <w:t>5</w:t>
      </w:r>
      <w:r w:rsidR="00F159AC">
        <w:fldChar w:fldCharType="end"/>
      </w:r>
      <w:r w:rsidR="00F159AC">
        <w:t>)</w:t>
      </w:r>
      <w:r>
        <w:t>. While the current benthic impairment extends for 11.87 miles upstream, benthic scores from mile 2.26 to 10.54 averaged from 61 to 65.5. If benthic health in this reach continues to score above the impairment threshold, the middle portion of Tinker Creek may be a candidate for delisting</w:t>
      </w:r>
      <w:r w:rsidR="00C8537A">
        <w:t xml:space="preserve"> in upcoming water quality assessments</w:t>
      </w:r>
      <w:r>
        <w:t xml:space="preserve">. </w:t>
      </w:r>
      <w:r w:rsidR="00C8537A">
        <w:t xml:space="preserve">In the </w:t>
      </w:r>
      <w:r w:rsidR="00EB77FF">
        <w:t xml:space="preserve">unimpaired </w:t>
      </w:r>
      <w:r w:rsidR="00C8537A">
        <w:t xml:space="preserve">upstream reach of Tinker Creek, SCI scores averaged </w:t>
      </w:r>
      <w:r w:rsidR="0093378F">
        <w:t>70.2 at station 4ATKR014.16. This station w</w:t>
      </w:r>
      <w:r w:rsidR="00A704D0">
        <w:t>as</w:t>
      </w:r>
      <w:r w:rsidR="0093378F">
        <w:t xml:space="preserve"> used as a benthic reference station for impaired Wolf Creek and Tinker Creek stations. </w:t>
      </w:r>
      <w:r w:rsidR="00F159AC">
        <w:t>Spatial analysis of benthic scores in the Tinker Creek watershed show</w:t>
      </w:r>
      <w:r w:rsidR="007A150B">
        <w:t>s</w:t>
      </w:r>
      <w:r w:rsidR="00F159AC">
        <w:t xml:space="preserve"> healthy conditions in the upstream reaches and </w:t>
      </w:r>
      <w:r w:rsidR="00872655">
        <w:t xml:space="preserve">in upstream </w:t>
      </w:r>
      <w:r w:rsidR="00F159AC">
        <w:t xml:space="preserve">tributaries, such as </w:t>
      </w:r>
      <w:proofErr w:type="spellStart"/>
      <w:r w:rsidR="00F159AC">
        <w:t>Carvin</w:t>
      </w:r>
      <w:proofErr w:type="spellEnd"/>
      <w:r w:rsidR="00F159AC">
        <w:t xml:space="preserve"> Creek. Benthic scores decrease as Tinker Creek reaches the more urbanized areas of Roanoke City and flow is contributed by Glade Creek and Lick Run tributaries. By the time Tinker Creek reaches the mouth, benthic conditions are moderately impaired.</w:t>
      </w:r>
    </w:p>
    <w:p w14:paraId="061075BB" w14:textId="031AF147" w:rsidR="008637D3" w:rsidRPr="00F159AC" w:rsidRDefault="00F159AC" w:rsidP="00C80905">
      <w:pPr>
        <w:spacing w:before="120" w:after="120" w:line="360" w:lineRule="auto"/>
      </w:pPr>
      <w:r>
        <w:t xml:space="preserve">In the </w:t>
      </w:r>
      <w:r w:rsidR="004365DB" w:rsidRPr="00F159AC">
        <w:t>Roanoke</w:t>
      </w:r>
      <w:r>
        <w:t xml:space="preserve"> River, average benthic scores within the lower impaired reach ranged from 44.9 to 55.3, indicating a moderate impairment. Similar to Tinker Creek, </w:t>
      </w:r>
      <w:r w:rsidR="00872655">
        <w:t>benthic conditions improve moving upstream in the Roanoke River (</w:t>
      </w:r>
      <w:r w:rsidR="00872655">
        <w:fldChar w:fldCharType="begin"/>
      </w:r>
      <w:r w:rsidR="00872655">
        <w:instrText xml:space="preserve"> REF _Ref135723681 \h </w:instrText>
      </w:r>
      <w:r w:rsidR="00872655">
        <w:fldChar w:fldCharType="separate"/>
      </w:r>
      <w:r w:rsidR="004A78BF">
        <w:t xml:space="preserve">Figure </w:t>
      </w:r>
      <w:r w:rsidR="004A78BF">
        <w:rPr>
          <w:noProof/>
        </w:rPr>
        <w:t>5</w:t>
      </w:r>
      <w:r w:rsidR="00872655">
        <w:fldChar w:fldCharType="end"/>
      </w:r>
      <w:r w:rsidR="00872655">
        <w:t>). Within the upstream unimpaired reach from river mile 206.95 to 226.86, average SCI scores ranged from 60 to 74, indicating healthy conditions. Station 4AROA0212.17</w:t>
      </w:r>
      <w:r w:rsidR="007A150B">
        <w:t>, within this upstream unimpaired reach,</w:t>
      </w:r>
      <w:r w:rsidR="00872655">
        <w:t xml:space="preserve"> </w:t>
      </w:r>
      <w:r w:rsidR="00A704D0">
        <w:t>was</w:t>
      </w:r>
      <w:r w:rsidR="00872655">
        <w:t xml:space="preserve"> used as a benthic reference </w:t>
      </w:r>
      <w:r w:rsidR="007A150B">
        <w:t>for the Roanoke River. Downstream from this station, a number of impaired tributaries join the Roanoke River. These include Barnhardt Creek, Gish Branch, Mud Lick Creek, Mason Creek, Murray Run, Ore Branch, Peters Creek</w:t>
      </w:r>
      <w:r w:rsidR="006C6DD8">
        <w:t>, Tinker Creek, and Wolf Creek</w:t>
      </w:r>
      <w:r w:rsidR="007A150B">
        <w:t xml:space="preserve">. Benthic conditions in all of these tributaries are poor, and some are very poor. SCI scores averaged as low as 19.4, and 4 of these tributaries had average SCI scores below 30. </w:t>
      </w:r>
      <w:r w:rsidR="006C6DD8">
        <w:t>Effluent from a large municipal wastewater treatment plant (Western Virginia Water Authority</w:t>
      </w:r>
      <w:r w:rsidR="001415B3">
        <w:t xml:space="preserve"> Water Pollution Control Plant, permit #VA0025020</w:t>
      </w:r>
      <w:r w:rsidR="006C6DD8">
        <w:t xml:space="preserve">) also discharges to the Roanoke River within the impaired reach at approximately river mile 202. </w:t>
      </w:r>
      <w:r w:rsidR="007A150B">
        <w:t xml:space="preserve">Spatial analysis of benthic scores within the Roanoke River watershed shows healthy conditions in the upstream reaches, with progressively degrading conditions </w:t>
      </w:r>
      <w:r w:rsidR="00DC6ED3">
        <w:t xml:space="preserve">as impaired tributaries enter the river from river mile 211 through 200. Flow from impaired tributaries </w:t>
      </w:r>
      <w:r w:rsidR="00530BA2">
        <w:t xml:space="preserve">and the wastewater discharge </w:t>
      </w:r>
      <w:r w:rsidR="00DC6ED3">
        <w:t>progressively account for more of the flow in the Roanoke River</w:t>
      </w:r>
      <w:r w:rsidR="00530BA2">
        <w:t xml:space="preserve"> moving dow</w:t>
      </w:r>
      <w:r w:rsidR="001C6E61">
        <w:t>n</w:t>
      </w:r>
      <w:r w:rsidR="00530BA2">
        <w:t>stream</w:t>
      </w:r>
      <w:r w:rsidR="00DC6ED3">
        <w:t xml:space="preserve">. These cumulative effects degrade benthic conditions in the Roanoke River to below the benthic threshold downstream </w:t>
      </w:r>
      <w:r w:rsidR="007D5729">
        <w:t>from river mile 205.</w:t>
      </w:r>
      <w:r w:rsidR="007A150B">
        <w:t xml:space="preserve"> </w:t>
      </w:r>
      <w:r w:rsidR="002E7675">
        <w:t xml:space="preserve">With the exception of station 4AROA0205.67, which was only monitored once, the most degraded benthic conditions were observed at the most downstream station, 4AROA0198.08. </w:t>
      </w:r>
      <w:r w:rsidR="00A233DE" w:rsidRPr="00F159AC">
        <w:t xml:space="preserve"> </w:t>
      </w:r>
    </w:p>
    <w:p w14:paraId="0B1A4806" w14:textId="78AB954C" w:rsidR="008637D3" w:rsidRPr="00A233DE" w:rsidRDefault="008637D3" w:rsidP="008637D3">
      <w:pPr>
        <w:pStyle w:val="Caption"/>
      </w:pPr>
      <w:bookmarkStart w:id="30" w:name="_Ref42674657"/>
      <w:bookmarkStart w:id="31" w:name="_Toc162948271"/>
      <w:r w:rsidRPr="00A233DE">
        <w:t xml:space="preserve">Table </w:t>
      </w:r>
      <w:r w:rsidRPr="00A233DE">
        <w:rPr>
          <w:noProof/>
        </w:rPr>
        <w:fldChar w:fldCharType="begin"/>
      </w:r>
      <w:r w:rsidRPr="00A233DE">
        <w:rPr>
          <w:noProof/>
        </w:rPr>
        <w:instrText xml:space="preserve"> SEQ Table \* ARABIC </w:instrText>
      </w:r>
      <w:r w:rsidRPr="00A233DE">
        <w:rPr>
          <w:noProof/>
        </w:rPr>
        <w:fldChar w:fldCharType="separate"/>
      </w:r>
      <w:r w:rsidR="004A78BF">
        <w:rPr>
          <w:noProof/>
        </w:rPr>
        <w:t>4</w:t>
      </w:r>
      <w:r w:rsidRPr="00A233DE">
        <w:rPr>
          <w:noProof/>
        </w:rPr>
        <w:fldChar w:fldCharType="end"/>
      </w:r>
      <w:bookmarkEnd w:id="30"/>
      <w:r w:rsidRPr="00A233DE">
        <w:t xml:space="preserve">. Benthic scores in </w:t>
      </w:r>
      <w:r w:rsidR="00156F5C">
        <w:t>the Roanoke River Project area</w:t>
      </w:r>
      <w:r w:rsidRPr="00A233DE">
        <w:t>.</w:t>
      </w:r>
      <w:bookmarkEnd w:id="31"/>
    </w:p>
    <w:tbl>
      <w:tblPr>
        <w:tblW w:w="9393"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3"/>
        <w:gridCol w:w="1350"/>
        <w:gridCol w:w="1350"/>
        <w:gridCol w:w="1170"/>
        <w:gridCol w:w="990"/>
        <w:gridCol w:w="900"/>
        <w:gridCol w:w="990"/>
        <w:gridCol w:w="1260"/>
      </w:tblGrid>
      <w:tr w:rsidR="007B63DE" w:rsidRPr="00A233DE" w14:paraId="7E23596B" w14:textId="77777777" w:rsidTr="007B63DE">
        <w:trPr>
          <w:trHeight w:val="732"/>
        </w:trPr>
        <w:tc>
          <w:tcPr>
            <w:tcW w:w="1383" w:type="dxa"/>
            <w:shd w:val="clear" w:color="auto" w:fill="D9D9D9" w:themeFill="background1" w:themeFillShade="D9"/>
            <w:vAlign w:val="center"/>
          </w:tcPr>
          <w:p w14:paraId="0A49C841" w14:textId="77777777" w:rsidR="007B63DE" w:rsidRPr="00A233DE" w:rsidRDefault="007B63DE" w:rsidP="004D2C24">
            <w:pPr>
              <w:keepNext/>
              <w:autoSpaceDE w:val="0"/>
              <w:autoSpaceDN w:val="0"/>
              <w:adjustRightInd w:val="0"/>
              <w:jc w:val="center"/>
              <w:rPr>
                <w:rFonts w:ascii="Arial Narrow" w:hAnsi="Arial Narrow" w:cs="Calibri"/>
                <w:b/>
                <w:bCs/>
                <w:color w:val="000000"/>
                <w:sz w:val="20"/>
                <w:szCs w:val="20"/>
              </w:rPr>
            </w:pPr>
            <w:r w:rsidRPr="00A233DE">
              <w:rPr>
                <w:rFonts w:ascii="Arial Narrow" w:hAnsi="Arial Narrow" w:cs="Calibri"/>
                <w:b/>
                <w:bCs/>
                <w:color w:val="000000"/>
                <w:sz w:val="20"/>
                <w:szCs w:val="20"/>
              </w:rPr>
              <w:t>Watershed</w:t>
            </w:r>
          </w:p>
        </w:tc>
        <w:tc>
          <w:tcPr>
            <w:tcW w:w="1350" w:type="dxa"/>
            <w:shd w:val="clear" w:color="auto" w:fill="D9D9D9" w:themeFill="background1" w:themeFillShade="D9"/>
            <w:vAlign w:val="center"/>
          </w:tcPr>
          <w:p w14:paraId="4B941052" w14:textId="77777777" w:rsidR="007B63DE" w:rsidRPr="00A233DE" w:rsidRDefault="007B63DE" w:rsidP="004D2C24">
            <w:pPr>
              <w:keepNext/>
              <w:autoSpaceDE w:val="0"/>
              <w:autoSpaceDN w:val="0"/>
              <w:adjustRightInd w:val="0"/>
              <w:jc w:val="center"/>
              <w:rPr>
                <w:rFonts w:ascii="Arial Narrow" w:hAnsi="Arial Narrow" w:cs="Calibri"/>
                <w:b/>
                <w:bCs/>
                <w:color w:val="000000"/>
                <w:sz w:val="20"/>
                <w:szCs w:val="20"/>
              </w:rPr>
            </w:pPr>
            <w:r w:rsidRPr="00A233DE">
              <w:rPr>
                <w:rFonts w:ascii="Arial Narrow" w:hAnsi="Arial Narrow" w:cs="Calibri"/>
                <w:b/>
                <w:bCs/>
                <w:color w:val="000000"/>
                <w:sz w:val="20"/>
                <w:szCs w:val="20"/>
              </w:rPr>
              <w:t>Stream</w:t>
            </w:r>
          </w:p>
        </w:tc>
        <w:tc>
          <w:tcPr>
            <w:tcW w:w="1350" w:type="dxa"/>
            <w:shd w:val="clear" w:color="auto" w:fill="D9D9D9" w:themeFill="background1" w:themeFillShade="D9"/>
            <w:vAlign w:val="center"/>
          </w:tcPr>
          <w:p w14:paraId="0A430829" w14:textId="77777777" w:rsidR="007B63DE" w:rsidRPr="00A233DE" w:rsidRDefault="007B63DE" w:rsidP="004D2C24">
            <w:pPr>
              <w:keepNext/>
              <w:autoSpaceDE w:val="0"/>
              <w:autoSpaceDN w:val="0"/>
              <w:adjustRightInd w:val="0"/>
              <w:jc w:val="center"/>
              <w:rPr>
                <w:rFonts w:ascii="Arial Narrow" w:hAnsi="Arial Narrow" w:cs="Calibri"/>
                <w:b/>
                <w:bCs/>
                <w:color w:val="000000"/>
                <w:sz w:val="20"/>
                <w:szCs w:val="20"/>
              </w:rPr>
            </w:pPr>
            <w:r w:rsidRPr="00A233DE">
              <w:rPr>
                <w:rFonts w:ascii="Arial Narrow" w:hAnsi="Arial Narrow" w:cs="Calibri"/>
                <w:b/>
                <w:bCs/>
                <w:color w:val="000000"/>
                <w:sz w:val="20"/>
                <w:szCs w:val="20"/>
              </w:rPr>
              <w:t>Station</w:t>
            </w:r>
          </w:p>
        </w:tc>
        <w:tc>
          <w:tcPr>
            <w:tcW w:w="1170" w:type="dxa"/>
            <w:shd w:val="clear" w:color="auto" w:fill="D9D9D9" w:themeFill="background1" w:themeFillShade="D9"/>
            <w:vAlign w:val="center"/>
          </w:tcPr>
          <w:p w14:paraId="489CD5BA" w14:textId="77777777" w:rsidR="007B63DE" w:rsidRPr="00A233DE" w:rsidRDefault="007B63DE" w:rsidP="004D2C24">
            <w:pPr>
              <w:keepNext/>
              <w:autoSpaceDE w:val="0"/>
              <w:autoSpaceDN w:val="0"/>
              <w:adjustRightInd w:val="0"/>
              <w:jc w:val="center"/>
              <w:rPr>
                <w:rFonts w:ascii="Arial Narrow" w:hAnsi="Arial Narrow" w:cs="Calibri"/>
                <w:b/>
                <w:bCs/>
                <w:color w:val="000000"/>
                <w:sz w:val="20"/>
                <w:szCs w:val="20"/>
              </w:rPr>
            </w:pPr>
            <w:r w:rsidRPr="00A233DE">
              <w:rPr>
                <w:rFonts w:ascii="Arial Narrow" w:hAnsi="Arial Narrow" w:cs="Calibri"/>
                <w:b/>
                <w:bCs/>
                <w:color w:val="000000"/>
                <w:sz w:val="20"/>
                <w:szCs w:val="20"/>
              </w:rPr>
              <w:t>Years Sampled</w:t>
            </w:r>
          </w:p>
        </w:tc>
        <w:tc>
          <w:tcPr>
            <w:tcW w:w="990" w:type="dxa"/>
            <w:shd w:val="clear" w:color="auto" w:fill="D9D9D9" w:themeFill="background1" w:themeFillShade="D9"/>
            <w:vAlign w:val="center"/>
          </w:tcPr>
          <w:p w14:paraId="43C00953" w14:textId="77777777" w:rsidR="007B63DE" w:rsidRPr="00A233DE" w:rsidRDefault="007B63DE" w:rsidP="004D2C24">
            <w:pPr>
              <w:keepNext/>
              <w:autoSpaceDE w:val="0"/>
              <w:autoSpaceDN w:val="0"/>
              <w:adjustRightInd w:val="0"/>
              <w:jc w:val="center"/>
              <w:rPr>
                <w:rFonts w:ascii="Arial Narrow" w:hAnsi="Arial Narrow" w:cs="Calibri"/>
                <w:b/>
                <w:bCs/>
                <w:color w:val="000000"/>
                <w:sz w:val="20"/>
                <w:szCs w:val="20"/>
              </w:rPr>
            </w:pPr>
            <w:r w:rsidRPr="00A233DE">
              <w:rPr>
                <w:rFonts w:ascii="Arial Narrow" w:hAnsi="Arial Narrow" w:cs="Calibri"/>
                <w:b/>
                <w:bCs/>
                <w:color w:val="000000"/>
                <w:sz w:val="20"/>
                <w:szCs w:val="20"/>
              </w:rPr>
              <w:t>Samples Collected</w:t>
            </w:r>
          </w:p>
        </w:tc>
        <w:tc>
          <w:tcPr>
            <w:tcW w:w="900" w:type="dxa"/>
            <w:shd w:val="clear" w:color="auto" w:fill="D9D9D9" w:themeFill="background1" w:themeFillShade="D9"/>
            <w:vAlign w:val="center"/>
          </w:tcPr>
          <w:p w14:paraId="6C2BA2D8" w14:textId="235FF35C" w:rsidR="007B63DE" w:rsidRDefault="007B63DE" w:rsidP="004D2C24">
            <w:pPr>
              <w:keepNext/>
              <w:autoSpaceDE w:val="0"/>
              <w:autoSpaceDN w:val="0"/>
              <w:adjustRightInd w:val="0"/>
              <w:jc w:val="center"/>
              <w:rPr>
                <w:rFonts w:ascii="Arial Narrow" w:hAnsi="Arial Narrow" w:cs="Calibri"/>
                <w:b/>
                <w:bCs/>
                <w:color w:val="000000"/>
                <w:sz w:val="20"/>
                <w:szCs w:val="20"/>
              </w:rPr>
            </w:pPr>
            <w:r w:rsidRPr="00A233DE">
              <w:rPr>
                <w:rFonts w:ascii="Arial Narrow" w:hAnsi="Arial Narrow" w:cs="Calibri"/>
                <w:b/>
                <w:bCs/>
                <w:color w:val="000000"/>
                <w:sz w:val="20"/>
                <w:szCs w:val="20"/>
              </w:rPr>
              <w:t>SCI Average</w:t>
            </w:r>
          </w:p>
          <w:p w14:paraId="39329D4E" w14:textId="61DE4E51" w:rsidR="007B63DE" w:rsidRPr="00A233DE" w:rsidRDefault="007B63DE" w:rsidP="004D2C24">
            <w:pPr>
              <w:keepNext/>
              <w:autoSpaceDE w:val="0"/>
              <w:autoSpaceDN w:val="0"/>
              <w:adjustRightInd w:val="0"/>
              <w:jc w:val="center"/>
              <w:rPr>
                <w:rFonts w:ascii="Arial Narrow" w:hAnsi="Arial Narrow" w:cs="Calibri"/>
                <w:b/>
                <w:bCs/>
                <w:color w:val="000000"/>
                <w:sz w:val="20"/>
                <w:szCs w:val="20"/>
              </w:rPr>
            </w:pPr>
            <w:r>
              <w:rPr>
                <w:rFonts w:ascii="Arial Narrow" w:hAnsi="Arial Narrow" w:cs="Calibri"/>
                <w:b/>
                <w:bCs/>
                <w:color w:val="000000"/>
                <w:sz w:val="20"/>
                <w:szCs w:val="20"/>
              </w:rPr>
              <w:t>(All)</w:t>
            </w:r>
            <w:r w:rsidRPr="007B63DE">
              <w:rPr>
                <w:rFonts w:ascii="Arial Narrow" w:hAnsi="Arial Narrow" w:cs="Calibri"/>
                <w:b/>
                <w:bCs/>
                <w:color w:val="000000"/>
                <w:sz w:val="20"/>
                <w:szCs w:val="20"/>
                <w:vertAlign w:val="superscript"/>
              </w:rPr>
              <w:t>1</w:t>
            </w:r>
          </w:p>
        </w:tc>
        <w:tc>
          <w:tcPr>
            <w:tcW w:w="990" w:type="dxa"/>
            <w:shd w:val="clear" w:color="auto" w:fill="D9D9D9" w:themeFill="background1" w:themeFillShade="D9"/>
          </w:tcPr>
          <w:p w14:paraId="16EE42D5" w14:textId="286F66F9" w:rsidR="007B63DE" w:rsidRPr="001239B1" w:rsidRDefault="007B63DE" w:rsidP="004D2C24">
            <w:pPr>
              <w:keepNext/>
              <w:autoSpaceDE w:val="0"/>
              <w:autoSpaceDN w:val="0"/>
              <w:adjustRightInd w:val="0"/>
              <w:jc w:val="center"/>
              <w:rPr>
                <w:rFonts w:ascii="Arial Narrow" w:hAnsi="Arial Narrow" w:cs="Calibri"/>
                <w:b/>
                <w:bCs/>
                <w:color w:val="000000"/>
                <w:sz w:val="20"/>
                <w:szCs w:val="20"/>
              </w:rPr>
            </w:pPr>
            <w:r w:rsidRPr="001239B1">
              <w:rPr>
                <w:rFonts w:ascii="Arial Narrow" w:hAnsi="Arial Narrow" w:cs="Calibri"/>
                <w:b/>
                <w:bCs/>
                <w:color w:val="000000"/>
                <w:sz w:val="20"/>
                <w:szCs w:val="20"/>
              </w:rPr>
              <w:t>SCI Average (Recent)</w:t>
            </w:r>
            <w:r w:rsidRPr="001239B1">
              <w:rPr>
                <w:rFonts w:ascii="Arial Narrow" w:hAnsi="Arial Narrow" w:cs="Calibri"/>
                <w:b/>
                <w:bCs/>
                <w:color w:val="000000"/>
                <w:sz w:val="20"/>
                <w:szCs w:val="20"/>
                <w:vertAlign w:val="superscript"/>
              </w:rPr>
              <w:t>2</w:t>
            </w:r>
          </w:p>
        </w:tc>
        <w:tc>
          <w:tcPr>
            <w:tcW w:w="1260" w:type="dxa"/>
            <w:shd w:val="clear" w:color="auto" w:fill="D9D9D9" w:themeFill="background1" w:themeFillShade="D9"/>
            <w:vAlign w:val="center"/>
          </w:tcPr>
          <w:p w14:paraId="65C97F3E" w14:textId="7D64967D" w:rsidR="007B63DE" w:rsidRPr="00A233DE" w:rsidRDefault="007B63DE" w:rsidP="004D2C24">
            <w:pPr>
              <w:keepNext/>
              <w:autoSpaceDE w:val="0"/>
              <w:autoSpaceDN w:val="0"/>
              <w:adjustRightInd w:val="0"/>
              <w:jc w:val="center"/>
              <w:rPr>
                <w:rFonts w:ascii="Arial Narrow" w:hAnsi="Arial Narrow" w:cs="Calibri"/>
                <w:b/>
                <w:bCs/>
                <w:color w:val="000000"/>
                <w:sz w:val="20"/>
                <w:szCs w:val="20"/>
              </w:rPr>
            </w:pPr>
            <w:r w:rsidRPr="00A233DE">
              <w:rPr>
                <w:rFonts w:ascii="Arial Narrow" w:hAnsi="Arial Narrow" w:cs="Calibri"/>
                <w:b/>
                <w:bCs/>
                <w:color w:val="000000"/>
                <w:sz w:val="20"/>
                <w:szCs w:val="20"/>
              </w:rPr>
              <w:t>Assessment</w:t>
            </w:r>
          </w:p>
        </w:tc>
      </w:tr>
      <w:tr w:rsidR="00DB3FC8" w:rsidRPr="00A233DE" w14:paraId="034F3359" w14:textId="77777777" w:rsidTr="00546B42">
        <w:trPr>
          <w:trHeight w:val="290"/>
        </w:trPr>
        <w:tc>
          <w:tcPr>
            <w:tcW w:w="1383" w:type="dxa"/>
            <w:tcBorders>
              <w:bottom w:val="single" w:sz="4" w:space="0" w:color="auto"/>
            </w:tcBorders>
            <w:vAlign w:val="bottom"/>
          </w:tcPr>
          <w:p w14:paraId="2D2A4D4A" w14:textId="259BF19B" w:rsidR="00DB3FC8" w:rsidRPr="00156F5C" w:rsidRDefault="00DB3FC8" w:rsidP="00DB3FC8">
            <w:pPr>
              <w:keepNext/>
              <w:autoSpaceDE w:val="0"/>
              <w:autoSpaceDN w:val="0"/>
              <w:adjustRightInd w:val="0"/>
              <w:jc w:val="center"/>
              <w:rPr>
                <w:rFonts w:ascii="Arial Narrow" w:hAnsi="Arial Narrow" w:cs="Calibri"/>
                <w:color w:val="000000"/>
                <w:sz w:val="20"/>
                <w:szCs w:val="20"/>
              </w:rPr>
            </w:pPr>
            <w:r w:rsidRPr="00156F5C">
              <w:rPr>
                <w:rFonts w:ascii="Arial Narrow" w:hAnsi="Arial Narrow" w:cs="Calibri"/>
                <w:color w:val="000000"/>
                <w:sz w:val="20"/>
                <w:szCs w:val="20"/>
              </w:rPr>
              <w:t>Wolf Creek</w:t>
            </w:r>
          </w:p>
        </w:tc>
        <w:tc>
          <w:tcPr>
            <w:tcW w:w="1350" w:type="dxa"/>
            <w:tcBorders>
              <w:bottom w:val="single" w:sz="4" w:space="0" w:color="auto"/>
            </w:tcBorders>
            <w:vAlign w:val="bottom"/>
          </w:tcPr>
          <w:p w14:paraId="4AE3ED9E" w14:textId="6A90856C" w:rsidR="00DB3FC8" w:rsidRPr="00156F5C" w:rsidRDefault="00DB3FC8" w:rsidP="00DB3FC8">
            <w:pPr>
              <w:keepNext/>
              <w:autoSpaceDE w:val="0"/>
              <w:autoSpaceDN w:val="0"/>
              <w:adjustRightInd w:val="0"/>
              <w:jc w:val="center"/>
              <w:rPr>
                <w:rFonts w:ascii="Arial Narrow" w:hAnsi="Arial Narrow" w:cs="Calibri"/>
                <w:color w:val="000000"/>
                <w:sz w:val="20"/>
                <w:szCs w:val="20"/>
              </w:rPr>
            </w:pPr>
            <w:r w:rsidRPr="00156F5C">
              <w:rPr>
                <w:rFonts w:ascii="Arial Narrow" w:hAnsi="Arial Narrow" w:cs="Calibri"/>
                <w:color w:val="000000"/>
                <w:sz w:val="20"/>
                <w:szCs w:val="20"/>
              </w:rPr>
              <w:t>Wolf Creek</w:t>
            </w:r>
          </w:p>
        </w:tc>
        <w:tc>
          <w:tcPr>
            <w:tcW w:w="1350" w:type="dxa"/>
            <w:vAlign w:val="bottom"/>
          </w:tcPr>
          <w:p w14:paraId="251FA928" w14:textId="455B7054" w:rsidR="00DB3FC8" w:rsidRPr="00156F5C" w:rsidRDefault="00DB3FC8" w:rsidP="00DB3FC8">
            <w:pPr>
              <w:keepNext/>
              <w:autoSpaceDE w:val="0"/>
              <w:autoSpaceDN w:val="0"/>
              <w:adjustRightInd w:val="0"/>
              <w:jc w:val="center"/>
              <w:rPr>
                <w:rFonts w:ascii="Arial Narrow" w:hAnsi="Arial Narrow" w:cs="Calibri"/>
                <w:color w:val="000000"/>
                <w:sz w:val="20"/>
                <w:szCs w:val="20"/>
              </w:rPr>
            </w:pPr>
            <w:r w:rsidRPr="00156F5C">
              <w:rPr>
                <w:rFonts w:ascii="Arial Narrow" w:hAnsi="Arial Narrow" w:cs="Calibri"/>
                <w:color w:val="000000"/>
                <w:sz w:val="20"/>
                <w:szCs w:val="20"/>
              </w:rPr>
              <w:t>4AWOR000.34</w:t>
            </w:r>
          </w:p>
        </w:tc>
        <w:tc>
          <w:tcPr>
            <w:tcW w:w="1170" w:type="dxa"/>
            <w:vAlign w:val="bottom"/>
          </w:tcPr>
          <w:p w14:paraId="4AA92671" w14:textId="5FF1162A" w:rsidR="00DB3FC8" w:rsidRPr="00156F5C" w:rsidRDefault="00DB3FC8" w:rsidP="00DB3FC8">
            <w:pPr>
              <w:keepNext/>
              <w:autoSpaceDE w:val="0"/>
              <w:autoSpaceDN w:val="0"/>
              <w:adjustRightInd w:val="0"/>
              <w:jc w:val="center"/>
              <w:rPr>
                <w:rFonts w:ascii="Arial Narrow" w:hAnsi="Arial Narrow" w:cs="Calibri"/>
                <w:color w:val="000000"/>
                <w:sz w:val="20"/>
                <w:szCs w:val="20"/>
              </w:rPr>
            </w:pPr>
            <w:r w:rsidRPr="00156F5C">
              <w:rPr>
                <w:rFonts w:ascii="Arial Narrow" w:hAnsi="Arial Narrow" w:cs="Calibri"/>
                <w:color w:val="000000"/>
                <w:sz w:val="20"/>
                <w:szCs w:val="20"/>
              </w:rPr>
              <w:t>2015-2022</w:t>
            </w:r>
          </w:p>
        </w:tc>
        <w:tc>
          <w:tcPr>
            <w:tcW w:w="990" w:type="dxa"/>
            <w:vAlign w:val="bottom"/>
          </w:tcPr>
          <w:p w14:paraId="56349EC2" w14:textId="25ED4841" w:rsidR="00DB3FC8" w:rsidRPr="00110B34" w:rsidRDefault="00DB3FC8" w:rsidP="00DB3FC8">
            <w:pPr>
              <w:keepNext/>
              <w:autoSpaceDE w:val="0"/>
              <w:autoSpaceDN w:val="0"/>
              <w:adjustRightInd w:val="0"/>
              <w:jc w:val="center"/>
              <w:rPr>
                <w:rFonts w:ascii="Arial Narrow" w:hAnsi="Arial Narrow" w:cs="Calibri"/>
                <w:color w:val="000000"/>
                <w:sz w:val="20"/>
                <w:szCs w:val="20"/>
              </w:rPr>
            </w:pPr>
            <w:r w:rsidRPr="00110B34">
              <w:rPr>
                <w:rFonts w:ascii="Arial Narrow" w:hAnsi="Arial Narrow" w:cs="Calibri"/>
                <w:color w:val="000000"/>
                <w:sz w:val="20"/>
                <w:szCs w:val="20"/>
              </w:rPr>
              <w:t>8</w:t>
            </w:r>
          </w:p>
        </w:tc>
        <w:tc>
          <w:tcPr>
            <w:tcW w:w="900" w:type="dxa"/>
            <w:shd w:val="clear" w:color="auto" w:fill="auto"/>
            <w:vAlign w:val="bottom"/>
          </w:tcPr>
          <w:p w14:paraId="3BBB4CEC" w14:textId="765E5C41" w:rsidR="00DB3FC8" w:rsidRPr="00110B34" w:rsidRDefault="00DB3FC8" w:rsidP="00DB3FC8">
            <w:pPr>
              <w:keepNext/>
              <w:autoSpaceDE w:val="0"/>
              <w:autoSpaceDN w:val="0"/>
              <w:adjustRightInd w:val="0"/>
              <w:jc w:val="center"/>
              <w:rPr>
                <w:rFonts w:ascii="Arial Narrow" w:hAnsi="Arial Narrow" w:cs="Calibri"/>
                <w:color w:val="000000"/>
                <w:sz w:val="20"/>
                <w:szCs w:val="20"/>
              </w:rPr>
            </w:pPr>
            <w:r w:rsidRPr="00110B34">
              <w:rPr>
                <w:rFonts w:ascii="Arial Narrow" w:hAnsi="Arial Narrow" w:cs="Calibri"/>
                <w:color w:val="000000"/>
                <w:sz w:val="20"/>
                <w:szCs w:val="20"/>
              </w:rPr>
              <w:t>47.3</w:t>
            </w:r>
          </w:p>
        </w:tc>
        <w:tc>
          <w:tcPr>
            <w:tcW w:w="990" w:type="dxa"/>
            <w:vAlign w:val="bottom"/>
          </w:tcPr>
          <w:p w14:paraId="40665270" w14:textId="60ECC3EC" w:rsidR="00DB3FC8" w:rsidRPr="001239B1" w:rsidRDefault="00DB3FC8" w:rsidP="00DB3FC8">
            <w:pPr>
              <w:keepNext/>
              <w:autoSpaceDE w:val="0"/>
              <w:autoSpaceDN w:val="0"/>
              <w:adjustRightInd w:val="0"/>
              <w:jc w:val="center"/>
              <w:rPr>
                <w:rFonts w:ascii="Arial Narrow" w:hAnsi="Arial Narrow" w:cs="Calibri"/>
                <w:color w:val="000000"/>
                <w:sz w:val="20"/>
                <w:szCs w:val="20"/>
              </w:rPr>
            </w:pPr>
            <w:r w:rsidRPr="001239B1">
              <w:rPr>
                <w:rFonts w:ascii="Arial Narrow" w:hAnsi="Arial Narrow" w:cs="Calibri"/>
                <w:color w:val="000000"/>
                <w:sz w:val="20"/>
                <w:szCs w:val="20"/>
              </w:rPr>
              <w:t>47.3</w:t>
            </w:r>
          </w:p>
        </w:tc>
        <w:tc>
          <w:tcPr>
            <w:tcW w:w="1260" w:type="dxa"/>
            <w:shd w:val="clear" w:color="auto" w:fill="FFCCCC"/>
            <w:vAlign w:val="bottom"/>
          </w:tcPr>
          <w:p w14:paraId="1B82C869" w14:textId="4D869DF3" w:rsidR="00DB3FC8" w:rsidRPr="00156F5C" w:rsidRDefault="00DB3FC8" w:rsidP="00DB3FC8">
            <w:pPr>
              <w:keepNext/>
              <w:autoSpaceDE w:val="0"/>
              <w:autoSpaceDN w:val="0"/>
              <w:adjustRightInd w:val="0"/>
              <w:jc w:val="center"/>
              <w:rPr>
                <w:rFonts w:ascii="Arial Narrow" w:hAnsi="Arial Narrow" w:cs="Calibri"/>
                <w:color w:val="000000"/>
                <w:sz w:val="20"/>
                <w:szCs w:val="20"/>
              </w:rPr>
            </w:pPr>
            <w:r w:rsidRPr="00156F5C">
              <w:rPr>
                <w:rFonts w:ascii="Arial Narrow" w:hAnsi="Arial Narrow" w:cs="Calibri"/>
                <w:color w:val="000000"/>
                <w:sz w:val="20"/>
                <w:szCs w:val="20"/>
              </w:rPr>
              <w:t>Impaired</w:t>
            </w:r>
          </w:p>
        </w:tc>
      </w:tr>
      <w:tr w:rsidR="00DB3FC8" w:rsidRPr="00A233DE" w14:paraId="4584FC44" w14:textId="77777777" w:rsidTr="00546B42">
        <w:trPr>
          <w:trHeight w:val="290"/>
        </w:trPr>
        <w:tc>
          <w:tcPr>
            <w:tcW w:w="1383" w:type="dxa"/>
            <w:tcBorders>
              <w:bottom w:val="nil"/>
            </w:tcBorders>
            <w:vAlign w:val="bottom"/>
          </w:tcPr>
          <w:p w14:paraId="10719096" w14:textId="33A1EBCF" w:rsidR="00DB3FC8" w:rsidRPr="00156F5C" w:rsidRDefault="00DB3FC8" w:rsidP="00DB3FC8">
            <w:pPr>
              <w:keepNext/>
              <w:autoSpaceDE w:val="0"/>
              <w:autoSpaceDN w:val="0"/>
              <w:adjustRightInd w:val="0"/>
              <w:jc w:val="center"/>
              <w:rPr>
                <w:rFonts w:ascii="Arial Narrow" w:hAnsi="Arial Narrow" w:cs="Calibri"/>
                <w:color w:val="000000"/>
                <w:sz w:val="20"/>
                <w:szCs w:val="20"/>
              </w:rPr>
            </w:pPr>
            <w:r w:rsidRPr="00156F5C">
              <w:rPr>
                <w:rFonts w:ascii="Arial Narrow" w:hAnsi="Arial Narrow" w:cs="Calibri"/>
                <w:color w:val="000000"/>
                <w:sz w:val="20"/>
                <w:szCs w:val="20"/>
              </w:rPr>
              <w:t>Tinker Creek</w:t>
            </w:r>
          </w:p>
        </w:tc>
        <w:tc>
          <w:tcPr>
            <w:tcW w:w="1350" w:type="dxa"/>
            <w:tcBorders>
              <w:bottom w:val="nil"/>
            </w:tcBorders>
            <w:vAlign w:val="bottom"/>
          </w:tcPr>
          <w:p w14:paraId="6FC48742" w14:textId="65E031F9" w:rsidR="00DB3FC8" w:rsidRPr="00156F5C" w:rsidRDefault="00DB3FC8" w:rsidP="00DB3FC8">
            <w:pPr>
              <w:keepNext/>
              <w:autoSpaceDE w:val="0"/>
              <w:autoSpaceDN w:val="0"/>
              <w:adjustRightInd w:val="0"/>
              <w:jc w:val="center"/>
              <w:rPr>
                <w:rFonts w:ascii="Arial Narrow" w:hAnsi="Arial Narrow" w:cs="Calibri"/>
                <w:color w:val="000000"/>
                <w:sz w:val="20"/>
                <w:szCs w:val="20"/>
              </w:rPr>
            </w:pPr>
            <w:r w:rsidRPr="00156F5C">
              <w:rPr>
                <w:rFonts w:ascii="Arial Narrow" w:hAnsi="Arial Narrow" w:cs="Calibri"/>
                <w:color w:val="000000"/>
                <w:sz w:val="20"/>
                <w:szCs w:val="20"/>
              </w:rPr>
              <w:t>Tinker Creek</w:t>
            </w:r>
          </w:p>
        </w:tc>
        <w:tc>
          <w:tcPr>
            <w:tcW w:w="1350" w:type="dxa"/>
            <w:vAlign w:val="bottom"/>
          </w:tcPr>
          <w:p w14:paraId="6185EBBB" w14:textId="64EA0C20" w:rsidR="00DB3FC8" w:rsidRPr="00156F5C" w:rsidRDefault="00DB3FC8" w:rsidP="00DB3FC8">
            <w:pPr>
              <w:keepNext/>
              <w:autoSpaceDE w:val="0"/>
              <w:autoSpaceDN w:val="0"/>
              <w:adjustRightInd w:val="0"/>
              <w:jc w:val="center"/>
              <w:rPr>
                <w:rFonts w:ascii="Arial Narrow" w:hAnsi="Arial Narrow" w:cs="Arial Narrow"/>
                <w:color w:val="000000"/>
                <w:sz w:val="20"/>
                <w:szCs w:val="20"/>
              </w:rPr>
            </w:pPr>
            <w:r w:rsidRPr="00156F5C">
              <w:rPr>
                <w:rFonts w:ascii="Arial Narrow" w:hAnsi="Arial Narrow" w:cs="Calibri"/>
                <w:color w:val="000000"/>
                <w:sz w:val="20"/>
                <w:szCs w:val="20"/>
              </w:rPr>
              <w:t>4ATKR000.69</w:t>
            </w:r>
          </w:p>
        </w:tc>
        <w:tc>
          <w:tcPr>
            <w:tcW w:w="1170" w:type="dxa"/>
            <w:vAlign w:val="bottom"/>
          </w:tcPr>
          <w:p w14:paraId="69B14F68" w14:textId="01E00C55" w:rsidR="00DB3FC8" w:rsidRPr="00156F5C" w:rsidRDefault="00DB3FC8" w:rsidP="00DB3FC8">
            <w:pPr>
              <w:keepNext/>
              <w:autoSpaceDE w:val="0"/>
              <w:autoSpaceDN w:val="0"/>
              <w:adjustRightInd w:val="0"/>
              <w:jc w:val="center"/>
              <w:rPr>
                <w:rFonts w:ascii="Arial Narrow" w:hAnsi="Arial Narrow" w:cs="Arial Narrow"/>
                <w:color w:val="000000"/>
                <w:sz w:val="20"/>
                <w:szCs w:val="20"/>
              </w:rPr>
            </w:pPr>
            <w:r w:rsidRPr="00156F5C">
              <w:rPr>
                <w:rFonts w:ascii="Arial Narrow" w:hAnsi="Arial Narrow" w:cs="Calibri"/>
                <w:color w:val="000000"/>
                <w:sz w:val="20"/>
                <w:szCs w:val="20"/>
              </w:rPr>
              <w:t>2008-2022</w:t>
            </w:r>
          </w:p>
        </w:tc>
        <w:tc>
          <w:tcPr>
            <w:tcW w:w="990" w:type="dxa"/>
            <w:vAlign w:val="bottom"/>
          </w:tcPr>
          <w:p w14:paraId="524026E4" w14:textId="77445890" w:rsidR="00DB3FC8" w:rsidRPr="00110B34" w:rsidRDefault="00DB3FC8" w:rsidP="00DB3FC8">
            <w:pPr>
              <w:keepNext/>
              <w:autoSpaceDE w:val="0"/>
              <w:autoSpaceDN w:val="0"/>
              <w:adjustRightInd w:val="0"/>
              <w:jc w:val="center"/>
              <w:rPr>
                <w:rFonts w:ascii="Arial Narrow" w:hAnsi="Arial Narrow" w:cs="Arial Narrow"/>
                <w:color w:val="000000"/>
                <w:sz w:val="20"/>
                <w:szCs w:val="20"/>
              </w:rPr>
            </w:pPr>
            <w:r w:rsidRPr="00110B34">
              <w:rPr>
                <w:rFonts w:ascii="Arial Narrow" w:hAnsi="Arial Narrow" w:cs="Calibri"/>
                <w:color w:val="000000"/>
                <w:sz w:val="20"/>
                <w:szCs w:val="20"/>
              </w:rPr>
              <w:t>9</w:t>
            </w:r>
          </w:p>
        </w:tc>
        <w:tc>
          <w:tcPr>
            <w:tcW w:w="900" w:type="dxa"/>
            <w:shd w:val="clear" w:color="auto" w:fill="auto"/>
            <w:vAlign w:val="bottom"/>
          </w:tcPr>
          <w:p w14:paraId="0220D811" w14:textId="0D1DCFAE" w:rsidR="00DB3FC8" w:rsidRPr="00110B34" w:rsidRDefault="00DB3FC8" w:rsidP="00DB3FC8">
            <w:pPr>
              <w:keepNext/>
              <w:autoSpaceDE w:val="0"/>
              <w:autoSpaceDN w:val="0"/>
              <w:adjustRightInd w:val="0"/>
              <w:jc w:val="center"/>
              <w:rPr>
                <w:rFonts w:ascii="Arial Narrow" w:hAnsi="Arial Narrow" w:cs="Calibri"/>
                <w:color w:val="000000"/>
                <w:sz w:val="20"/>
                <w:szCs w:val="20"/>
              </w:rPr>
            </w:pPr>
            <w:r w:rsidRPr="00110B34">
              <w:rPr>
                <w:rFonts w:ascii="Arial Narrow" w:hAnsi="Arial Narrow" w:cs="Calibri"/>
                <w:color w:val="000000"/>
                <w:sz w:val="20"/>
                <w:szCs w:val="20"/>
              </w:rPr>
              <w:t>45.4</w:t>
            </w:r>
          </w:p>
        </w:tc>
        <w:tc>
          <w:tcPr>
            <w:tcW w:w="990" w:type="dxa"/>
            <w:vAlign w:val="bottom"/>
          </w:tcPr>
          <w:p w14:paraId="21FF9DAB" w14:textId="0B3EDA71" w:rsidR="00DB3FC8" w:rsidRPr="001239B1" w:rsidRDefault="00DB3FC8" w:rsidP="00DB3FC8">
            <w:pPr>
              <w:keepNext/>
              <w:autoSpaceDE w:val="0"/>
              <w:autoSpaceDN w:val="0"/>
              <w:adjustRightInd w:val="0"/>
              <w:jc w:val="center"/>
              <w:rPr>
                <w:rFonts w:ascii="Arial Narrow" w:hAnsi="Arial Narrow" w:cs="Calibri"/>
                <w:color w:val="000000"/>
                <w:sz w:val="20"/>
                <w:szCs w:val="20"/>
              </w:rPr>
            </w:pPr>
            <w:r w:rsidRPr="001239B1">
              <w:rPr>
                <w:rFonts w:ascii="Arial Narrow" w:hAnsi="Arial Narrow" w:cs="Calibri"/>
                <w:color w:val="000000"/>
                <w:sz w:val="20"/>
                <w:szCs w:val="20"/>
              </w:rPr>
              <w:t>44.7</w:t>
            </w:r>
          </w:p>
        </w:tc>
        <w:tc>
          <w:tcPr>
            <w:tcW w:w="1260" w:type="dxa"/>
            <w:shd w:val="clear" w:color="auto" w:fill="FFCCCC"/>
            <w:vAlign w:val="bottom"/>
          </w:tcPr>
          <w:p w14:paraId="410DB27B" w14:textId="30756064" w:rsidR="00DB3FC8" w:rsidRPr="00156F5C" w:rsidRDefault="00DB3FC8" w:rsidP="00DB3FC8">
            <w:pPr>
              <w:keepNext/>
              <w:autoSpaceDE w:val="0"/>
              <w:autoSpaceDN w:val="0"/>
              <w:adjustRightInd w:val="0"/>
              <w:jc w:val="center"/>
              <w:rPr>
                <w:rFonts w:ascii="Arial Narrow" w:hAnsi="Arial Narrow" w:cs="Calibri"/>
                <w:color w:val="000000"/>
                <w:sz w:val="20"/>
                <w:szCs w:val="20"/>
              </w:rPr>
            </w:pPr>
            <w:r w:rsidRPr="00156F5C">
              <w:rPr>
                <w:rFonts w:ascii="Arial Narrow" w:hAnsi="Arial Narrow" w:cs="Calibri"/>
                <w:color w:val="000000"/>
                <w:sz w:val="20"/>
                <w:szCs w:val="20"/>
              </w:rPr>
              <w:t>Impaired</w:t>
            </w:r>
          </w:p>
        </w:tc>
      </w:tr>
      <w:tr w:rsidR="00DB3FC8" w:rsidRPr="00A233DE" w14:paraId="40DD2B8D" w14:textId="77777777" w:rsidTr="00546B42">
        <w:trPr>
          <w:trHeight w:val="290"/>
        </w:trPr>
        <w:tc>
          <w:tcPr>
            <w:tcW w:w="1383" w:type="dxa"/>
            <w:tcBorders>
              <w:top w:val="nil"/>
              <w:bottom w:val="nil"/>
            </w:tcBorders>
            <w:vAlign w:val="bottom"/>
          </w:tcPr>
          <w:p w14:paraId="19CE968B" w14:textId="79EA6365" w:rsidR="00DB3FC8" w:rsidRPr="00156F5C" w:rsidRDefault="00DB3FC8" w:rsidP="00DB3FC8">
            <w:pPr>
              <w:keepNext/>
              <w:autoSpaceDE w:val="0"/>
              <w:autoSpaceDN w:val="0"/>
              <w:adjustRightInd w:val="0"/>
              <w:jc w:val="center"/>
              <w:rPr>
                <w:rFonts w:ascii="Arial Narrow" w:hAnsi="Arial Narrow" w:cs="Arial Narrow"/>
                <w:color w:val="000000"/>
                <w:sz w:val="20"/>
                <w:szCs w:val="20"/>
              </w:rPr>
            </w:pPr>
          </w:p>
        </w:tc>
        <w:tc>
          <w:tcPr>
            <w:tcW w:w="1350" w:type="dxa"/>
            <w:tcBorders>
              <w:top w:val="nil"/>
              <w:bottom w:val="nil"/>
            </w:tcBorders>
            <w:vAlign w:val="bottom"/>
          </w:tcPr>
          <w:p w14:paraId="2572242B" w14:textId="67A46685" w:rsidR="00DB3FC8" w:rsidRPr="00156F5C" w:rsidRDefault="00DB3FC8" w:rsidP="00DB3FC8">
            <w:pPr>
              <w:keepNext/>
              <w:autoSpaceDE w:val="0"/>
              <w:autoSpaceDN w:val="0"/>
              <w:adjustRightInd w:val="0"/>
              <w:jc w:val="center"/>
              <w:rPr>
                <w:rFonts w:ascii="Arial Narrow" w:hAnsi="Arial Narrow" w:cs="Arial Narrow"/>
                <w:color w:val="000000"/>
                <w:sz w:val="20"/>
                <w:szCs w:val="20"/>
              </w:rPr>
            </w:pPr>
          </w:p>
        </w:tc>
        <w:tc>
          <w:tcPr>
            <w:tcW w:w="1350" w:type="dxa"/>
            <w:vAlign w:val="bottom"/>
          </w:tcPr>
          <w:p w14:paraId="26E25F03" w14:textId="1FB87AAE" w:rsidR="00DB3FC8" w:rsidRPr="00156F5C" w:rsidRDefault="00DB3FC8" w:rsidP="00DB3FC8">
            <w:pPr>
              <w:keepNext/>
              <w:autoSpaceDE w:val="0"/>
              <w:autoSpaceDN w:val="0"/>
              <w:adjustRightInd w:val="0"/>
              <w:jc w:val="center"/>
              <w:rPr>
                <w:rFonts w:ascii="Arial Narrow" w:hAnsi="Arial Narrow" w:cs="Arial Narrow"/>
                <w:color w:val="000000"/>
                <w:sz w:val="20"/>
                <w:szCs w:val="20"/>
              </w:rPr>
            </w:pPr>
            <w:r w:rsidRPr="00156F5C">
              <w:rPr>
                <w:rFonts w:ascii="Arial Narrow" w:hAnsi="Arial Narrow" w:cs="Calibri"/>
                <w:color w:val="000000"/>
                <w:sz w:val="20"/>
                <w:szCs w:val="20"/>
              </w:rPr>
              <w:t>4ATKR002.26</w:t>
            </w:r>
          </w:p>
        </w:tc>
        <w:tc>
          <w:tcPr>
            <w:tcW w:w="1170" w:type="dxa"/>
            <w:vAlign w:val="bottom"/>
          </w:tcPr>
          <w:p w14:paraId="5563C450" w14:textId="034724CB" w:rsidR="00DB3FC8" w:rsidRPr="00156F5C" w:rsidRDefault="00DB3FC8" w:rsidP="00DB3FC8">
            <w:pPr>
              <w:keepNext/>
              <w:autoSpaceDE w:val="0"/>
              <w:autoSpaceDN w:val="0"/>
              <w:adjustRightInd w:val="0"/>
              <w:jc w:val="center"/>
              <w:rPr>
                <w:rFonts w:ascii="Arial Narrow" w:hAnsi="Arial Narrow" w:cs="Arial Narrow"/>
                <w:color w:val="000000"/>
                <w:sz w:val="20"/>
                <w:szCs w:val="20"/>
              </w:rPr>
            </w:pPr>
            <w:r w:rsidRPr="00156F5C">
              <w:rPr>
                <w:rFonts w:ascii="Arial Narrow" w:hAnsi="Arial Narrow" w:cs="Calibri"/>
                <w:color w:val="000000"/>
                <w:sz w:val="20"/>
                <w:szCs w:val="20"/>
              </w:rPr>
              <w:t>2020-2021</w:t>
            </w:r>
          </w:p>
        </w:tc>
        <w:tc>
          <w:tcPr>
            <w:tcW w:w="990" w:type="dxa"/>
            <w:vAlign w:val="bottom"/>
          </w:tcPr>
          <w:p w14:paraId="6F6F232D" w14:textId="5A6ED3F1" w:rsidR="00DB3FC8" w:rsidRPr="00110B34" w:rsidRDefault="00DB3FC8" w:rsidP="00DB3FC8">
            <w:pPr>
              <w:keepNext/>
              <w:autoSpaceDE w:val="0"/>
              <w:autoSpaceDN w:val="0"/>
              <w:adjustRightInd w:val="0"/>
              <w:jc w:val="center"/>
              <w:rPr>
                <w:rFonts w:ascii="Arial Narrow" w:hAnsi="Arial Narrow" w:cs="Arial Narrow"/>
                <w:color w:val="000000"/>
                <w:sz w:val="20"/>
                <w:szCs w:val="20"/>
              </w:rPr>
            </w:pPr>
            <w:r w:rsidRPr="00110B34">
              <w:rPr>
                <w:rFonts w:ascii="Arial Narrow" w:hAnsi="Arial Narrow" w:cs="Calibri"/>
                <w:color w:val="000000"/>
                <w:sz w:val="20"/>
                <w:szCs w:val="20"/>
              </w:rPr>
              <w:t>4</w:t>
            </w:r>
          </w:p>
        </w:tc>
        <w:tc>
          <w:tcPr>
            <w:tcW w:w="900" w:type="dxa"/>
            <w:shd w:val="clear" w:color="auto" w:fill="auto"/>
            <w:vAlign w:val="bottom"/>
          </w:tcPr>
          <w:p w14:paraId="15A567B1" w14:textId="770CDB6E" w:rsidR="00DB3FC8" w:rsidRPr="00110B34" w:rsidRDefault="00DB3FC8" w:rsidP="00DB3FC8">
            <w:pPr>
              <w:keepNext/>
              <w:autoSpaceDE w:val="0"/>
              <w:autoSpaceDN w:val="0"/>
              <w:adjustRightInd w:val="0"/>
              <w:jc w:val="center"/>
              <w:rPr>
                <w:rFonts w:ascii="Arial Narrow" w:hAnsi="Arial Narrow" w:cs="Calibri"/>
                <w:color w:val="000000"/>
                <w:sz w:val="20"/>
                <w:szCs w:val="20"/>
                <w:highlight w:val="yellow"/>
              </w:rPr>
            </w:pPr>
            <w:r w:rsidRPr="00110B34">
              <w:rPr>
                <w:rFonts w:ascii="Arial Narrow" w:hAnsi="Arial Narrow" w:cs="Calibri"/>
                <w:color w:val="000000"/>
                <w:sz w:val="20"/>
                <w:szCs w:val="20"/>
              </w:rPr>
              <w:t>63.8</w:t>
            </w:r>
          </w:p>
        </w:tc>
        <w:tc>
          <w:tcPr>
            <w:tcW w:w="990" w:type="dxa"/>
            <w:vAlign w:val="bottom"/>
          </w:tcPr>
          <w:p w14:paraId="363C1164" w14:textId="3DC8BEDE" w:rsidR="00DB3FC8" w:rsidRPr="001239B1" w:rsidRDefault="00DB3FC8" w:rsidP="00DB3FC8">
            <w:pPr>
              <w:keepNext/>
              <w:autoSpaceDE w:val="0"/>
              <w:autoSpaceDN w:val="0"/>
              <w:adjustRightInd w:val="0"/>
              <w:jc w:val="center"/>
              <w:rPr>
                <w:rFonts w:ascii="Arial Narrow" w:hAnsi="Arial Narrow" w:cs="Calibri"/>
                <w:color w:val="000000"/>
                <w:sz w:val="20"/>
                <w:szCs w:val="20"/>
              </w:rPr>
            </w:pPr>
            <w:r w:rsidRPr="001239B1">
              <w:rPr>
                <w:rFonts w:ascii="Arial Narrow" w:hAnsi="Arial Narrow" w:cs="Calibri"/>
                <w:color w:val="000000"/>
                <w:sz w:val="20"/>
                <w:szCs w:val="20"/>
              </w:rPr>
              <w:t>63.8</w:t>
            </w:r>
          </w:p>
        </w:tc>
        <w:tc>
          <w:tcPr>
            <w:tcW w:w="1260" w:type="dxa"/>
            <w:shd w:val="clear" w:color="auto" w:fill="FFCCCC"/>
            <w:vAlign w:val="bottom"/>
          </w:tcPr>
          <w:p w14:paraId="0587ABF9" w14:textId="66506B95" w:rsidR="00DB3FC8" w:rsidRPr="00156F5C" w:rsidRDefault="00DB3FC8" w:rsidP="00DB3FC8">
            <w:pPr>
              <w:keepNext/>
              <w:autoSpaceDE w:val="0"/>
              <w:autoSpaceDN w:val="0"/>
              <w:adjustRightInd w:val="0"/>
              <w:jc w:val="center"/>
              <w:rPr>
                <w:rFonts w:ascii="Arial Narrow" w:hAnsi="Arial Narrow" w:cs="Calibri"/>
                <w:color w:val="000000"/>
                <w:sz w:val="20"/>
                <w:szCs w:val="20"/>
              </w:rPr>
            </w:pPr>
            <w:r w:rsidRPr="00156F5C">
              <w:rPr>
                <w:rFonts w:ascii="Arial Narrow" w:hAnsi="Arial Narrow" w:cs="Calibri"/>
                <w:color w:val="000000"/>
                <w:sz w:val="20"/>
                <w:szCs w:val="20"/>
              </w:rPr>
              <w:t>Impaired</w:t>
            </w:r>
          </w:p>
        </w:tc>
      </w:tr>
      <w:tr w:rsidR="00DB3FC8" w:rsidRPr="00A233DE" w14:paraId="4E3DBA8F" w14:textId="77777777" w:rsidTr="00546B42">
        <w:trPr>
          <w:trHeight w:val="290"/>
        </w:trPr>
        <w:tc>
          <w:tcPr>
            <w:tcW w:w="1383" w:type="dxa"/>
            <w:tcBorders>
              <w:top w:val="nil"/>
              <w:bottom w:val="nil"/>
            </w:tcBorders>
            <w:vAlign w:val="bottom"/>
          </w:tcPr>
          <w:p w14:paraId="5F8AB6DE" w14:textId="77777777" w:rsidR="00DB3FC8" w:rsidRPr="00156F5C" w:rsidRDefault="00DB3FC8" w:rsidP="00DB3FC8">
            <w:pPr>
              <w:keepNext/>
              <w:autoSpaceDE w:val="0"/>
              <w:autoSpaceDN w:val="0"/>
              <w:adjustRightInd w:val="0"/>
              <w:jc w:val="center"/>
              <w:rPr>
                <w:rFonts w:ascii="Arial Narrow" w:hAnsi="Arial Narrow" w:cs="Arial Narrow"/>
                <w:color w:val="000000"/>
                <w:sz w:val="20"/>
                <w:szCs w:val="20"/>
              </w:rPr>
            </w:pPr>
          </w:p>
        </w:tc>
        <w:tc>
          <w:tcPr>
            <w:tcW w:w="1350" w:type="dxa"/>
            <w:tcBorders>
              <w:top w:val="nil"/>
              <w:bottom w:val="nil"/>
            </w:tcBorders>
            <w:vAlign w:val="bottom"/>
          </w:tcPr>
          <w:p w14:paraId="679653F0" w14:textId="77777777" w:rsidR="00DB3FC8" w:rsidRPr="00156F5C" w:rsidRDefault="00DB3FC8" w:rsidP="00DB3FC8">
            <w:pPr>
              <w:keepNext/>
              <w:autoSpaceDE w:val="0"/>
              <w:autoSpaceDN w:val="0"/>
              <w:adjustRightInd w:val="0"/>
              <w:jc w:val="center"/>
              <w:rPr>
                <w:rFonts w:ascii="Arial Narrow" w:hAnsi="Arial Narrow"/>
                <w:color w:val="000000"/>
                <w:sz w:val="20"/>
                <w:szCs w:val="20"/>
              </w:rPr>
            </w:pPr>
          </w:p>
        </w:tc>
        <w:tc>
          <w:tcPr>
            <w:tcW w:w="1350" w:type="dxa"/>
            <w:vAlign w:val="bottom"/>
          </w:tcPr>
          <w:p w14:paraId="0D1F109B" w14:textId="08372CD8"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4ATKR003.03</w:t>
            </w:r>
          </w:p>
        </w:tc>
        <w:tc>
          <w:tcPr>
            <w:tcW w:w="1170" w:type="dxa"/>
            <w:vAlign w:val="bottom"/>
          </w:tcPr>
          <w:p w14:paraId="7BCCCBCB" w14:textId="47C00CD2"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2018-2019</w:t>
            </w:r>
          </w:p>
        </w:tc>
        <w:tc>
          <w:tcPr>
            <w:tcW w:w="990" w:type="dxa"/>
            <w:vAlign w:val="bottom"/>
          </w:tcPr>
          <w:p w14:paraId="7AB32181" w14:textId="03C12CD1" w:rsidR="00DB3FC8" w:rsidRPr="00110B34" w:rsidRDefault="00DB3FC8" w:rsidP="00DB3FC8">
            <w:pPr>
              <w:keepNext/>
              <w:autoSpaceDE w:val="0"/>
              <w:autoSpaceDN w:val="0"/>
              <w:adjustRightInd w:val="0"/>
              <w:jc w:val="center"/>
              <w:rPr>
                <w:rFonts w:ascii="Arial Narrow" w:hAnsi="Arial Narrow"/>
                <w:color w:val="000000"/>
                <w:sz w:val="20"/>
                <w:szCs w:val="20"/>
              </w:rPr>
            </w:pPr>
            <w:r w:rsidRPr="00110B34">
              <w:rPr>
                <w:rFonts w:ascii="Arial Narrow" w:hAnsi="Arial Narrow" w:cs="Calibri"/>
                <w:color w:val="000000"/>
                <w:sz w:val="20"/>
                <w:szCs w:val="20"/>
              </w:rPr>
              <w:t>4</w:t>
            </w:r>
          </w:p>
        </w:tc>
        <w:tc>
          <w:tcPr>
            <w:tcW w:w="900" w:type="dxa"/>
            <w:shd w:val="clear" w:color="auto" w:fill="auto"/>
            <w:vAlign w:val="bottom"/>
          </w:tcPr>
          <w:p w14:paraId="45194E52" w14:textId="2CD92B65" w:rsidR="00DB3FC8" w:rsidRPr="00110B34" w:rsidRDefault="00DB3FC8" w:rsidP="00DB3FC8">
            <w:pPr>
              <w:keepNext/>
              <w:autoSpaceDE w:val="0"/>
              <w:autoSpaceDN w:val="0"/>
              <w:adjustRightInd w:val="0"/>
              <w:jc w:val="center"/>
              <w:rPr>
                <w:rFonts w:ascii="Arial Narrow" w:hAnsi="Arial Narrow"/>
                <w:color w:val="000000"/>
                <w:sz w:val="20"/>
                <w:szCs w:val="20"/>
                <w:highlight w:val="yellow"/>
              </w:rPr>
            </w:pPr>
            <w:r w:rsidRPr="00110B34">
              <w:rPr>
                <w:rFonts w:ascii="Arial Narrow" w:hAnsi="Arial Narrow" w:cs="Calibri"/>
                <w:color w:val="000000"/>
                <w:sz w:val="20"/>
                <w:szCs w:val="20"/>
              </w:rPr>
              <w:t>61</w:t>
            </w:r>
          </w:p>
        </w:tc>
        <w:tc>
          <w:tcPr>
            <w:tcW w:w="990" w:type="dxa"/>
            <w:vAlign w:val="bottom"/>
          </w:tcPr>
          <w:p w14:paraId="2FD03B25" w14:textId="4D291638" w:rsidR="00DB3FC8" w:rsidRPr="001239B1" w:rsidRDefault="00DB3FC8" w:rsidP="00DB3FC8">
            <w:pPr>
              <w:keepNext/>
              <w:autoSpaceDE w:val="0"/>
              <w:autoSpaceDN w:val="0"/>
              <w:adjustRightInd w:val="0"/>
              <w:jc w:val="center"/>
              <w:rPr>
                <w:rFonts w:ascii="Arial Narrow" w:hAnsi="Arial Narrow" w:cs="Calibri"/>
                <w:color w:val="000000"/>
                <w:sz w:val="20"/>
                <w:szCs w:val="20"/>
              </w:rPr>
            </w:pPr>
            <w:r w:rsidRPr="001239B1">
              <w:rPr>
                <w:rFonts w:ascii="Arial Narrow" w:hAnsi="Arial Narrow" w:cs="Calibri"/>
                <w:color w:val="000000"/>
                <w:sz w:val="20"/>
                <w:szCs w:val="20"/>
              </w:rPr>
              <w:t>61</w:t>
            </w:r>
          </w:p>
        </w:tc>
        <w:tc>
          <w:tcPr>
            <w:tcW w:w="1260" w:type="dxa"/>
            <w:shd w:val="clear" w:color="auto" w:fill="FFCCCC"/>
            <w:vAlign w:val="bottom"/>
          </w:tcPr>
          <w:p w14:paraId="76DE6E63" w14:textId="3973F023"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Impaired</w:t>
            </w:r>
          </w:p>
        </w:tc>
      </w:tr>
      <w:tr w:rsidR="00DB3FC8" w:rsidRPr="00A233DE" w14:paraId="7B463A1D" w14:textId="77777777" w:rsidTr="00546B42">
        <w:trPr>
          <w:trHeight w:val="290"/>
        </w:trPr>
        <w:tc>
          <w:tcPr>
            <w:tcW w:w="1383" w:type="dxa"/>
            <w:tcBorders>
              <w:top w:val="nil"/>
              <w:bottom w:val="nil"/>
            </w:tcBorders>
            <w:vAlign w:val="bottom"/>
          </w:tcPr>
          <w:p w14:paraId="58795B25" w14:textId="77777777" w:rsidR="00DB3FC8" w:rsidRPr="00156F5C" w:rsidRDefault="00DB3FC8" w:rsidP="00DB3FC8">
            <w:pPr>
              <w:keepNext/>
              <w:autoSpaceDE w:val="0"/>
              <w:autoSpaceDN w:val="0"/>
              <w:adjustRightInd w:val="0"/>
              <w:jc w:val="center"/>
              <w:rPr>
                <w:rFonts w:ascii="Arial Narrow" w:hAnsi="Arial Narrow" w:cs="Arial Narrow"/>
                <w:color w:val="000000"/>
                <w:sz w:val="20"/>
                <w:szCs w:val="20"/>
              </w:rPr>
            </w:pPr>
          </w:p>
        </w:tc>
        <w:tc>
          <w:tcPr>
            <w:tcW w:w="1350" w:type="dxa"/>
            <w:tcBorders>
              <w:top w:val="nil"/>
              <w:bottom w:val="nil"/>
            </w:tcBorders>
            <w:vAlign w:val="bottom"/>
          </w:tcPr>
          <w:p w14:paraId="42AA7435" w14:textId="77777777" w:rsidR="00DB3FC8" w:rsidRPr="00156F5C" w:rsidRDefault="00DB3FC8" w:rsidP="00DB3FC8">
            <w:pPr>
              <w:keepNext/>
              <w:autoSpaceDE w:val="0"/>
              <w:autoSpaceDN w:val="0"/>
              <w:adjustRightInd w:val="0"/>
              <w:jc w:val="center"/>
              <w:rPr>
                <w:rFonts w:ascii="Arial Narrow" w:hAnsi="Arial Narrow"/>
                <w:color w:val="000000"/>
                <w:sz w:val="20"/>
                <w:szCs w:val="20"/>
              </w:rPr>
            </w:pPr>
          </w:p>
        </w:tc>
        <w:tc>
          <w:tcPr>
            <w:tcW w:w="1350" w:type="dxa"/>
            <w:vAlign w:val="bottom"/>
          </w:tcPr>
          <w:p w14:paraId="2038DFF6" w14:textId="7D8F70BB"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4ATKR009.30</w:t>
            </w:r>
          </w:p>
        </w:tc>
        <w:tc>
          <w:tcPr>
            <w:tcW w:w="1170" w:type="dxa"/>
            <w:vAlign w:val="bottom"/>
          </w:tcPr>
          <w:p w14:paraId="40F49784" w14:textId="02E4AA73"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2015-2021</w:t>
            </w:r>
          </w:p>
        </w:tc>
        <w:tc>
          <w:tcPr>
            <w:tcW w:w="990" w:type="dxa"/>
            <w:vAlign w:val="bottom"/>
          </w:tcPr>
          <w:p w14:paraId="026570CF" w14:textId="698660FD" w:rsidR="00DB3FC8" w:rsidRPr="00110B34" w:rsidRDefault="00DB3FC8" w:rsidP="00DB3FC8">
            <w:pPr>
              <w:keepNext/>
              <w:autoSpaceDE w:val="0"/>
              <w:autoSpaceDN w:val="0"/>
              <w:adjustRightInd w:val="0"/>
              <w:jc w:val="center"/>
              <w:rPr>
                <w:rFonts w:ascii="Arial Narrow" w:hAnsi="Arial Narrow"/>
                <w:color w:val="000000"/>
                <w:sz w:val="20"/>
                <w:szCs w:val="20"/>
              </w:rPr>
            </w:pPr>
            <w:r w:rsidRPr="00110B34">
              <w:rPr>
                <w:rFonts w:ascii="Arial Narrow" w:hAnsi="Arial Narrow" w:cs="Calibri"/>
                <w:color w:val="000000"/>
                <w:sz w:val="20"/>
                <w:szCs w:val="20"/>
              </w:rPr>
              <w:t>10</w:t>
            </w:r>
          </w:p>
        </w:tc>
        <w:tc>
          <w:tcPr>
            <w:tcW w:w="900" w:type="dxa"/>
            <w:shd w:val="clear" w:color="auto" w:fill="auto"/>
            <w:vAlign w:val="bottom"/>
          </w:tcPr>
          <w:p w14:paraId="08A55E1D" w14:textId="38944902" w:rsidR="00DB3FC8" w:rsidRPr="00110B34" w:rsidRDefault="00DB3FC8" w:rsidP="00DB3FC8">
            <w:pPr>
              <w:keepNext/>
              <w:autoSpaceDE w:val="0"/>
              <w:autoSpaceDN w:val="0"/>
              <w:adjustRightInd w:val="0"/>
              <w:jc w:val="center"/>
              <w:rPr>
                <w:rFonts w:ascii="Arial Narrow" w:hAnsi="Arial Narrow"/>
                <w:color w:val="000000"/>
                <w:sz w:val="20"/>
                <w:szCs w:val="20"/>
                <w:highlight w:val="yellow"/>
              </w:rPr>
            </w:pPr>
            <w:r w:rsidRPr="00110B34">
              <w:rPr>
                <w:rFonts w:ascii="Arial Narrow" w:hAnsi="Arial Narrow" w:cs="Calibri"/>
                <w:color w:val="000000"/>
                <w:sz w:val="20"/>
                <w:szCs w:val="20"/>
              </w:rPr>
              <w:t>61.3</w:t>
            </w:r>
          </w:p>
        </w:tc>
        <w:tc>
          <w:tcPr>
            <w:tcW w:w="990" w:type="dxa"/>
            <w:vAlign w:val="bottom"/>
          </w:tcPr>
          <w:p w14:paraId="72A44FEF" w14:textId="6D4BEB12" w:rsidR="00DB3FC8" w:rsidRPr="001239B1" w:rsidRDefault="00DB3FC8" w:rsidP="00DB3FC8">
            <w:pPr>
              <w:keepNext/>
              <w:autoSpaceDE w:val="0"/>
              <w:autoSpaceDN w:val="0"/>
              <w:adjustRightInd w:val="0"/>
              <w:jc w:val="center"/>
              <w:rPr>
                <w:rFonts w:ascii="Arial Narrow" w:hAnsi="Arial Narrow" w:cs="Calibri"/>
                <w:color w:val="000000"/>
                <w:sz w:val="20"/>
                <w:szCs w:val="20"/>
              </w:rPr>
            </w:pPr>
            <w:r w:rsidRPr="001239B1">
              <w:rPr>
                <w:rFonts w:ascii="Arial Narrow" w:hAnsi="Arial Narrow" w:cs="Calibri"/>
                <w:color w:val="000000"/>
                <w:sz w:val="20"/>
                <w:szCs w:val="20"/>
              </w:rPr>
              <w:t>61.3</w:t>
            </w:r>
          </w:p>
        </w:tc>
        <w:tc>
          <w:tcPr>
            <w:tcW w:w="1260" w:type="dxa"/>
            <w:shd w:val="clear" w:color="auto" w:fill="FFCCCC"/>
            <w:vAlign w:val="bottom"/>
          </w:tcPr>
          <w:p w14:paraId="4B1838C2" w14:textId="6279B868"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Impaired</w:t>
            </w:r>
          </w:p>
        </w:tc>
      </w:tr>
      <w:tr w:rsidR="00DB3FC8" w:rsidRPr="00A233DE" w14:paraId="48BD59B4" w14:textId="77777777" w:rsidTr="00546B42">
        <w:trPr>
          <w:trHeight w:val="290"/>
        </w:trPr>
        <w:tc>
          <w:tcPr>
            <w:tcW w:w="1383" w:type="dxa"/>
            <w:tcBorders>
              <w:top w:val="nil"/>
              <w:bottom w:val="nil"/>
            </w:tcBorders>
            <w:vAlign w:val="bottom"/>
          </w:tcPr>
          <w:p w14:paraId="43A70199" w14:textId="77777777" w:rsidR="00DB3FC8" w:rsidRPr="00156F5C" w:rsidRDefault="00DB3FC8" w:rsidP="00DB3FC8">
            <w:pPr>
              <w:keepNext/>
              <w:autoSpaceDE w:val="0"/>
              <w:autoSpaceDN w:val="0"/>
              <w:adjustRightInd w:val="0"/>
              <w:jc w:val="center"/>
              <w:rPr>
                <w:rFonts w:ascii="Arial Narrow" w:hAnsi="Arial Narrow" w:cs="Arial Narrow"/>
                <w:color w:val="000000"/>
                <w:sz w:val="20"/>
                <w:szCs w:val="20"/>
              </w:rPr>
            </w:pPr>
          </w:p>
        </w:tc>
        <w:tc>
          <w:tcPr>
            <w:tcW w:w="1350" w:type="dxa"/>
            <w:tcBorders>
              <w:top w:val="nil"/>
              <w:bottom w:val="nil"/>
            </w:tcBorders>
            <w:vAlign w:val="bottom"/>
          </w:tcPr>
          <w:p w14:paraId="78F531AE" w14:textId="77777777" w:rsidR="00DB3FC8" w:rsidRPr="00156F5C" w:rsidRDefault="00DB3FC8" w:rsidP="00DB3FC8">
            <w:pPr>
              <w:keepNext/>
              <w:autoSpaceDE w:val="0"/>
              <w:autoSpaceDN w:val="0"/>
              <w:adjustRightInd w:val="0"/>
              <w:jc w:val="center"/>
              <w:rPr>
                <w:rFonts w:ascii="Arial Narrow" w:hAnsi="Arial Narrow"/>
                <w:color w:val="000000"/>
                <w:sz w:val="20"/>
                <w:szCs w:val="20"/>
              </w:rPr>
            </w:pPr>
          </w:p>
        </w:tc>
        <w:tc>
          <w:tcPr>
            <w:tcW w:w="1350" w:type="dxa"/>
            <w:vAlign w:val="bottom"/>
          </w:tcPr>
          <w:p w14:paraId="717FDE03" w14:textId="1CF0A136"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4ATKR010.54</w:t>
            </w:r>
          </w:p>
        </w:tc>
        <w:tc>
          <w:tcPr>
            <w:tcW w:w="1170" w:type="dxa"/>
            <w:vAlign w:val="bottom"/>
          </w:tcPr>
          <w:p w14:paraId="51751864" w14:textId="566555CE"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2007-2008</w:t>
            </w:r>
          </w:p>
        </w:tc>
        <w:tc>
          <w:tcPr>
            <w:tcW w:w="990" w:type="dxa"/>
            <w:vAlign w:val="bottom"/>
          </w:tcPr>
          <w:p w14:paraId="1435A58C" w14:textId="39A2383C" w:rsidR="00DB3FC8" w:rsidRPr="00110B34" w:rsidRDefault="00DB3FC8" w:rsidP="00DB3FC8">
            <w:pPr>
              <w:keepNext/>
              <w:autoSpaceDE w:val="0"/>
              <w:autoSpaceDN w:val="0"/>
              <w:adjustRightInd w:val="0"/>
              <w:jc w:val="center"/>
              <w:rPr>
                <w:rFonts w:ascii="Arial Narrow" w:hAnsi="Arial Narrow"/>
                <w:color w:val="000000"/>
                <w:sz w:val="20"/>
                <w:szCs w:val="20"/>
              </w:rPr>
            </w:pPr>
            <w:r w:rsidRPr="00110B34">
              <w:rPr>
                <w:rFonts w:ascii="Arial Narrow" w:hAnsi="Arial Narrow" w:cs="Calibri"/>
                <w:color w:val="000000"/>
                <w:sz w:val="20"/>
                <w:szCs w:val="20"/>
              </w:rPr>
              <w:t>4</w:t>
            </w:r>
          </w:p>
        </w:tc>
        <w:tc>
          <w:tcPr>
            <w:tcW w:w="900" w:type="dxa"/>
            <w:shd w:val="clear" w:color="auto" w:fill="auto"/>
            <w:vAlign w:val="bottom"/>
          </w:tcPr>
          <w:p w14:paraId="691CB0F1" w14:textId="3BFA3839" w:rsidR="00DB3FC8" w:rsidRPr="00110B34" w:rsidRDefault="00DB3FC8" w:rsidP="00DB3FC8">
            <w:pPr>
              <w:keepNext/>
              <w:autoSpaceDE w:val="0"/>
              <w:autoSpaceDN w:val="0"/>
              <w:adjustRightInd w:val="0"/>
              <w:jc w:val="center"/>
              <w:rPr>
                <w:rFonts w:ascii="Arial Narrow" w:hAnsi="Arial Narrow"/>
                <w:color w:val="000000"/>
                <w:sz w:val="20"/>
                <w:szCs w:val="20"/>
                <w:highlight w:val="yellow"/>
              </w:rPr>
            </w:pPr>
            <w:r w:rsidRPr="00110B34">
              <w:rPr>
                <w:rFonts w:ascii="Arial Narrow" w:hAnsi="Arial Narrow" w:cs="Calibri"/>
                <w:color w:val="000000"/>
                <w:sz w:val="20"/>
                <w:szCs w:val="20"/>
              </w:rPr>
              <w:t>65.5</w:t>
            </w:r>
          </w:p>
        </w:tc>
        <w:tc>
          <w:tcPr>
            <w:tcW w:w="990" w:type="dxa"/>
            <w:vAlign w:val="bottom"/>
          </w:tcPr>
          <w:p w14:paraId="7CDA15A6" w14:textId="75F07CF1" w:rsidR="00DB3FC8" w:rsidRPr="001239B1" w:rsidRDefault="00DB3FC8" w:rsidP="00DB3FC8">
            <w:pPr>
              <w:keepNext/>
              <w:autoSpaceDE w:val="0"/>
              <w:autoSpaceDN w:val="0"/>
              <w:adjustRightInd w:val="0"/>
              <w:jc w:val="center"/>
              <w:rPr>
                <w:rFonts w:ascii="Arial Narrow" w:hAnsi="Arial Narrow" w:cs="Calibri"/>
                <w:color w:val="000000"/>
                <w:sz w:val="20"/>
                <w:szCs w:val="20"/>
              </w:rPr>
            </w:pPr>
            <w:r w:rsidRPr="001239B1">
              <w:rPr>
                <w:rFonts w:ascii="Arial Narrow" w:hAnsi="Arial Narrow" w:cs="Calibri"/>
                <w:color w:val="000000"/>
                <w:sz w:val="20"/>
                <w:szCs w:val="20"/>
              </w:rPr>
              <w:t>-</w:t>
            </w:r>
          </w:p>
        </w:tc>
        <w:tc>
          <w:tcPr>
            <w:tcW w:w="1260" w:type="dxa"/>
            <w:shd w:val="clear" w:color="auto" w:fill="FFCCCC"/>
            <w:vAlign w:val="bottom"/>
          </w:tcPr>
          <w:p w14:paraId="0CBCF987" w14:textId="249B8215"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Impaired</w:t>
            </w:r>
          </w:p>
        </w:tc>
      </w:tr>
      <w:tr w:rsidR="00DB3FC8" w:rsidRPr="00A233DE" w14:paraId="3E3F2254" w14:textId="77777777" w:rsidTr="00546B42">
        <w:trPr>
          <w:trHeight w:val="290"/>
        </w:trPr>
        <w:tc>
          <w:tcPr>
            <w:tcW w:w="1383" w:type="dxa"/>
            <w:tcBorders>
              <w:top w:val="nil"/>
              <w:bottom w:val="nil"/>
            </w:tcBorders>
            <w:vAlign w:val="bottom"/>
          </w:tcPr>
          <w:p w14:paraId="24186572" w14:textId="77777777" w:rsidR="00DB3FC8" w:rsidRPr="00156F5C" w:rsidRDefault="00DB3FC8" w:rsidP="00DB3FC8">
            <w:pPr>
              <w:keepNext/>
              <w:autoSpaceDE w:val="0"/>
              <w:autoSpaceDN w:val="0"/>
              <w:adjustRightInd w:val="0"/>
              <w:jc w:val="center"/>
              <w:rPr>
                <w:rFonts w:ascii="Arial Narrow" w:hAnsi="Arial Narrow" w:cs="Arial Narrow"/>
                <w:color w:val="000000"/>
                <w:sz w:val="20"/>
                <w:szCs w:val="20"/>
              </w:rPr>
            </w:pPr>
          </w:p>
        </w:tc>
        <w:tc>
          <w:tcPr>
            <w:tcW w:w="1350" w:type="dxa"/>
            <w:tcBorders>
              <w:top w:val="nil"/>
              <w:bottom w:val="nil"/>
            </w:tcBorders>
            <w:vAlign w:val="bottom"/>
          </w:tcPr>
          <w:p w14:paraId="56F8928A" w14:textId="77777777" w:rsidR="00DB3FC8" w:rsidRPr="00156F5C" w:rsidRDefault="00DB3FC8" w:rsidP="00DB3FC8">
            <w:pPr>
              <w:keepNext/>
              <w:autoSpaceDE w:val="0"/>
              <w:autoSpaceDN w:val="0"/>
              <w:adjustRightInd w:val="0"/>
              <w:jc w:val="center"/>
              <w:rPr>
                <w:rFonts w:ascii="Arial Narrow" w:hAnsi="Arial Narrow"/>
                <w:color w:val="000000"/>
                <w:sz w:val="20"/>
                <w:szCs w:val="20"/>
              </w:rPr>
            </w:pPr>
          </w:p>
        </w:tc>
        <w:tc>
          <w:tcPr>
            <w:tcW w:w="1350" w:type="dxa"/>
            <w:vAlign w:val="bottom"/>
          </w:tcPr>
          <w:p w14:paraId="191AA6F4" w14:textId="74FFC6D1"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4ATKR014.16</w:t>
            </w:r>
          </w:p>
        </w:tc>
        <w:tc>
          <w:tcPr>
            <w:tcW w:w="1170" w:type="dxa"/>
            <w:vAlign w:val="bottom"/>
          </w:tcPr>
          <w:p w14:paraId="2E83AAEB" w14:textId="137B271B"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2008-2017</w:t>
            </w:r>
          </w:p>
        </w:tc>
        <w:tc>
          <w:tcPr>
            <w:tcW w:w="990" w:type="dxa"/>
            <w:vAlign w:val="bottom"/>
          </w:tcPr>
          <w:p w14:paraId="0C40CFC4" w14:textId="7B94B34E" w:rsidR="00DB3FC8" w:rsidRPr="00110B34" w:rsidRDefault="00DB3FC8" w:rsidP="00DB3FC8">
            <w:pPr>
              <w:keepNext/>
              <w:autoSpaceDE w:val="0"/>
              <w:autoSpaceDN w:val="0"/>
              <w:adjustRightInd w:val="0"/>
              <w:jc w:val="center"/>
              <w:rPr>
                <w:rFonts w:ascii="Arial Narrow" w:hAnsi="Arial Narrow"/>
                <w:color w:val="000000"/>
                <w:sz w:val="20"/>
                <w:szCs w:val="20"/>
              </w:rPr>
            </w:pPr>
            <w:r w:rsidRPr="00110B34">
              <w:rPr>
                <w:rFonts w:ascii="Arial Narrow" w:hAnsi="Arial Narrow" w:cs="Calibri"/>
                <w:color w:val="000000"/>
                <w:sz w:val="20"/>
                <w:szCs w:val="20"/>
              </w:rPr>
              <w:t>5</w:t>
            </w:r>
          </w:p>
        </w:tc>
        <w:tc>
          <w:tcPr>
            <w:tcW w:w="900" w:type="dxa"/>
            <w:shd w:val="clear" w:color="auto" w:fill="auto"/>
            <w:vAlign w:val="bottom"/>
          </w:tcPr>
          <w:p w14:paraId="2D6F563D" w14:textId="3B112713" w:rsidR="00DB3FC8" w:rsidRPr="00110B34" w:rsidRDefault="00DB3FC8" w:rsidP="00DB3FC8">
            <w:pPr>
              <w:keepNext/>
              <w:autoSpaceDE w:val="0"/>
              <w:autoSpaceDN w:val="0"/>
              <w:adjustRightInd w:val="0"/>
              <w:jc w:val="center"/>
              <w:rPr>
                <w:rFonts w:ascii="Arial Narrow" w:hAnsi="Arial Narrow"/>
                <w:color w:val="000000"/>
                <w:sz w:val="20"/>
                <w:szCs w:val="20"/>
              </w:rPr>
            </w:pPr>
            <w:r w:rsidRPr="00110B34">
              <w:rPr>
                <w:rFonts w:ascii="Arial Narrow" w:hAnsi="Arial Narrow" w:cs="Calibri"/>
                <w:color w:val="000000"/>
                <w:sz w:val="20"/>
                <w:szCs w:val="20"/>
              </w:rPr>
              <w:t>70.2</w:t>
            </w:r>
          </w:p>
        </w:tc>
        <w:tc>
          <w:tcPr>
            <w:tcW w:w="990" w:type="dxa"/>
            <w:vAlign w:val="bottom"/>
          </w:tcPr>
          <w:p w14:paraId="4AA78C5B" w14:textId="6C9BE63D" w:rsidR="00DB3FC8" w:rsidRPr="001239B1" w:rsidRDefault="00DB3FC8" w:rsidP="00DB3FC8">
            <w:pPr>
              <w:keepNext/>
              <w:autoSpaceDE w:val="0"/>
              <w:autoSpaceDN w:val="0"/>
              <w:adjustRightInd w:val="0"/>
              <w:jc w:val="center"/>
              <w:rPr>
                <w:rFonts w:ascii="Arial Narrow" w:hAnsi="Arial Narrow" w:cs="Calibri"/>
                <w:color w:val="000000"/>
                <w:sz w:val="20"/>
                <w:szCs w:val="20"/>
              </w:rPr>
            </w:pPr>
            <w:r w:rsidRPr="001239B1">
              <w:rPr>
                <w:rFonts w:ascii="Arial Narrow" w:hAnsi="Arial Narrow" w:cs="Calibri"/>
                <w:color w:val="000000"/>
                <w:sz w:val="20"/>
                <w:szCs w:val="20"/>
              </w:rPr>
              <w:t>69.4</w:t>
            </w:r>
          </w:p>
        </w:tc>
        <w:tc>
          <w:tcPr>
            <w:tcW w:w="1260" w:type="dxa"/>
            <w:shd w:val="clear" w:color="auto" w:fill="CCFFCC"/>
            <w:vAlign w:val="bottom"/>
          </w:tcPr>
          <w:p w14:paraId="234C394E" w14:textId="557D8015"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Unimpaired</w:t>
            </w:r>
          </w:p>
        </w:tc>
      </w:tr>
      <w:tr w:rsidR="00DB3FC8" w:rsidRPr="00A233DE" w14:paraId="4BCEFADF" w14:textId="77777777" w:rsidTr="00546B42">
        <w:trPr>
          <w:trHeight w:val="290"/>
        </w:trPr>
        <w:tc>
          <w:tcPr>
            <w:tcW w:w="1383" w:type="dxa"/>
            <w:tcBorders>
              <w:top w:val="nil"/>
              <w:bottom w:val="nil"/>
            </w:tcBorders>
            <w:vAlign w:val="bottom"/>
          </w:tcPr>
          <w:p w14:paraId="370EDF90" w14:textId="77777777" w:rsidR="00DB3FC8" w:rsidRPr="00156F5C" w:rsidRDefault="00DB3FC8" w:rsidP="00DB3FC8">
            <w:pPr>
              <w:keepNext/>
              <w:autoSpaceDE w:val="0"/>
              <w:autoSpaceDN w:val="0"/>
              <w:adjustRightInd w:val="0"/>
              <w:jc w:val="center"/>
              <w:rPr>
                <w:rFonts w:ascii="Arial Narrow" w:hAnsi="Arial Narrow" w:cs="Arial Narrow"/>
                <w:color w:val="000000"/>
                <w:sz w:val="20"/>
                <w:szCs w:val="20"/>
              </w:rPr>
            </w:pPr>
          </w:p>
        </w:tc>
        <w:tc>
          <w:tcPr>
            <w:tcW w:w="1350" w:type="dxa"/>
            <w:tcBorders>
              <w:top w:val="nil"/>
            </w:tcBorders>
            <w:vAlign w:val="bottom"/>
          </w:tcPr>
          <w:p w14:paraId="50A3629D" w14:textId="77777777" w:rsidR="00DB3FC8" w:rsidRPr="00156F5C" w:rsidRDefault="00DB3FC8" w:rsidP="00DB3FC8">
            <w:pPr>
              <w:keepNext/>
              <w:autoSpaceDE w:val="0"/>
              <w:autoSpaceDN w:val="0"/>
              <w:adjustRightInd w:val="0"/>
              <w:jc w:val="center"/>
              <w:rPr>
                <w:rFonts w:ascii="Arial Narrow" w:hAnsi="Arial Narrow"/>
                <w:color w:val="000000"/>
                <w:sz w:val="20"/>
                <w:szCs w:val="20"/>
              </w:rPr>
            </w:pPr>
          </w:p>
        </w:tc>
        <w:tc>
          <w:tcPr>
            <w:tcW w:w="1350" w:type="dxa"/>
            <w:vAlign w:val="bottom"/>
          </w:tcPr>
          <w:p w14:paraId="270B0FEE" w14:textId="28D44399"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4ATKR015.40</w:t>
            </w:r>
          </w:p>
        </w:tc>
        <w:tc>
          <w:tcPr>
            <w:tcW w:w="1170" w:type="dxa"/>
            <w:vAlign w:val="bottom"/>
          </w:tcPr>
          <w:p w14:paraId="6E6EF0B4" w14:textId="72321C2C"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2007</w:t>
            </w:r>
          </w:p>
        </w:tc>
        <w:tc>
          <w:tcPr>
            <w:tcW w:w="990" w:type="dxa"/>
            <w:vAlign w:val="bottom"/>
          </w:tcPr>
          <w:p w14:paraId="31152207" w14:textId="7B1B0FB3" w:rsidR="00DB3FC8" w:rsidRPr="00110B34" w:rsidRDefault="00DB3FC8" w:rsidP="00DB3FC8">
            <w:pPr>
              <w:keepNext/>
              <w:autoSpaceDE w:val="0"/>
              <w:autoSpaceDN w:val="0"/>
              <w:adjustRightInd w:val="0"/>
              <w:jc w:val="center"/>
              <w:rPr>
                <w:rFonts w:ascii="Arial Narrow" w:hAnsi="Arial Narrow"/>
                <w:color w:val="000000"/>
                <w:sz w:val="20"/>
                <w:szCs w:val="20"/>
              </w:rPr>
            </w:pPr>
            <w:r w:rsidRPr="00110B34">
              <w:rPr>
                <w:rFonts w:ascii="Arial Narrow" w:hAnsi="Arial Narrow" w:cs="Calibri"/>
                <w:color w:val="000000"/>
                <w:sz w:val="20"/>
                <w:szCs w:val="20"/>
              </w:rPr>
              <w:t>2</w:t>
            </w:r>
          </w:p>
        </w:tc>
        <w:tc>
          <w:tcPr>
            <w:tcW w:w="900" w:type="dxa"/>
            <w:shd w:val="clear" w:color="auto" w:fill="auto"/>
            <w:vAlign w:val="bottom"/>
          </w:tcPr>
          <w:p w14:paraId="12C72B1B" w14:textId="649795B5" w:rsidR="00DB3FC8" w:rsidRPr="00110B34" w:rsidRDefault="00DB3FC8" w:rsidP="00DB3FC8">
            <w:pPr>
              <w:keepNext/>
              <w:autoSpaceDE w:val="0"/>
              <w:autoSpaceDN w:val="0"/>
              <w:adjustRightInd w:val="0"/>
              <w:jc w:val="center"/>
              <w:rPr>
                <w:rFonts w:ascii="Arial Narrow" w:hAnsi="Arial Narrow"/>
                <w:color w:val="000000"/>
                <w:sz w:val="20"/>
                <w:szCs w:val="20"/>
              </w:rPr>
            </w:pPr>
            <w:r w:rsidRPr="00110B34">
              <w:rPr>
                <w:rFonts w:ascii="Arial Narrow" w:hAnsi="Arial Narrow" w:cs="Calibri"/>
                <w:color w:val="000000"/>
                <w:sz w:val="20"/>
                <w:szCs w:val="20"/>
              </w:rPr>
              <w:t>59.8</w:t>
            </w:r>
          </w:p>
        </w:tc>
        <w:tc>
          <w:tcPr>
            <w:tcW w:w="990" w:type="dxa"/>
            <w:vAlign w:val="bottom"/>
          </w:tcPr>
          <w:p w14:paraId="264A5F4A" w14:textId="32D920F2" w:rsidR="00DB3FC8" w:rsidRPr="001239B1" w:rsidRDefault="00DB3FC8" w:rsidP="00DB3FC8">
            <w:pPr>
              <w:keepNext/>
              <w:autoSpaceDE w:val="0"/>
              <w:autoSpaceDN w:val="0"/>
              <w:adjustRightInd w:val="0"/>
              <w:jc w:val="center"/>
              <w:rPr>
                <w:rFonts w:ascii="Arial Narrow" w:hAnsi="Arial Narrow" w:cs="Calibri"/>
                <w:color w:val="000000"/>
                <w:sz w:val="20"/>
                <w:szCs w:val="20"/>
              </w:rPr>
            </w:pPr>
            <w:r w:rsidRPr="001239B1">
              <w:rPr>
                <w:rFonts w:ascii="Arial Narrow" w:hAnsi="Arial Narrow" w:cs="Calibri"/>
                <w:color w:val="000000"/>
                <w:sz w:val="20"/>
                <w:szCs w:val="20"/>
              </w:rPr>
              <w:t>-</w:t>
            </w:r>
          </w:p>
        </w:tc>
        <w:tc>
          <w:tcPr>
            <w:tcW w:w="1260" w:type="dxa"/>
            <w:shd w:val="clear" w:color="auto" w:fill="CCFFCC"/>
            <w:vAlign w:val="bottom"/>
          </w:tcPr>
          <w:p w14:paraId="7DCD6600" w14:textId="18C05A06"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Unimpaired</w:t>
            </w:r>
          </w:p>
        </w:tc>
      </w:tr>
      <w:tr w:rsidR="00DB3FC8" w:rsidRPr="00A233DE" w14:paraId="2037F00A" w14:textId="77777777" w:rsidTr="00546B42">
        <w:trPr>
          <w:trHeight w:val="290"/>
        </w:trPr>
        <w:tc>
          <w:tcPr>
            <w:tcW w:w="1383" w:type="dxa"/>
            <w:tcBorders>
              <w:top w:val="nil"/>
              <w:bottom w:val="single" w:sz="4" w:space="0" w:color="auto"/>
            </w:tcBorders>
            <w:vAlign w:val="bottom"/>
          </w:tcPr>
          <w:p w14:paraId="48C2A836" w14:textId="77777777" w:rsidR="00DB3FC8" w:rsidRPr="00156F5C" w:rsidRDefault="00DB3FC8" w:rsidP="00DB3FC8">
            <w:pPr>
              <w:keepNext/>
              <w:autoSpaceDE w:val="0"/>
              <w:autoSpaceDN w:val="0"/>
              <w:adjustRightInd w:val="0"/>
              <w:jc w:val="center"/>
              <w:rPr>
                <w:rFonts w:ascii="Arial Narrow" w:hAnsi="Arial Narrow" w:cs="Arial Narrow"/>
                <w:color w:val="000000"/>
                <w:sz w:val="20"/>
                <w:szCs w:val="20"/>
              </w:rPr>
            </w:pPr>
          </w:p>
        </w:tc>
        <w:tc>
          <w:tcPr>
            <w:tcW w:w="1350" w:type="dxa"/>
            <w:tcBorders>
              <w:bottom w:val="single" w:sz="4" w:space="0" w:color="auto"/>
            </w:tcBorders>
            <w:vAlign w:val="bottom"/>
          </w:tcPr>
          <w:p w14:paraId="6EBBF735" w14:textId="62235BCC" w:rsidR="00DB3FC8" w:rsidRPr="00156F5C" w:rsidRDefault="00DB3FC8" w:rsidP="00DB3FC8">
            <w:pPr>
              <w:keepNext/>
              <w:autoSpaceDE w:val="0"/>
              <w:autoSpaceDN w:val="0"/>
              <w:adjustRightInd w:val="0"/>
              <w:jc w:val="center"/>
              <w:rPr>
                <w:rFonts w:ascii="Arial Narrow" w:hAnsi="Arial Narrow"/>
                <w:color w:val="000000"/>
                <w:sz w:val="20"/>
                <w:szCs w:val="20"/>
              </w:rPr>
            </w:pPr>
            <w:proofErr w:type="spellStart"/>
            <w:r w:rsidRPr="00156F5C">
              <w:rPr>
                <w:rFonts w:ascii="Arial Narrow" w:hAnsi="Arial Narrow" w:cs="Calibri"/>
                <w:color w:val="000000"/>
                <w:sz w:val="20"/>
                <w:szCs w:val="20"/>
              </w:rPr>
              <w:t>Carvin</w:t>
            </w:r>
            <w:proofErr w:type="spellEnd"/>
            <w:r w:rsidRPr="00156F5C">
              <w:rPr>
                <w:rFonts w:ascii="Arial Narrow" w:hAnsi="Arial Narrow" w:cs="Calibri"/>
                <w:color w:val="000000"/>
                <w:sz w:val="20"/>
                <w:szCs w:val="20"/>
              </w:rPr>
              <w:t xml:space="preserve"> Creek</w:t>
            </w:r>
          </w:p>
        </w:tc>
        <w:tc>
          <w:tcPr>
            <w:tcW w:w="1350" w:type="dxa"/>
            <w:vAlign w:val="bottom"/>
          </w:tcPr>
          <w:p w14:paraId="3C07930E" w14:textId="018597E0"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4ACRV005.10</w:t>
            </w:r>
          </w:p>
        </w:tc>
        <w:tc>
          <w:tcPr>
            <w:tcW w:w="1170" w:type="dxa"/>
            <w:vAlign w:val="bottom"/>
          </w:tcPr>
          <w:p w14:paraId="09A16205" w14:textId="7D201C07"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2015</w:t>
            </w:r>
          </w:p>
        </w:tc>
        <w:tc>
          <w:tcPr>
            <w:tcW w:w="990" w:type="dxa"/>
            <w:vAlign w:val="bottom"/>
          </w:tcPr>
          <w:p w14:paraId="0F3A1CCE" w14:textId="3539B6DE" w:rsidR="00DB3FC8" w:rsidRPr="00110B34" w:rsidRDefault="00DB3FC8" w:rsidP="00DB3FC8">
            <w:pPr>
              <w:keepNext/>
              <w:autoSpaceDE w:val="0"/>
              <w:autoSpaceDN w:val="0"/>
              <w:adjustRightInd w:val="0"/>
              <w:jc w:val="center"/>
              <w:rPr>
                <w:rFonts w:ascii="Arial Narrow" w:hAnsi="Arial Narrow"/>
                <w:color w:val="000000"/>
                <w:sz w:val="20"/>
                <w:szCs w:val="20"/>
              </w:rPr>
            </w:pPr>
            <w:r w:rsidRPr="00110B34">
              <w:rPr>
                <w:rFonts w:ascii="Arial Narrow" w:hAnsi="Arial Narrow" w:cs="Calibri"/>
                <w:color w:val="000000"/>
                <w:sz w:val="20"/>
                <w:szCs w:val="20"/>
              </w:rPr>
              <w:t>2</w:t>
            </w:r>
          </w:p>
        </w:tc>
        <w:tc>
          <w:tcPr>
            <w:tcW w:w="900" w:type="dxa"/>
            <w:shd w:val="clear" w:color="auto" w:fill="auto"/>
            <w:vAlign w:val="bottom"/>
          </w:tcPr>
          <w:p w14:paraId="436FCD26" w14:textId="78059AFB" w:rsidR="00DB3FC8" w:rsidRPr="00110B34" w:rsidRDefault="00DB3FC8" w:rsidP="00DB3FC8">
            <w:pPr>
              <w:keepNext/>
              <w:autoSpaceDE w:val="0"/>
              <w:autoSpaceDN w:val="0"/>
              <w:adjustRightInd w:val="0"/>
              <w:jc w:val="center"/>
              <w:rPr>
                <w:rFonts w:ascii="Arial Narrow" w:hAnsi="Arial Narrow"/>
                <w:color w:val="000000"/>
                <w:sz w:val="20"/>
                <w:szCs w:val="20"/>
              </w:rPr>
            </w:pPr>
            <w:r w:rsidRPr="00110B34">
              <w:rPr>
                <w:rFonts w:ascii="Arial Narrow" w:hAnsi="Arial Narrow" w:cs="Calibri"/>
                <w:color w:val="000000"/>
                <w:sz w:val="20"/>
                <w:szCs w:val="20"/>
              </w:rPr>
              <w:t>71.4</w:t>
            </w:r>
          </w:p>
        </w:tc>
        <w:tc>
          <w:tcPr>
            <w:tcW w:w="990" w:type="dxa"/>
            <w:vAlign w:val="bottom"/>
          </w:tcPr>
          <w:p w14:paraId="566D5B22" w14:textId="5FD981BD" w:rsidR="00DB3FC8" w:rsidRPr="001239B1" w:rsidRDefault="00DB3FC8" w:rsidP="00DB3FC8">
            <w:pPr>
              <w:keepNext/>
              <w:autoSpaceDE w:val="0"/>
              <w:autoSpaceDN w:val="0"/>
              <w:adjustRightInd w:val="0"/>
              <w:jc w:val="center"/>
              <w:rPr>
                <w:rFonts w:ascii="Arial Narrow" w:hAnsi="Arial Narrow" w:cs="Calibri"/>
                <w:color w:val="000000"/>
                <w:sz w:val="20"/>
                <w:szCs w:val="20"/>
              </w:rPr>
            </w:pPr>
            <w:r w:rsidRPr="001239B1">
              <w:rPr>
                <w:rFonts w:ascii="Arial Narrow" w:hAnsi="Arial Narrow" w:cs="Calibri"/>
                <w:color w:val="000000"/>
                <w:sz w:val="20"/>
                <w:szCs w:val="20"/>
              </w:rPr>
              <w:t>71.4</w:t>
            </w:r>
          </w:p>
        </w:tc>
        <w:tc>
          <w:tcPr>
            <w:tcW w:w="1260" w:type="dxa"/>
            <w:shd w:val="clear" w:color="auto" w:fill="CCFFCC"/>
            <w:vAlign w:val="bottom"/>
          </w:tcPr>
          <w:p w14:paraId="331DFB21" w14:textId="0E365BD3"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Unimpaired</w:t>
            </w:r>
          </w:p>
        </w:tc>
      </w:tr>
      <w:tr w:rsidR="00DB3FC8" w:rsidRPr="00A233DE" w14:paraId="43BB916E" w14:textId="77777777" w:rsidTr="00546B42">
        <w:trPr>
          <w:trHeight w:val="290"/>
        </w:trPr>
        <w:tc>
          <w:tcPr>
            <w:tcW w:w="1383" w:type="dxa"/>
            <w:tcBorders>
              <w:bottom w:val="nil"/>
            </w:tcBorders>
            <w:vAlign w:val="bottom"/>
          </w:tcPr>
          <w:p w14:paraId="185520DE" w14:textId="7F363AE8" w:rsidR="00DB3FC8" w:rsidRPr="00156F5C" w:rsidRDefault="00DB3FC8" w:rsidP="00DB3FC8">
            <w:pPr>
              <w:keepNext/>
              <w:autoSpaceDE w:val="0"/>
              <w:autoSpaceDN w:val="0"/>
              <w:adjustRightInd w:val="0"/>
              <w:jc w:val="center"/>
              <w:rPr>
                <w:rFonts w:ascii="Arial Narrow" w:hAnsi="Arial Narrow" w:cs="Arial Narrow"/>
                <w:color w:val="000000"/>
                <w:sz w:val="20"/>
                <w:szCs w:val="20"/>
              </w:rPr>
            </w:pPr>
            <w:r w:rsidRPr="00156F5C">
              <w:rPr>
                <w:rFonts w:ascii="Arial Narrow" w:hAnsi="Arial Narrow" w:cs="Calibri"/>
                <w:color w:val="000000"/>
                <w:sz w:val="20"/>
                <w:szCs w:val="20"/>
              </w:rPr>
              <w:t>Roanoke River</w:t>
            </w:r>
          </w:p>
        </w:tc>
        <w:tc>
          <w:tcPr>
            <w:tcW w:w="1350" w:type="dxa"/>
            <w:tcBorders>
              <w:bottom w:val="nil"/>
            </w:tcBorders>
            <w:vAlign w:val="bottom"/>
          </w:tcPr>
          <w:p w14:paraId="14DAA9BC" w14:textId="5E7EC506"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Roanoke River</w:t>
            </w:r>
          </w:p>
        </w:tc>
        <w:tc>
          <w:tcPr>
            <w:tcW w:w="1350" w:type="dxa"/>
            <w:vAlign w:val="bottom"/>
          </w:tcPr>
          <w:p w14:paraId="23AE56E8" w14:textId="40596300"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4AROA198.08</w:t>
            </w:r>
          </w:p>
        </w:tc>
        <w:tc>
          <w:tcPr>
            <w:tcW w:w="1170" w:type="dxa"/>
            <w:vAlign w:val="bottom"/>
          </w:tcPr>
          <w:p w14:paraId="7248D24D" w14:textId="4037DF73"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2005-2022</w:t>
            </w:r>
          </w:p>
        </w:tc>
        <w:tc>
          <w:tcPr>
            <w:tcW w:w="990" w:type="dxa"/>
            <w:vAlign w:val="bottom"/>
          </w:tcPr>
          <w:p w14:paraId="6EB8D3DF" w14:textId="032D7725" w:rsidR="00DB3FC8" w:rsidRPr="00110B34" w:rsidRDefault="00DB3FC8" w:rsidP="00DB3FC8">
            <w:pPr>
              <w:keepNext/>
              <w:autoSpaceDE w:val="0"/>
              <w:autoSpaceDN w:val="0"/>
              <w:adjustRightInd w:val="0"/>
              <w:jc w:val="center"/>
              <w:rPr>
                <w:rFonts w:ascii="Arial Narrow" w:hAnsi="Arial Narrow"/>
                <w:color w:val="000000"/>
                <w:sz w:val="20"/>
                <w:szCs w:val="20"/>
              </w:rPr>
            </w:pPr>
            <w:r w:rsidRPr="00110B34">
              <w:rPr>
                <w:rFonts w:ascii="Arial Narrow" w:hAnsi="Arial Narrow" w:cs="Calibri"/>
                <w:color w:val="000000"/>
                <w:sz w:val="20"/>
                <w:szCs w:val="20"/>
              </w:rPr>
              <w:t>18</w:t>
            </w:r>
          </w:p>
        </w:tc>
        <w:tc>
          <w:tcPr>
            <w:tcW w:w="900" w:type="dxa"/>
            <w:shd w:val="clear" w:color="auto" w:fill="auto"/>
            <w:vAlign w:val="bottom"/>
          </w:tcPr>
          <w:p w14:paraId="43A5149D" w14:textId="439A0982" w:rsidR="00DB3FC8" w:rsidRPr="00110B34" w:rsidRDefault="00DB3FC8" w:rsidP="00DB3FC8">
            <w:pPr>
              <w:keepNext/>
              <w:autoSpaceDE w:val="0"/>
              <w:autoSpaceDN w:val="0"/>
              <w:adjustRightInd w:val="0"/>
              <w:jc w:val="center"/>
              <w:rPr>
                <w:rFonts w:ascii="Arial Narrow" w:hAnsi="Arial Narrow"/>
                <w:color w:val="000000"/>
                <w:sz w:val="20"/>
                <w:szCs w:val="20"/>
              </w:rPr>
            </w:pPr>
            <w:r w:rsidRPr="00110B34">
              <w:rPr>
                <w:rFonts w:ascii="Arial Narrow" w:hAnsi="Arial Narrow" w:cs="Calibri"/>
                <w:color w:val="000000"/>
                <w:sz w:val="20"/>
                <w:szCs w:val="20"/>
              </w:rPr>
              <w:t>49.3</w:t>
            </w:r>
          </w:p>
        </w:tc>
        <w:tc>
          <w:tcPr>
            <w:tcW w:w="990" w:type="dxa"/>
            <w:vAlign w:val="bottom"/>
          </w:tcPr>
          <w:p w14:paraId="19091589" w14:textId="2F37F047" w:rsidR="00DB3FC8" w:rsidRPr="001239B1" w:rsidRDefault="00DB3FC8" w:rsidP="00DB3FC8">
            <w:pPr>
              <w:keepNext/>
              <w:autoSpaceDE w:val="0"/>
              <w:autoSpaceDN w:val="0"/>
              <w:adjustRightInd w:val="0"/>
              <w:jc w:val="center"/>
              <w:rPr>
                <w:rFonts w:ascii="Arial Narrow" w:hAnsi="Arial Narrow" w:cs="Calibri"/>
                <w:color w:val="000000"/>
                <w:sz w:val="20"/>
                <w:szCs w:val="20"/>
              </w:rPr>
            </w:pPr>
            <w:r w:rsidRPr="001239B1">
              <w:rPr>
                <w:rFonts w:ascii="Arial Narrow" w:hAnsi="Arial Narrow" w:cs="Calibri"/>
                <w:color w:val="000000"/>
                <w:sz w:val="20"/>
                <w:szCs w:val="20"/>
              </w:rPr>
              <w:t>49.1</w:t>
            </w:r>
          </w:p>
        </w:tc>
        <w:tc>
          <w:tcPr>
            <w:tcW w:w="1260" w:type="dxa"/>
            <w:shd w:val="clear" w:color="auto" w:fill="FFCCCC"/>
            <w:vAlign w:val="bottom"/>
          </w:tcPr>
          <w:p w14:paraId="2F149597" w14:textId="3C4E0B02"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Impaired</w:t>
            </w:r>
          </w:p>
        </w:tc>
      </w:tr>
      <w:tr w:rsidR="00DB3FC8" w:rsidRPr="00A233DE" w14:paraId="26F9F88B" w14:textId="77777777" w:rsidTr="00546B42">
        <w:trPr>
          <w:trHeight w:val="290"/>
        </w:trPr>
        <w:tc>
          <w:tcPr>
            <w:tcW w:w="1383" w:type="dxa"/>
            <w:tcBorders>
              <w:top w:val="nil"/>
              <w:bottom w:val="nil"/>
            </w:tcBorders>
            <w:vAlign w:val="bottom"/>
          </w:tcPr>
          <w:p w14:paraId="7790E510" w14:textId="77777777" w:rsidR="00DB3FC8" w:rsidRPr="00156F5C" w:rsidRDefault="00DB3FC8" w:rsidP="00DB3FC8">
            <w:pPr>
              <w:keepNext/>
              <w:autoSpaceDE w:val="0"/>
              <w:autoSpaceDN w:val="0"/>
              <w:adjustRightInd w:val="0"/>
              <w:jc w:val="center"/>
              <w:rPr>
                <w:rFonts w:ascii="Arial Narrow" w:hAnsi="Arial Narrow" w:cs="Arial Narrow"/>
                <w:color w:val="000000"/>
                <w:sz w:val="20"/>
                <w:szCs w:val="20"/>
              </w:rPr>
            </w:pPr>
          </w:p>
        </w:tc>
        <w:tc>
          <w:tcPr>
            <w:tcW w:w="1350" w:type="dxa"/>
            <w:tcBorders>
              <w:top w:val="nil"/>
              <w:bottom w:val="nil"/>
            </w:tcBorders>
            <w:vAlign w:val="bottom"/>
          </w:tcPr>
          <w:p w14:paraId="0CB09D9D" w14:textId="77777777" w:rsidR="00DB3FC8" w:rsidRPr="00156F5C" w:rsidRDefault="00DB3FC8" w:rsidP="00DB3FC8">
            <w:pPr>
              <w:keepNext/>
              <w:autoSpaceDE w:val="0"/>
              <w:autoSpaceDN w:val="0"/>
              <w:adjustRightInd w:val="0"/>
              <w:jc w:val="center"/>
              <w:rPr>
                <w:rFonts w:ascii="Arial Narrow" w:hAnsi="Arial Narrow"/>
                <w:color w:val="000000"/>
                <w:sz w:val="20"/>
                <w:szCs w:val="20"/>
              </w:rPr>
            </w:pPr>
          </w:p>
        </w:tc>
        <w:tc>
          <w:tcPr>
            <w:tcW w:w="1350" w:type="dxa"/>
            <w:vAlign w:val="bottom"/>
          </w:tcPr>
          <w:p w14:paraId="6E9B3AD1" w14:textId="3DD05C41"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4AROA202.20</w:t>
            </w:r>
          </w:p>
        </w:tc>
        <w:tc>
          <w:tcPr>
            <w:tcW w:w="1170" w:type="dxa"/>
            <w:vAlign w:val="bottom"/>
          </w:tcPr>
          <w:p w14:paraId="542C5943" w14:textId="7D7006AC"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2000-2022</w:t>
            </w:r>
          </w:p>
        </w:tc>
        <w:tc>
          <w:tcPr>
            <w:tcW w:w="990" w:type="dxa"/>
            <w:vAlign w:val="bottom"/>
          </w:tcPr>
          <w:p w14:paraId="44694A90" w14:textId="00BCDC16" w:rsidR="00DB3FC8" w:rsidRPr="00110B34" w:rsidRDefault="00DB3FC8" w:rsidP="00DB3FC8">
            <w:pPr>
              <w:keepNext/>
              <w:autoSpaceDE w:val="0"/>
              <w:autoSpaceDN w:val="0"/>
              <w:adjustRightInd w:val="0"/>
              <w:jc w:val="center"/>
              <w:rPr>
                <w:rFonts w:ascii="Arial Narrow" w:hAnsi="Arial Narrow"/>
                <w:color w:val="000000"/>
                <w:sz w:val="20"/>
                <w:szCs w:val="20"/>
              </w:rPr>
            </w:pPr>
            <w:r w:rsidRPr="00110B34">
              <w:rPr>
                <w:rFonts w:ascii="Arial Narrow" w:hAnsi="Arial Narrow" w:cs="Calibri"/>
                <w:color w:val="000000"/>
                <w:sz w:val="20"/>
                <w:szCs w:val="20"/>
              </w:rPr>
              <w:t>20</w:t>
            </w:r>
          </w:p>
        </w:tc>
        <w:tc>
          <w:tcPr>
            <w:tcW w:w="900" w:type="dxa"/>
            <w:shd w:val="clear" w:color="auto" w:fill="auto"/>
            <w:vAlign w:val="bottom"/>
          </w:tcPr>
          <w:p w14:paraId="165E4D62" w14:textId="47F95937" w:rsidR="00DB3FC8" w:rsidRPr="00110B34" w:rsidRDefault="00DB3FC8" w:rsidP="00DB3FC8">
            <w:pPr>
              <w:keepNext/>
              <w:autoSpaceDE w:val="0"/>
              <w:autoSpaceDN w:val="0"/>
              <w:adjustRightInd w:val="0"/>
              <w:jc w:val="center"/>
              <w:rPr>
                <w:rFonts w:ascii="Arial Narrow" w:hAnsi="Arial Narrow"/>
                <w:color w:val="000000"/>
                <w:sz w:val="20"/>
                <w:szCs w:val="20"/>
              </w:rPr>
            </w:pPr>
            <w:r w:rsidRPr="00110B34">
              <w:rPr>
                <w:rFonts w:ascii="Arial Narrow" w:hAnsi="Arial Narrow" w:cs="Calibri"/>
                <w:color w:val="000000"/>
                <w:sz w:val="20"/>
                <w:szCs w:val="20"/>
              </w:rPr>
              <w:t>55.3</w:t>
            </w:r>
          </w:p>
        </w:tc>
        <w:tc>
          <w:tcPr>
            <w:tcW w:w="990" w:type="dxa"/>
            <w:vAlign w:val="bottom"/>
          </w:tcPr>
          <w:p w14:paraId="6C11941E" w14:textId="5EA48E08" w:rsidR="00DB3FC8" w:rsidRPr="001239B1" w:rsidRDefault="00DB3FC8" w:rsidP="00DB3FC8">
            <w:pPr>
              <w:keepNext/>
              <w:autoSpaceDE w:val="0"/>
              <w:autoSpaceDN w:val="0"/>
              <w:adjustRightInd w:val="0"/>
              <w:jc w:val="center"/>
              <w:rPr>
                <w:rFonts w:ascii="Arial Narrow" w:hAnsi="Arial Narrow" w:cs="Calibri"/>
                <w:color w:val="000000"/>
                <w:sz w:val="20"/>
                <w:szCs w:val="20"/>
              </w:rPr>
            </w:pPr>
            <w:r w:rsidRPr="001239B1">
              <w:rPr>
                <w:rFonts w:ascii="Arial Narrow" w:hAnsi="Arial Narrow" w:cs="Calibri"/>
                <w:color w:val="000000"/>
                <w:sz w:val="20"/>
                <w:szCs w:val="20"/>
              </w:rPr>
              <w:t>56.1</w:t>
            </w:r>
          </w:p>
        </w:tc>
        <w:tc>
          <w:tcPr>
            <w:tcW w:w="1260" w:type="dxa"/>
            <w:shd w:val="clear" w:color="auto" w:fill="FFCCCC"/>
            <w:vAlign w:val="bottom"/>
          </w:tcPr>
          <w:p w14:paraId="3ACB5EA0" w14:textId="0C8BD907"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Impaired</w:t>
            </w:r>
          </w:p>
        </w:tc>
      </w:tr>
      <w:tr w:rsidR="00DB3FC8" w:rsidRPr="00A233DE" w14:paraId="27B0981B" w14:textId="77777777" w:rsidTr="00546B42">
        <w:trPr>
          <w:trHeight w:val="290"/>
        </w:trPr>
        <w:tc>
          <w:tcPr>
            <w:tcW w:w="1383" w:type="dxa"/>
            <w:tcBorders>
              <w:top w:val="nil"/>
              <w:bottom w:val="nil"/>
            </w:tcBorders>
            <w:vAlign w:val="bottom"/>
          </w:tcPr>
          <w:p w14:paraId="5D23529B" w14:textId="77777777" w:rsidR="00DB3FC8" w:rsidRPr="00156F5C" w:rsidRDefault="00DB3FC8" w:rsidP="00DB3FC8">
            <w:pPr>
              <w:keepNext/>
              <w:autoSpaceDE w:val="0"/>
              <w:autoSpaceDN w:val="0"/>
              <w:adjustRightInd w:val="0"/>
              <w:jc w:val="center"/>
              <w:rPr>
                <w:rFonts w:ascii="Arial Narrow" w:hAnsi="Arial Narrow" w:cs="Arial Narrow"/>
                <w:color w:val="000000"/>
                <w:sz w:val="20"/>
                <w:szCs w:val="20"/>
              </w:rPr>
            </w:pPr>
          </w:p>
        </w:tc>
        <w:tc>
          <w:tcPr>
            <w:tcW w:w="1350" w:type="dxa"/>
            <w:tcBorders>
              <w:top w:val="nil"/>
              <w:bottom w:val="nil"/>
            </w:tcBorders>
            <w:vAlign w:val="bottom"/>
          </w:tcPr>
          <w:p w14:paraId="2F24DD40" w14:textId="77777777" w:rsidR="00DB3FC8" w:rsidRPr="00156F5C" w:rsidRDefault="00DB3FC8" w:rsidP="00DB3FC8">
            <w:pPr>
              <w:keepNext/>
              <w:autoSpaceDE w:val="0"/>
              <w:autoSpaceDN w:val="0"/>
              <w:adjustRightInd w:val="0"/>
              <w:jc w:val="center"/>
              <w:rPr>
                <w:rFonts w:ascii="Arial Narrow" w:hAnsi="Arial Narrow"/>
                <w:color w:val="000000"/>
                <w:sz w:val="20"/>
                <w:szCs w:val="20"/>
              </w:rPr>
            </w:pPr>
          </w:p>
        </w:tc>
        <w:tc>
          <w:tcPr>
            <w:tcW w:w="1350" w:type="dxa"/>
            <w:vAlign w:val="bottom"/>
          </w:tcPr>
          <w:p w14:paraId="3448AB08" w14:textId="2DF56329"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4AROA205.67</w:t>
            </w:r>
          </w:p>
        </w:tc>
        <w:tc>
          <w:tcPr>
            <w:tcW w:w="1170" w:type="dxa"/>
            <w:vAlign w:val="bottom"/>
          </w:tcPr>
          <w:p w14:paraId="62D61005" w14:textId="39E9E493"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2000</w:t>
            </w:r>
          </w:p>
        </w:tc>
        <w:tc>
          <w:tcPr>
            <w:tcW w:w="990" w:type="dxa"/>
            <w:vAlign w:val="bottom"/>
          </w:tcPr>
          <w:p w14:paraId="49317FE9" w14:textId="75755922" w:rsidR="00DB3FC8" w:rsidRPr="00110B34" w:rsidRDefault="00DB3FC8" w:rsidP="00DB3FC8">
            <w:pPr>
              <w:keepNext/>
              <w:autoSpaceDE w:val="0"/>
              <w:autoSpaceDN w:val="0"/>
              <w:adjustRightInd w:val="0"/>
              <w:jc w:val="center"/>
              <w:rPr>
                <w:rFonts w:ascii="Arial Narrow" w:hAnsi="Arial Narrow"/>
                <w:color w:val="000000"/>
                <w:sz w:val="20"/>
                <w:szCs w:val="20"/>
              </w:rPr>
            </w:pPr>
            <w:r w:rsidRPr="00110B34">
              <w:rPr>
                <w:rFonts w:ascii="Arial Narrow" w:hAnsi="Arial Narrow" w:cs="Calibri"/>
                <w:color w:val="000000"/>
                <w:sz w:val="20"/>
                <w:szCs w:val="20"/>
              </w:rPr>
              <w:t>1</w:t>
            </w:r>
          </w:p>
        </w:tc>
        <w:tc>
          <w:tcPr>
            <w:tcW w:w="900" w:type="dxa"/>
            <w:shd w:val="clear" w:color="auto" w:fill="auto"/>
            <w:vAlign w:val="bottom"/>
          </w:tcPr>
          <w:p w14:paraId="0B04DD4C" w14:textId="14D2596B" w:rsidR="00DB3FC8" w:rsidRPr="00110B34" w:rsidRDefault="00DB3FC8" w:rsidP="00DB3FC8">
            <w:pPr>
              <w:keepNext/>
              <w:autoSpaceDE w:val="0"/>
              <w:autoSpaceDN w:val="0"/>
              <w:adjustRightInd w:val="0"/>
              <w:jc w:val="center"/>
              <w:rPr>
                <w:rFonts w:ascii="Arial Narrow" w:hAnsi="Arial Narrow"/>
                <w:color w:val="000000"/>
                <w:sz w:val="20"/>
                <w:szCs w:val="20"/>
              </w:rPr>
            </w:pPr>
            <w:r w:rsidRPr="00110B34">
              <w:rPr>
                <w:rFonts w:ascii="Arial Narrow" w:hAnsi="Arial Narrow" w:cs="Calibri"/>
                <w:color w:val="000000"/>
                <w:sz w:val="20"/>
                <w:szCs w:val="20"/>
              </w:rPr>
              <w:t>44.9</w:t>
            </w:r>
          </w:p>
        </w:tc>
        <w:tc>
          <w:tcPr>
            <w:tcW w:w="990" w:type="dxa"/>
            <w:vAlign w:val="bottom"/>
          </w:tcPr>
          <w:p w14:paraId="47154843" w14:textId="4396A53D" w:rsidR="00DB3FC8" w:rsidRPr="001239B1" w:rsidRDefault="00DB3FC8" w:rsidP="00DB3FC8">
            <w:pPr>
              <w:keepNext/>
              <w:autoSpaceDE w:val="0"/>
              <w:autoSpaceDN w:val="0"/>
              <w:adjustRightInd w:val="0"/>
              <w:jc w:val="center"/>
              <w:rPr>
                <w:rFonts w:ascii="Arial Narrow" w:hAnsi="Arial Narrow" w:cs="Calibri"/>
                <w:color w:val="000000"/>
                <w:sz w:val="20"/>
                <w:szCs w:val="20"/>
              </w:rPr>
            </w:pPr>
            <w:r w:rsidRPr="001239B1">
              <w:rPr>
                <w:rFonts w:ascii="Arial Narrow" w:hAnsi="Arial Narrow" w:cs="Calibri"/>
                <w:color w:val="000000"/>
                <w:sz w:val="20"/>
                <w:szCs w:val="20"/>
              </w:rPr>
              <w:t>-</w:t>
            </w:r>
          </w:p>
        </w:tc>
        <w:tc>
          <w:tcPr>
            <w:tcW w:w="1260" w:type="dxa"/>
            <w:shd w:val="clear" w:color="auto" w:fill="FFCCCC"/>
            <w:vAlign w:val="bottom"/>
          </w:tcPr>
          <w:p w14:paraId="54AA634E" w14:textId="796C3409"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Impaired</w:t>
            </w:r>
          </w:p>
        </w:tc>
      </w:tr>
      <w:tr w:rsidR="00DB3FC8" w:rsidRPr="00A233DE" w14:paraId="5CDC7684" w14:textId="77777777" w:rsidTr="00546B42">
        <w:trPr>
          <w:trHeight w:val="290"/>
        </w:trPr>
        <w:tc>
          <w:tcPr>
            <w:tcW w:w="1383" w:type="dxa"/>
            <w:tcBorders>
              <w:top w:val="nil"/>
              <w:bottom w:val="nil"/>
            </w:tcBorders>
            <w:vAlign w:val="bottom"/>
          </w:tcPr>
          <w:p w14:paraId="4BBC87BB" w14:textId="77777777" w:rsidR="00DB3FC8" w:rsidRPr="00156F5C" w:rsidRDefault="00DB3FC8" w:rsidP="00DB3FC8">
            <w:pPr>
              <w:keepNext/>
              <w:autoSpaceDE w:val="0"/>
              <w:autoSpaceDN w:val="0"/>
              <w:adjustRightInd w:val="0"/>
              <w:jc w:val="center"/>
              <w:rPr>
                <w:rFonts w:ascii="Arial Narrow" w:hAnsi="Arial Narrow" w:cs="Arial Narrow"/>
                <w:color w:val="000000"/>
                <w:sz w:val="20"/>
                <w:szCs w:val="20"/>
              </w:rPr>
            </w:pPr>
          </w:p>
        </w:tc>
        <w:tc>
          <w:tcPr>
            <w:tcW w:w="1350" w:type="dxa"/>
            <w:tcBorders>
              <w:top w:val="nil"/>
              <w:bottom w:val="nil"/>
            </w:tcBorders>
            <w:vAlign w:val="bottom"/>
          </w:tcPr>
          <w:p w14:paraId="1AAFF304" w14:textId="77777777" w:rsidR="00DB3FC8" w:rsidRPr="00156F5C" w:rsidRDefault="00DB3FC8" w:rsidP="00DB3FC8">
            <w:pPr>
              <w:keepNext/>
              <w:autoSpaceDE w:val="0"/>
              <w:autoSpaceDN w:val="0"/>
              <w:adjustRightInd w:val="0"/>
              <w:jc w:val="center"/>
              <w:rPr>
                <w:rFonts w:ascii="Arial Narrow" w:hAnsi="Arial Narrow"/>
                <w:color w:val="000000"/>
                <w:sz w:val="20"/>
                <w:szCs w:val="20"/>
              </w:rPr>
            </w:pPr>
          </w:p>
        </w:tc>
        <w:tc>
          <w:tcPr>
            <w:tcW w:w="1350" w:type="dxa"/>
            <w:vAlign w:val="bottom"/>
          </w:tcPr>
          <w:p w14:paraId="6B0AB160" w14:textId="51D3E9AE"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4AROA206.95</w:t>
            </w:r>
          </w:p>
        </w:tc>
        <w:tc>
          <w:tcPr>
            <w:tcW w:w="1170" w:type="dxa"/>
            <w:vAlign w:val="bottom"/>
          </w:tcPr>
          <w:p w14:paraId="14439050" w14:textId="49B8AA7A"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2000-2022</w:t>
            </w:r>
          </w:p>
        </w:tc>
        <w:tc>
          <w:tcPr>
            <w:tcW w:w="990" w:type="dxa"/>
            <w:vAlign w:val="bottom"/>
          </w:tcPr>
          <w:p w14:paraId="7F03F7D8" w14:textId="62B25731" w:rsidR="00DB3FC8" w:rsidRPr="00110B34" w:rsidRDefault="00DB3FC8" w:rsidP="00DB3FC8">
            <w:pPr>
              <w:keepNext/>
              <w:autoSpaceDE w:val="0"/>
              <w:autoSpaceDN w:val="0"/>
              <w:adjustRightInd w:val="0"/>
              <w:jc w:val="center"/>
              <w:rPr>
                <w:rFonts w:ascii="Arial Narrow" w:hAnsi="Arial Narrow"/>
                <w:color w:val="000000"/>
                <w:sz w:val="20"/>
                <w:szCs w:val="20"/>
              </w:rPr>
            </w:pPr>
            <w:r w:rsidRPr="00110B34">
              <w:rPr>
                <w:rFonts w:ascii="Arial Narrow" w:hAnsi="Arial Narrow" w:cs="Calibri"/>
                <w:color w:val="000000"/>
                <w:sz w:val="20"/>
                <w:szCs w:val="20"/>
              </w:rPr>
              <w:t>15</w:t>
            </w:r>
          </w:p>
        </w:tc>
        <w:tc>
          <w:tcPr>
            <w:tcW w:w="900" w:type="dxa"/>
            <w:shd w:val="clear" w:color="auto" w:fill="auto"/>
            <w:vAlign w:val="bottom"/>
          </w:tcPr>
          <w:p w14:paraId="56480ECE" w14:textId="4793CF5F" w:rsidR="00DB3FC8" w:rsidRPr="00110B34" w:rsidRDefault="00DB3FC8" w:rsidP="00DB3FC8">
            <w:pPr>
              <w:keepNext/>
              <w:autoSpaceDE w:val="0"/>
              <w:autoSpaceDN w:val="0"/>
              <w:adjustRightInd w:val="0"/>
              <w:jc w:val="center"/>
              <w:rPr>
                <w:rFonts w:ascii="Arial Narrow" w:hAnsi="Arial Narrow"/>
                <w:color w:val="000000"/>
                <w:sz w:val="20"/>
                <w:szCs w:val="20"/>
              </w:rPr>
            </w:pPr>
            <w:r w:rsidRPr="00110B34">
              <w:rPr>
                <w:rFonts w:ascii="Arial Narrow" w:hAnsi="Arial Narrow" w:cs="Calibri"/>
                <w:color w:val="000000"/>
                <w:sz w:val="20"/>
                <w:szCs w:val="20"/>
              </w:rPr>
              <w:t>60</w:t>
            </w:r>
          </w:p>
        </w:tc>
        <w:tc>
          <w:tcPr>
            <w:tcW w:w="990" w:type="dxa"/>
            <w:vAlign w:val="bottom"/>
          </w:tcPr>
          <w:p w14:paraId="15C99602" w14:textId="1AB9BA75" w:rsidR="00DB3FC8" w:rsidRPr="001239B1" w:rsidRDefault="00DB3FC8" w:rsidP="00DB3FC8">
            <w:pPr>
              <w:keepNext/>
              <w:autoSpaceDE w:val="0"/>
              <w:autoSpaceDN w:val="0"/>
              <w:adjustRightInd w:val="0"/>
              <w:jc w:val="center"/>
              <w:rPr>
                <w:rFonts w:ascii="Arial Narrow" w:hAnsi="Arial Narrow" w:cs="Calibri"/>
                <w:color w:val="000000"/>
                <w:sz w:val="20"/>
                <w:szCs w:val="20"/>
              </w:rPr>
            </w:pPr>
            <w:r w:rsidRPr="001239B1">
              <w:rPr>
                <w:rFonts w:ascii="Arial Narrow" w:hAnsi="Arial Narrow" w:cs="Calibri"/>
                <w:color w:val="000000"/>
                <w:sz w:val="20"/>
                <w:szCs w:val="20"/>
              </w:rPr>
              <w:t>59.4</w:t>
            </w:r>
          </w:p>
        </w:tc>
        <w:tc>
          <w:tcPr>
            <w:tcW w:w="1260" w:type="dxa"/>
            <w:shd w:val="clear" w:color="auto" w:fill="CCFFCC"/>
            <w:vAlign w:val="bottom"/>
          </w:tcPr>
          <w:p w14:paraId="256CE00F" w14:textId="16820A15"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Unimpaired</w:t>
            </w:r>
          </w:p>
        </w:tc>
      </w:tr>
      <w:tr w:rsidR="00DB3FC8" w:rsidRPr="00A233DE" w14:paraId="55976968" w14:textId="77777777" w:rsidTr="00546B42">
        <w:trPr>
          <w:trHeight w:val="290"/>
        </w:trPr>
        <w:tc>
          <w:tcPr>
            <w:tcW w:w="1383" w:type="dxa"/>
            <w:tcBorders>
              <w:top w:val="nil"/>
              <w:bottom w:val="nil"/>
            </w:tcBorders>
            <w:vAlign w:val="bottom"/>
          </w:tcPr>
          <w:p w14:paraId="649CC656" w14:textId="77777777" w:rsidR="00DB3FC8" w:rsidRPr="00156F5C" w:rsidRDefault="00DB3FC8" w:rsidP="00DB3FC8">
            <w:pPr>
              <w:keepNext/>
              <w:autoSpaceDE w:val="0"/>
              <w:autoSpaceDN w:val="0"/>
              <w:adjustRightInd w:val="0"/>
              <w:jc w:val="center"/>
              <w:rPr>
                <w:rFonts w:ascii="Arial Narrow" w:hAnsi="Arial Narrow" w:cs="Arial Narrow"/>
                <w:color w:val="000000"/>
                <w:sz w:val="20"/>
                <w:szCs w:val="20"/>
              </w:rPr>
            </w:pPr>
          </w:p>
        </w:tc>
        <w:tc>
          <w:tcPr>
            <w:tcW w:w="1350" w:type="dxa"/>
            <w:tcBorders>
              <w:top w:val="nil"/>
              <w:bottom w:val="nil"/>
            </w:tcBorders>
            <w:vAlign w:val="bottom"/>
          </w:tcPr>
          <w:p w14:paraId="6D71B8B7" w14:textId="77777777" w:rsidR="00DB3FC8" w:rsidRPr="00156F5C" w:rsidRDefault="00DB3FC8" w:rsidP="00DB3FC8">
            <w:pPr>
              <w:keepNext/>
              <w:autoSpaceDE w:val="0"/>
              <w:autoSpaceDN w:val="0"/>
              <w:adjustRightInd w:val="0"/>
              <w:jc w:val="center"/>
              <w:rPr>
                <w:rFonts w:ascii="Arial Narrow" w:hAnsi="Arial Narrow"/>
                <w:color w:val="000000"/>
                <w:sz w:val="20"/>
                <w:szCs w:val="20"/>
              </w:rPr>
            </w:pPr>
          </w:p>
        </w:tc>
        <w:tc>
          <w:tcPr>
            <w:tcW w:w="1350" w:type="dxa"/>
            <w:vAlign w:val="bottom"/>
          </w:tcPr>
          <w:p w14:paraId="3EC83EC4" w14:textId="03B9089C"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4AROA210.56</w:t>
            </w:r>
          </w:p>
        </w:tc>
        <w:tc>
          <w:tcPr>
            <w:tcW w:w="1170" w:type="dxa"/>
            <w:vAlign w:val="bottom"/>
          </w:tcPr>
          <w:p w14:paraId="231CA977" w14:textId="6C8BEA89"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2009</w:t>
            </w:r>
          </w:p>
        </w:tc>
        <w:tc>
          <w:tcPr>
            <w:tcW w:w="990" w:type="dxa"/>
            <w:vAlign w:val="bottom"/>
          </w:tcPr>
          <w:p w14:paraId="1D9DFFEB" w14:textId="03E28BA8" w:rsidR="00DB3FC8" w:rsidRPr="00110B34" w:rsidRDefault="00DB3FC8" w:rsidP="00DB3FC8">
            <w:pPr>
              <w:keepNext/>
              <w:autoSpaceDE w:val="0"/>
              <w:autoSpaceDN w:val="0"/>
              <w:adjustRightInd w:val="0"/>
              <w:jc w:val="center"/>
              <w:rPr>
                <w:rFonts w:ascii="Arial Narrow" w:hAnsi="Arial Narrow"/>
                <w:color w:val="000000"/>
                <w:sz w:val="20"/>
                <w:szCs w:val="20"/>
              </w:rPr>
            </w:pPr>
            <w:r w:rsidRPr="00110B34">
              <w:rPr>
                <w:rFonts w:ascii="Arial Narrow" w:hAnsi="Arial Narrow" w:cs="Calibri"/>
                <w:color w:val="000000"/>
                <w:sz w:val="20"/>
                <w:szCs w:val="20"/>
              </w:rPr>
              <w:t>2</w:t>
            </w:r>
          </w:p>
        </w:tc>
        <w:tc>
          <w:tcPr>
            <w:tcW w:w="900" w:type="dxa"/>
            <w:shd w:val="clear" w:color="auto" w:fill="auto"/>
            <w:vAlign w:val="bottom"/>
          </w:tcPr>
          <w:p w14:paraId="516F8B00" w14:textId="3B864558" w:rsidR="00DB3FC8" w:rsidRPr="00110B34" w:rsidRDefault="00DB3FC8" w:rsidP="00DB3FC8">
            <w:pPr>
              <w:keepNext/>
              <w:autoSpaceDE w:val="0"/>
              <w:autoSpaceDN w:val="0"/>
              <w:adjustRightInd w:val="0"/>
              <w:jc w:val="center"/>
              <w:rPr>
                <w:rFonts w:ascii="Arial Narrow" w:hAnsi="Arial Narrow"/>
                <w:color w:val="000000"/>
                <w:sz w:val="20"/>
                <w:szCs w:val="20"/>
              </w:rPr>
            </w:pPr>
            <w:r w:rsidRPr="00110B34">
              <w:rPr>
                <w:rFonts w:ascii="Arial Narrow" w:hAnsi="Arial Narrow" w:cs="Calibri"/>
                <w:color w:val="000000"/>
                <w:sz w:val="20"/>
                <w:szCs w:val="20"/>
              </w:rPr>
              <w:t>61.2</w:t>
            </w:r>
          </w:p>
        </w:tc>
        <w:tc>
          <w:tcPr>
            <w:tcW w:w="990" w:type="dxa"/>
            <w:vAlign w:val="bottom"/>
          </w:tcPr>
          <w:p w14:paraId="35CCA2D2" w14:textId="54F7A69E" w:rsidR="00DB3FC8" w:rsidRPr="001239B1" w:rsidRDefault="00DB3FC8" w:rsidP="00DB3FC8">
            <w:pPr>
              <w:keepNext/>
              <w:autoSpaceDE w:val="0"/>
              <w:autoSpaceDN w:val="0"/>
              <w:adjustRightInd w:val="0"/>
              <w:jc w:val="center"/>
              <w:rPr>
                <w:rFonts w:ascii="Arial Narrow" w:hAnsi="Arial Narrow" w:cs="Calibri"/>
                <w:color w:val="000000"/>
                <w:sz w:val="20"/>
                <w:szCs w:val="20"/>
              </w:rPr>
            </w:pPr>
            <w:r w:rsidRPr="001239B1">
              <w:rPr>
                <w:rFonts w:ascii="Arial Narrow" w:hAnsi="Arial Narrow" w:cs="Calibri"/>
                <w:color w:val="000000"/>
                <w:sz w:val="20"/>
                <w:szCs w:val="20"/>
              </w:rPr>
              <w:t>-</w:t>
            </w:r>
          </w:p>
        </w:tc>
        <w:tc>
          <w:tcPr>
            <w:tcW w:w="1260" w:type="dxa"/>
            <w:shd w:val="clear" w:color="auto" w:fill="CCFFCC"/>
            <w:vAlign w:val="bottom"/>
          </w:tcPr>
          <w:p w14:paraId="3F34546B" w14:textId="718C7E0D"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Unimpaired</w:t>
            </w:r>
          </w:p>
        </w:tc>
      </w:tr>
      <w:tr w:rsidR="00DB3FC8" w:rsidRPr="00A233DE" w14:paraId="1212FDD1" w14:textId="77777777" w:rsidTr="00546B42">
        <w:trPr>
          <w:trHeight w:val="290"/>
        </w:trPr>
        <w:tc>
          <w:tcPr>
            <w:tcW w:w="1383" w:type="dxa"/>
            <w:tcBorders>
              <w:top w:val="nil"/>
              <w:bottom w:val="nil"/>
            </w:tcBorders>
            <w:vAlign w:val="bottom"/>
          </w:tcPr>
          <w:p w14:paraId="21C66BDC" w14:textId="77777777" w:rsidR="00DB3FC8" w:rsidRPr="00156F5C" w:rsidRDefault="00DB3FC8" w:rsidP="00DB3FC8">
            <w:pPr>
              <w:keepNext/>
              <w:autoSpaceDE w:val="0"/>
              <w:autoSpaceDN w:val="0"/>
              <w:adjustRightInd w:val="0"/>
              <w:jc w:val="center"/>
              <w:rPr>
                <w:rFonts w:ascii="Arial Narrow" w:hAnsi="Arial Narrow" w:cs="Arial Narrow"/>
                <w:color w:val="000000"/>
                <w:sz w:val="20"/>
                <w:szCs w:val="20"/>
              </w:rPr>
            </w:pPr>
          </w:p>
        </w:tc>
        <w:tc>
          <w:tcPr>
            <w:tcW w:w="1350" w:type="dxa"/>
            <w:tcBorders>
              <w:top w:val="nil"/>
              <w:bottom w:val="nil"/>
            </w:tcBorders>
            <w:vAlign w:val="bottom"/>
          </w:tcPr>
          <w:p w14:paraId="542492F0" w14:textId="77777777" w:rsidR="00DB3FC8" w:rsidRPr="00156F5C" w:rsidRDefault="00DB3FC8" w:rsidP="00DB3FC8">
            <w:pPr>
              <w:keepNext/>
              <w:autoSpaceDE w:val="0"/>
              <w:autoSpaceDN w:val="0"/>
              <w:adjustRightInd w:val="0"/>
              <w:jc w:val="center"/>
              <w:rPr>
                <w:rFonts w:ascii="Arial Narrow" w:hAnsi="Arial Narrow"/>
                <w:color w:val="000000"/>
                <w:sz w:val="20"/>
                <w:szCs w:val="20"/>
              </w:rPr>
            </w:pPr>
          </w:p>
        </w:tc>
        <w:tc>
          <w:tcPr>
            <w:tcW w:w="1350" w:type="dxa"/>
            <w:vAlign w:val="bottom"/>
          </w:tcPr>
          <w:p w14:paraId="1A25EDFC" w14:textId="117129E7"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4AROA212.17</w:t>
            </w:r>
          </w:p>
        </w:tc>
        <w:tc>
          <w:tcPr>
            <w:tcW w:w="1170" w:type="dxa"/>
            <w:vAlign w:val="bottom"/>
          </w:tcPr>
          <w:p w14:paraId="3C27AC7F" w14:textId="3D613160"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2000-2022</w:t>
            </w:r>
          </w:p>
        </w:tc>
        <w:tc>
          <w:tcPr>
            <w:tcW w:w="990" w:type="dxa"/>
            <w:vAlign w:val="bottom"/>
          </w:tcPr>
          <w:p w14:paraId="591156B5" w14:textId="19EB8C8A" w:rsidR="00DB3FC8" w:rsidRPr="00110B34" w:rsidRDefault="00DB3FC8" w:rsidP="00DB3FC8">
            <w:pPr>
              <w:keepNext/>
              <w:autoSpaceDE w:val="0"/>
              <w:autoSpaceDN w:val="0"/>
              <w:adjustRightInd w:val="0"/>
              <w:jc w:val="center"/>
              <w:rPr>
                <w:rFonts w:ascii="Arial Narrow" w:hAnsi="Arial Narrow"/>
                <w:color w:val="000000"/>
                <w:sz w:val="20"/>
                <w:szCs w:val="20"/>
              </w:rPr>
            </w:pPr>
            <w:r w:rsidRPr="00110B34">
              <w:rPr>
                <w:rFonts w:ascii="Arial Narrow" w:hAnsi="Arial Narrow" w:cs="Calibri"/>
                <w:color w:val="000000"/>
                <w:sz w:val="20"/>
                <w:szCs w:val="20"/>
              </w:rPr>
              <w:t>16</w:t>
            </w:r>
          </w:p>
        </w:tc>
        <w:tc>
          <w:tcPr>
            <w:tcW w:w="900" w:type="dxa"/>
            <w:shd w:val="clear" w:color="auto" w:fill="auto"/>
            <w:vAlign w:val="bottom"/>
          </w:tcPr>
          <w:p w14:paraId="09383E0A" w14:textId="28DE6E2D" w:rsidR="00DB3FC8" w:rsidRPr="00110B34" w:rsidRDefault="00DB3FC8" w:rsidP="00DB3FC8">
            <w:pPr>
              <w:keepNext/>
              <w:autoSpaceDE w:val="0"/>
              <w:autoSpaceDN w:val="0"/>
              <w:adjustRightInd w:val="0"/>
              <w:jc w:val="center"/>
              <w:rPr>
                <w:rFonts w:ascii="Arial Narrow" w:hAnsi="Arial Narrow"/>
                <w:color w:val="000000"/>
                <w:sz w:val="20"/>
                <w:szCs w:val="20"/>
              </w:rPr>
            </w:pPr>
            <w:r w:rsidRPr="00110B34">
              <w:rPr>
                <w:rFonts w:ascii="Arial Narrow" w:hAnsi="Arial Narrow" w:cs="Calibri"/>
                <w:color w:val="000000"/>
                <w:sz w:val="20"/>
                <w:szCs w:val="20"/>
              </w:rPr>
              <w:t>60.6</w:t>
            </w:r>
          </w:p>
        </w:tc>
        <w:tc>
          <w:tcPr>
            <w:tcW w:w="990" w:type="dxa"/>
            <w:vAlign w:val="bottom"/>
          </w:tcPr>
          <w:p w14:paraId="3EC7B236" w14:textId="4B94DD9D" w:rsidR="00DB3FC8" w:rsidRPr="001239B1" w:rsidRDefault="00DB3FC8" w:rsidP="00DB3FC8">
            <w:pPr>
              <w:keepNext/>
              <w:autoSpaceDE w:val="0"/>
              <w:autoSpaceDN w:val="0"/>
              <w:adjustRightInd w:val="0"/>
              <w:jc w:val="center"/>
              <w:rPr>
                <w:rFonts w:ascii="Arial Narrow" w:hAnsi="Arial Narrow" w:cs="Calibri"/>
                <w:color w:val="000000"/>
                <w:sz w:val="20"/>
                <w:szCs w:val="20"/>
              </w:rPr>
            </w:pPr>
            <w:r w:rsidRPr="001239B1">
              <w:rPr>
                <w:rFonts w:ascii="Arial Narrow" w:hAnsi="Arial Narrow" w:cs="Calibri"/>
                <w:color w:val="000000"/>
                <w:sz w:val="20"/>
                <w:szCs w:val="20"/>
              </w:rPr>
              <w:t>60.8</w:t>
            </w:r>
          </w:p>
        </w:tc>
        <w:tc>
          <w:tcPr>
            <w:tcW w:w="1260" w:type="dxa"/>
            <w:shd w:val="clear" w:color="auto" w:fill="CCFFCC"/>
            <w:vAlign w:val="bottom"/>
          </w:tcPr>
          <w:p w14:paraId="4DB0C8C5" w14:textId="068F33ED"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Unimpaired</w:t>
            </w:r>
          </w:p>
        </w:tc>
      </w:tr>
      <w:tr w:rsidR="00DB3FC8" w:rsidRPr="00A233DE" w14:paraId="6F766D41" w14:textId="77777777" w:rsidTr="00546B42">
        <w:trPr>
          <w:trHeight w:val="290"/>
        </w:trPr>
        <w:tc>
          <w:tcPr>
            <w:tcW w:w="1383" w:type="dxa"/>
            <w:tcBorders>
              <w:top w:val="nil"/>
              <w:bottom w:val="nil"/>
            </w:tcBorders>
            <w:vAlign w:val="bottom"/>
          </w:tcPr>
          <w:p w14:paraId="25FE60FC" w14:textId="77777777" w:rsidR="00DB3FC8" w:rsidRPr="00156F5C" w:rsidRDefault="00DB3FC8" w:rsidP="00DB3FC8">
            <w:pPr>
              <w:keepNext/>
              <w:autoSpaceDE w:val="0"/>
              <w:autoSpaceDN w:val="0"/>
              <w:adjustRightInd w:val="0"/>
              <w:jc w:val="center"/>
              <w:rPr>
                <w:rFonts w:ascii="Arial Narrow" w:hAnsi="Arial Narrow" w:cs="Arial Narrow"/>
                <w:color w:val="000000"/>
                <w:sz w:val="20"/>
                <w:szCs w:val="20"/>
              </w:rPr>
            </w:pPr>
          </w:p>
        </w:tc>
        <w:tc>
          <w:tcPr>
            <w:tcW w:w="1350" w:type="dxa"/>
            <w:tcBorders>
              <w:top w:val="nil"/>
              <w:bottom w:val="nil"/>
            </w:tcBorders>
            <w:vAlign w:val="bottom"/>
          </w:tcPr>
          <w:p w14:paraId="2ADB78AB" w14:textId="77777777" w:rsidR="00DB3FC8" w:rsidRPr="00156F5C" w:rsidRDefault="00DB3FC8" w:rsidP="00DB3FC8">
            <w:pPr>
              <w:keepNext/>
              <w:autoSpaceDE w:val="0"/>
              <w:autoSpaceDN w:val="0"/>
              <w:adjustRightInd w:val="0"/>
              <w:jc w:val="center"/>
              <w:rPr>
                <w:rFonts w:ascii="Arial Narrow" w:hAnsi="Arial Narrow"/>
                <w:color w:val="000000"/>
                <w:sz w:val="20"/>
                <w:szCs w:val="20"/>
              </w:rPr>
            </w:pPr>
          </w:p>
        </w:tc>
        <w:tc>
          <w:tcPr>
            <w:tcW w:w="1350" w:type="dxa"/>
            <w:vAlign w:val="bottom"/>
          </w:tcPr>
          <w:p w14:paraId="40B0F8C9" w14:textId="149BFC83"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4AROA215.13</w:t>
            </w:r>
          </w:p>
        </w:tc>
        <w:tc>
          <w:tcPr>
            <w:tcW w:w="1170" w:type="dxa"/>
            <w:vAlign w:val="bottom"/>
          </w:tcPr>
          <w:p w14:paraId="6045077E" w14:textId="3F32D9A6"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2003-2022</w:t>
            </w:r>
          </w:p>
        </w:tc>
        <w:tc>
          <w:tcPr>
            <w:tcW w:w="990" w:type="dxa"/>
            <w:vAlign w:val="bottom"/>
          </w:tcPr>
          <w:p w14:paraId="533D49C2" w14:textId="2016CE6A" w:rsidR="00DB3FC8" w:rsidRPr="00110B34" w:rsidRDefault="00DB3FC8" w:rsidP="00DB3FC8">
            <w:pPr>
              <w:keepNext/>
              <w:autoSpaceDE w:val="0"/>
              <w:autoSpaceDN w:val="0"/>
              <w:adjustRightInd w:val="0"/>
              <w:jc w:val="center"/>
              <w:rPr>
                <w:rFonts w:ascii="Arial Narrow" w:hAnsi="Arial Narrow"/>
                <w:color w:val="000000"/>
                <w:sz w:val="20"/>
                <w:szCs w:val="20"/>
              </w:rPr>
            </w:pPr>
            <w:r w:rsidRPr="00110B34">
              <w:rPr>
                <w:rFonts w:ascii="Arial Narrow" w:hAnsi="Arial Narrow" w:cs="Calibri"/>
                <w:color w:val="000000"/>
                <w:sz w:val="20"/>
                <w:szCs w:val="20"/>
              </w:rPr>
              <w:t>13</w:t>
            </w:r>
          </w:p>
        </w:tc>
        <w:tc>
          <w:tcPr>
            <w:tcW w:w="900" w:type="dxa"/>
            <w:shd w:val="clear" w:color="auto" w:fill="auto"/>
            <w:vAlign w:val="bottom"/>
          </w:tcPr>
          <w:p w14:paraId="71438146" w14:textId="361EA155" w:rsidR="00DB3FC8" w:rsidRPr="00110B34" w:rsidRDefault="00DB3FC8" w:rsidP="00DB3FC8">
            <w:pPr>
              <w:keepNext/>
              <w:autoSpaceDE w:val="0"/>
              <w:autoSpaceDN w:val="0"/>
              <w:adjustRightInd w:val="0"/>
              <w:jc w:val="center"/>
              <w:rPr>
                <w:rFonts w:ascii="Arial Narrow" w:hAnsi="Arial Narrow"/>
                <w:color w:val="000000"/>
                <w:sz w:val="20"/>
                <w:szCs w:val="20"/>
              </w:rPr>
            </w:pPr>
            <w:r w:rsidRPr="00110B34">
              <w:rPr>
                <w:rFonts w:ascii="Arial Narrow" w:hAnsi="Arial Narrow" w:cs="Calibri"/>
                <w:color w:val="000000"/>
                <w:sz w:val="20"/>
                <w:szCs w:val="20"/>
              </w:rPr>
              <w:t>63.7</w:t>
            </w:r>
          </w:p>
        </w:tc>
        <w:tc>
          <w:tcPr>
            <w:tcW w:w="990" w:type="dxa"/>
            <w:vAlign w:val="bottom"/>
          </w:tcPr>
          <w:p w14:paraId="13A67556" w14:textId="7FEC2554" w:rsidR="00DB3FC8" w:rsidRPr="001239B1" w:rsidRDefault="00DB3FC8" w:rsidP="00DB3FC8">
            <w:pPr>
              <w:keepNext/>
              <w:autoSpaceDE w:val="0"/>
              <w:autoSpaceDN w:val="0"/>
              <w:adjustRightInd w:val="0"/>
              <w:jc w:val="center"/>
              <w:rPr>
                <w:rFonts w:ascii="Arial Narrow" w:hAnsi="Arial Narrow" w:cs="Calibri"/>
                <w:color w:val="000000"/>
                <w:sz w:val="20"/>
                <w:szCs w:val="20"/>
              </w:rPr>
            </w:pPr>
            <w:r w:rsidRPr="001239B1">
              <w:rPr>
                <w:rFonts w:ascii="Arial Narrow" w:hAnsi="Arial Narrow" w:cs="Calibri"/>
                <w:color w:val="000000"/>
                <w:sz w:val="20"/>
                <w:szCs w:val="20"/>
              </w:rPr>
              <w:t>65.3</w:t>
            </w:r>
          </w:p>
        </w:tc>
        <w:tc>
          <w:tcPr>
            <w:tcW w:w="1260" w:type="dxa"/>
            <w:shd w:val="clear" w:color="auto" w:fill="CCFFCC"/>
            <w:vAlign w:val="bottom"/>
          </w:tcPr>
          <w:p w14:paraId="45C3468D" w14:textId="0E0C946B"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Unimpaired</w:t>
            </w:r>
          </w:p>
        </w:tc>
      </w:tr>
      <w:tr w:rsidR="00DB3FC8" w:rsidRPr="00A233DE" w14:paraId="5BA7886F" w14:textId="77777777" w:rsidTr="00546B42">
        <w:trPr>
          <w:trHeight w:val="290"/>
        </w:trPr>
        <w:tc>
          <w:tcPr>
            <w:tcW w:w="1383" w:type="dxa"/>
            <w:tcBorders>
              <w:top w:val="nil"/>
              <w:bottom w:val="nil"/>
            </w:tcBorders>
            <w:vAlign w:val="bottom"/>
          </w:tcPr>
          <w:p w14:paraId="31341C7A" w14:textId="77777777" w:rsidR="00DB3FC8" w:rsidRPr="00156F5C" w:rsidRDefault="00DB3FC8" w:rsidP="00DB3FC8">
            <w:pPr>
              <w:keepNext/>
              <w:autoSpaceDE w:val="0"/>
              <w:autoSpaceDN w:val="0"/>
              <w:adjustRightInd w:val="0"/>
              <w:jc w:val="center"/>
              <w:rPr>
                <w:rFonts w:ascii="Arial Narrow" w:hAnsi="Arial Narrow" w:cs="Arial Narrow"/>
                <w:color w:val="000000"/>
                <w:sz w:val="20"/>
                <w:szCs w:val="20"/>
              </w:rPr>
            </w:pPr>
          </w:p>
        </w:tc>
        <w:tc>
          <w:tcPr>
            <w:tcW w:w="1350" w:type="dxa"/>
            <w:tcBorders>
              <w:top w:val="nil"/>
              <w:bottom w:val="nil"/>
            </w:tcBorders>
            <w:vAlign w:val="bottom"/>
          </w:tcPr>
          <w:p w14:paraId="373535F5" w14:textId="77777777" w:rsidR="00DB3FC8" w:rsidRPr="00156F5C" w:rsidRDefault="00DB3FC8" w:rsidP="00DB3FC8">
            <w:pPr>
              <w:keepNext/>
              <w:autoSpaceDE w:val="0"/>
              <w:autoSpaceDN w:val="0"/>
              <w:adjustRightInd w:val="0"/>
              <w:jc w:val="center"/>
              <w:rPr>
                <w:rFonts w:ascii="Arial Narrow" w:hAnsi="Arial Narrow"/>
                <w:color w:val="000000"/>
                <w:sz w:val="20"/>
                <w:szCs w:val="20"/>
              </w:rPr>
            </w:pPr>
          </w:p>
        </w:tc>
        <w:tc>
          <w:tcPr>
            <w:tcW w:w="1350" w:type="dxa"/>
            <w:vAlign w:val="bottom"/>
          </w:tcPr>
          <w:p w14:paraId="0F63D658" w14:textId="63D89B0B"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4AROA216.75</w:t>
            </w:r>
          </w:p>
        </w:tc>
        <w:tc>
          <w:tcPr>
            <w:tcW w:w="1170" w:type="dxa"/>
            <w:vAlign w:val="bottom"/>
          </w:tcPr>
          <w:p w14:paraId="04229563" w14:textId="07C0EE02"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2017-2022</w:t>
            </w:r>
          </w:p>
        </w:tc>
        <w:tc>
          <w:tcPr>
            <w:tcW w:w="990" w:type="dxa"/>
            <w:vAlign w:val="bottom"/>
          </w:tcPr>
          <w:p w14:paraId="3DC998E8" w14:textId="6E2063AA" w:rsidR="00DB3FC8" w:rsidRPr="00110B34" w:rsidRDefault="00DB3FC8" w:rsidP="00DB3FC8">
            <w:pPr>
              <w:keepNext/>
              <w:autoSpaceDE w:val="0"/>
              <w:autoSpaceDN w:val="0"/>
              <w:adjustRightInd w:val="0"/>
              <w:jc w:val="center"/>
              <w:rPr>
                <w:rFonts w:ascii="Arial Narrow" w:hAnsi="Arial Narrow"/>
                <w:color w:val="000000"/>
                <w:sz w:val="20"/>
                <w:szCs w:val="20"/>
              </w:rPr>
            </w:pPr>
            <w:r w:rsidRPr="00110B34">
              <w:rPr>
                <w:rFonts w:ascii="Arial Narrow" w:hAnsi="Arial Narrow" w:cs="Calibri"/>
                <w:color w:val="000000"/>
                <w:sz w:val="20"/>
                <w:szCs w:val="20"/>
              </w:rPr>
              <w:t>7</w:t>
            </w:r>
          </w:p>
        </w:tc>
        <w:tc>
          <w:tcPr>
            <w:tcW w:w="900" w:type="dxa"/>
            <w:shd w:val="clear" w:color="auto" w:fill="auto"/>
            <w:vAlign w:val="bottom"/>
          </w:tcPr>
          <w:p w14:paraId="79FBE0FB" w14:textId="762BF358" w:rsidR="00DB3FC8" w:rsidRPr="00110B34" w:rsidRDefault="00DB3FC8" w:rsidP="00DB3FC8">
            <w:pPr>
              <w:keepNext/>
              <w:autoSpaceDE w:val="0"/>
              <w:autoSpaceDN w:val="0"/>
              <w:adjustRightInd w:val="0"/>
              <w:jc w:val="center"/>
              <w:rPr>
                <w:rFonts w:ascii="Arial Narrow" w:hAnsi="Arial Narrow"/>
                <w:color w:val="000000"/>
                <w:sz w:val="20"/>
                <w:szCs w:val="20"/>
              </w:rPr>
            </w:pPr>
            <w:r w:rsidRPr="00110B34">
              <w:rPr>
                <w:rFonts w:ascii="Arial Narrow" w:hAnsi="Arial Narrow" w:cs="Calibri"/>
                <w:color w:val="000000"/>
                <w:sz w:val="20"/>
                <w:szCs w:val="20"/>
              </w:rPr>
              <w:t>67</w:t>
            </w:r>
          </w:p>
        </w:tc>
        <w:tc>
          <w:tcPr>
            <w:tcW w:w="990" w:type="dxa"/>
            <w:vAlign w:val="bottom"/>
          </w:tcPr>
          <w:p w14:paraId="5D4939D3" w14:textId="20E82163" w:rsidR="00DB3FC8" w:rsidRPr="001239B1" w:rsidRDefault="00DB3FC8" w:rsidP="00DB3FC8">
            <w:pPr>
              <w:keepNext/>
              <w:autoSpaceDE w:val="0"/>
              <w:autoSpaceDN w:val="0"/>
              <w:adjustRightInd w:val="0"/>
              <w:jc w:val="center"/>
              <w:rPr>
                <w:rFonts w:ascii="Arial Narrow" w:hAnsi="Arial Narrow" w:cs="Calibri"/>
                <w:color w:val="000000"/>
                <w:sz w:val="20"/>
                <w:szCs w:val="20"/>
              </w:rPr>
            </w:pPr>
            <w:r w:rsidRPr="001239B1">
              <w:rPr>
                <w:rFonts w:ascii="Arial Narrow" w:hAnsi="Arial Narrow" w:cs="Calibri"/>
                <w:color w:val="000000"/>
                <w:sz w:val="20"/>
                <w:szCs w:val="20"/>
              </w:rPr>
              <w:t>67</w:t>
            </w:r>
          </w:p>
        </w:tc>
        <w:tc>
          <w:tcPr>
            <w:tcW w:w="1260" w:type="dxa"/>
            <w:shd w:val="clear" w:color="auto" w:fill="CCFFCC"/>
            <w:vAlign w:val="bottom"/>
          </w:tcPr>
          <w:p w14:paraId="4EF3022E" w14:textId="73F01B03"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Unimpaired</w:t>
            </w:r>
          </w:p>
        </w:tc>
      </w:tr>
      <w:tr w:rsidR="00DB3FC8" w:rsidRPr="00A233DE" w14:paraId="23BF15C0" w14:textId="77777777" w:rsidTr="00546B42">
        <w:trPr>
          <w:trHeight w:val="290"/>
        </w:trPr>
        <w:tc>
          <w:tcPr>
            <w:tcW w:w="1383" w:type="dxa"/>
            <w:tcBorders>
              <w:top w:val="nil"/>
              <w:bottom w:val="nil"/>
            </w:tcBorders>
            <w:vAlign w:val="bottom"/>
          </w:tcPr>
          <w:p w14:paraId="0907DA3E" w14:textId="77777777" w:rsidR="00DB3FC8" w:rsidRPr="00156F5C" w:rsidRDefault="00DB3FC8" w:rsidP="00DB3FC8">
            <w:pPr>
              <w:keepNext/>
              <w:autoSpaceDE w:val="0"/>
              <w:autoSpaceDN w:val="0"/>
              <w:adjustRightInd w:val="0"/>
              <w:jc w:val="center"/>
              <w:rPr>
                <w:rFonts w:ascii="Arial Narrow" w:hAnsi="Arial Narrow" w:cs="Arial Narrow"/>
                <w:color w:val="000000"/>
                <w:sz w:val="20"/>
                <w:szCs w:val="20"/>
              </w:rPr>
            </w:pPr>
          </w:p>
        </w:tc>
        <w:tc>
          <w:tcPr>
            <w:tcW w:w="1350" w:type="dxa"/>
            <w:tcBorders>
              <w:top w:val="nil"/>
              <w:bottom w:val="nil"/>
            </w:tcBorders>
            <w:vAlign w:val="bottom"/>
          </w:tcPr>
          <w:p w14:paraId="0D4C3E50" w14:textId="77777777" w:rsidR="00DB3FC8" w:rsidRPr="00156F5C" w:rsidRDefault="00DB3FC8" w:rsidP="00DB3FC8">
            <w:pPr>
              <w:keepNext/>
              <w:autoSpaceDE w:val="0"/>
              <w:autoSpaceDN w:val="0"/>
              <w:adjustRightInd w:val="0"/>
              <w:jc w:val="center"/>
              <w:rPr>
                <w:rFonts w:ascii="Arial Narrow" w:hAnsi="Arial Narrow"/>
                <w:color w:val="000000"/>
                <w:sz w:val="20"/>
                <w:szCs w:val="20"/>
              </w:rPr>
            </w:pPr>
          </w:p>
        </w:tc>
        <w:tc>
          <w:tcPr>
            <w:tcW w:w="1350" w:type="dxa"/>
            <w:vAlign w:val="bottom"/>
          </w:tcPr>
          <w:p w14:paraId="40FF48F9" w14:textId="23133EEA"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4AROA217.38</w:t>
            </w:r>
          </w:p>
        </w:tc>
        <w:tc>
          <w:tcPr>
            <w:tcW w:w="1170" w:type="dxa"/>
            <w:vAlign w:val="bottom"/>
          </w:tcPr>
          <w:p w14:paraId="1C9F3DFE" w14:textId="34615247"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2020-2022</w:t>
            </w:r>
          </w:p>
        </w:tc>
        <w:tc>
          <w:tcPr>
            <w:tcW w:w="990" w:type="dxa"/>
            <w:vAlign w:val="bottom"/>
          </w:tcPr>
          <w:p w14:paraId="241A0255" w14:textId="6745518D" w:rsidR="00DB3FC8" w:rsidRPr="00110B34" w:rsidRDefault="00DB3FC8" w:rsidP="00DB3FC8">
            <w:pPr>
              <w:keepNext/>
              <w:autoSpaceDE w:val="0"/>
              <w:autoSpaceDN w:val="0"/>
              <w:adjustRightInd w:val="0"/>
              <w:jc w:val="center"/>
              <w:rPr>
                <w:rFonts w:ascii="Arial Narrow" w:hAnsi="Arial Narrow"/>
                <w:color w:val="000000"/>
                <w:sz w:val="20"/>
                <w:szCs w:val="20"/>
              </w:rPr>
            </w:pPr>
            <w:r w:rsidRPr="00110B34">
              <w:rPr>
                <w:rFonts w:ascii="Arial Narrow" w:hAnsi="Arial Narrow" w:cs="Calibri"/>
                <w:color w:val="000000"/>
                <w:sz w:val="20"/>
                <w:szCs w:val="20"/>
              </w:rPr>
              <w:t>5</w:t>
            </w:r>
          </w:p>
        </w:tc>
        <w:tc>
          <w:tcPr>
            <w:tcW w:w="900" w:type="dxa"/>
            <w:shd w:val="clear" w:color="auto" w:fill="auto"/>
            <w:vAlign w:val="bottom"/>
          </w:tcPr>
          <w:p w14:paraId="14D82E2E" w14:textId="5F0CDFD1" w:rsidR="00DB3FC8" w:rsidRPr="00110B34" w:rsidRDefault="00DB3FC8" w:rsidP="00DB3FC8">
            <w:pPr>
              <w:keepNext/>
              <w:autoSpaceDE w:val="0"/>
              <w:autoSpaceDN w:val="0"/>
              <w:adjustRightInd w:val="0"/>
              <w:jc w:val="center"/>
              <w:rPr>
                <w:rFonts w:ascii="Arial Narrow" w:hAnsi="Arial Narrow"/>
                <w:color w:val="000000"/>
                <w:sz w:val="20"/>
                <w:szCs w:val="20"/>
              </w:rPr>
            </w:pPr>
            <w:r w:rsidRPr="00110B34">
              <w:rPr>
                <w:rFonts w:ascii="Arial Narrow" w:hAnsi="Arial Narrow" w:cs="Calibri"/>
                <w:color w:val="000000"/>
                <w:sz w:val="20"/>
                <w:szCs w:val="20"/>
              </w:rPr>
              <w:t>73.4</w:t>
            </w:r>
          </w:p>
        </w:tc>
        <w:tc>
          <w:tcPr>
            <w:tcW w:w="990" w:type="dxa"/>
            <w:vAlign w:val="bottom"/>
          </w:tcPr>
          <w:p w14:paraId="6A30FADB" w14:textId="60780A32" w:rsidR="00DB3FC8" w:rsidRPr="001239B1" w:rsidRDefault="00DB3FC8" w:rsidP="00DB3FC8">
            <w:pPr>
              <w:keepNext/>
              <w:autoSpaceDE w:val="0"/>
              <w:autoSpaceDN w:val="0"/>
              <w:adjustRightInd w:val="0"/>
              <w:jc w:val="center"/>
              <w:rPr>
                <w:rFonts w:ascii="Arial Narrow" w:hAnsi="Arial Narrow" w:cs="Calibri"/>
                <w:color w:val="000000"/>
                <w:sz w:val="20"/>
                <w:szCs w:val="20"/>
              </w:rPr>
            </w:pPr>
            <w:r w:rsidRPr="001239B1">
              <w:rPr>
                <w:rFonts w:ascii="Arial Narrow" w:hAnsi="Arial Narrow" w:cs="Calibri"/>
                <w:color w:val="000000"/>
                <w:sz w:val="20"/>
                <w:szCs w:val="20"/>
              </w:rPr>
              <w:t>73.4</w:t>
            </w:r>
          </w:p>
        </w:tc>
        <w:tc>
          <w:tcPr>
            <w:tcW w:w="1260" w:type="dxa"/>
            <w:shd w:val="clear" w:color="auto" w:fill="CCFFCC"/>
            <w:vAlign w:val="bottom"/>
          </w:tcPr>
          <w:p w14:paraId="44705023" w14:textId="5D3C37AE"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Unimpaired</w:t>
            </w:r>
          </w:p>
        </w:tc>
      </w:tr>
      <w:tr w:rsidR="00DB3FC8" w:rsidRPr="00A233DE" w14:paraId="6626B213" w14:textId="77777777" w:rsidTr="00546B42">
        <w:trPr>
          <w:trHeight w:val="290"/>
        </w:trPr>
        <w:tc>
          <w:tcPr>
            <w:tcW w:w="1383" w:type="dxa"/>
            <w:tcBorders>
              <w:top w:val="nil"/>
              <w:bottom w:val="nil"/>
            </w:tcBorders>
            <w:vAlign w:val="bottom"/>
          </w:tcPr>
          <w:p w14:paraId="333123A8" w14:textId="77777777" w:rsidR="00DB3FC8" w:rsidRPr="00156F5C" w:rsidRDefault="00DB3FC8" w:rsidP="00DB3FC8">
            <w:pPr>
              <w:keepNext/>
              <w:autoSpaceDE w:val="0"/>
              <w:autoSpaceDN w:val="0"/>
              <w:adjustRightInd w:val="0"/>
              <w:jc w:val="center"/>
              <w:rPr>
                <w:rFonts w:ascii="Arial Narrow" w:hAnsi="Arial Narrow" w:cs="Arial Narrow"/>
                <w:color w:val="000000"/>
                <w:sz w:val="20"/>
                <w:szCs w:val="20"/>
              </w:rPr>
            </w:pPr>
          </w:p>
        </w:tc>
        <w:tc>
          <w:tcPr>
            <w:tcW w:w="1350" w:type="dxa"/>
            <w:tcBorders>
              <w:top w:val="nil"/>
              <w:bottom w:val="nil"/>
            </w:tcBorders>
            <w:vAlign w:val="bottom"/>
          </w:tcPr>
          <w:p w14:paraId="7F31B9E5" w14:textId="77777777" w:rsidR="00DB3FC8" w:rsidRPr="00156F5C" w:rsidRDefault="00DB3FC8" w:rsidP="00DB3FC8">
            <w:pPr>
              <w:keepNext/>
              <w:autoSpaceDE w:val="0"/>
              <w:autoSpaceDN w:val="0"/>
              <w:adjustRightInd w:val="0"/>
              <w:jc w:val="center"/>
              <w:rPr>
                <w:rFonts w:ascii="Arial Narrow" w:hAnsi="Arial Narrow"/>
                <w:color w:val="000000"/>
                <w:sz w:val="20"/>
                <w:szCs w:val="20"/>
              </w:rPr>
            </w:pPr>
          </w:p>
        </w:tc>
        <w:tc>
          <w:tcPr>
            <w:tcW w:w="1350" w:type="dxa"/>
            <w:vAlign w:val="bottom"/>
          </w:tcPr>
          <w:p w14:paraId="31B58C8A" w14:textId="6791804E"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4AROA218.11</w:t>
            </w:r>
          </w:p>
        </w:tc>
        <w:tc>
          <w:tcPr>
            <w:tcW w:w="1170" w:type="dxa"/>
            <w:vAlign w:val="bottom"/>
          </w:tcPr>
          <w:p w14:paraId="1CDD57D6" w14:textId="53F42812"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2020-2022</w:t>
            </w:r>
          </w:p>
        </w:tc>
        <w:tc>
          <w:tcPr>
            <w:tcW w:w="990" w:type="dxa"/>
            <w:vAlign w:val="bottom"/>
          </w:tcPr>
          <w:p w14:paraId="727F6E14" w14:textId="3344BB17" w:rsidR="00DB3FC8" w:rsidRPr="00110B34" w:rsidRDefault="00DB3FC8" w:rsidP="00DB3FC8">
            <w:pPr>
              <w:keepNext/>
              <w:autoSpaceDE w:val="0"/>
              <w:autoSpaceDN w:val="0"/>
              <w:adjustRightInd w:val="0"/>
              <w:jc w:val="center"/>
              <w:rPr>
                <w:rFonts w:ascii="Arial Narrow" w:hAnsi="Arial Narrow"/>
                <w:color w:val="000000"/>
                <w:sz w:val="20"/>
                <w:szCs w:val="20"/>
              </w:rPr>
            </w:pPr>
            <w:r w:rsidRPr="00110B34">
              <w:rPr>
                <w:rFonts w:ascii="Arial Narrow" w:hAnsi="Arial Narrow" w:cs="Calibri"/>
                <w:color w:val="000000"/>
                <w:sz w:val="20"/>
                <w:szCs w:val="20"/>
              </w:rPr>
              <w:t>5</w:t>
            </w:r>
          </w:p>
        </w:tc>
        <w:tc>
          <w:tcPr>
            <w:tcW w:w="900" w:type="dxa"/>
            <w:shd w:val="clear" w:color="auto" w:fill="auto"/>
            <w:vAlign w:val="bottom"/>
          </w:tcPr>
          <w:p w14:paraId="1DAEDE18" w14:textId="0BD7410F" w:rsidR="00DB3FC8" w:rsidRPr="00110B34" w:rsidRDefault="00DB3FC8" w:rsidP="00DB3FC8">
            <w:pPr>
              <w:keepNext/>
              <w:autoSpaceDE w:val="0"/>
              <w:autoSpaceDN w:val="0"/>
              <w:adjustRightInd w:val="0"/>
              <w:jc w:val="center"/>
              <w:rPr>
                <w:rFonts w:ascii="Arial Narrow" w:hAnsi="Arial Narrow"/>
                <w:color w:val="000000"/>
                <w:sz w:val="20"/>
                <w:szCs w:val="20"/>
              </w:rPr>
            </w:pPr>
            <w:r w:rsidRPr="00110B34">
              <w:rPr>
                <w:rFonts w:ascii="Arial Narrow" w:hAnsi="Arial Narrow" w:cs="Calibri"/>
                <w:color w:val="000000"/>
                <w:sz w:val="20"/>
                <w:szCs w:val="20"/>
              </w:rPr>
              <w:t>69.7</w:t>
            </w:r>
          </w:p>
        </w:tc>
        <w:tc>
          <w:tcPr>
            <w:tcW w:w="990" w:type="dxa"/>
            <w:vAlign w:val="bottom"/>
          </w:tcPr>
          <w:p w14:paraId="53492AA3" w14:textId="4B731AE7" w:rsidR="00DB3FC8" w:rsidRPr="001239B1" w:rsidRDefault="00DB3FC8" w:rsidP="00DB3FC8">
            <w:pPr>
              <w:keepNext/>
              <w:autoSpaceDE w:val="0"/>
              <w:autoSpaceDN w:val="0"/>
              <w:adjustRightInd w:val="0"/>
              <w:jc w:val="center"/>
              <w:rPr>
                <w:rFonts w:ascii="Arial Narrow" w:hAnsi="Arial Narrow" w:cs="Calibri"/>
                <w:color w:val="000000"/>
                <w:sz w:val="20"/>
                <w:szCs w:val="20"/>
              </w:rPr>
            </w:pPr>
            <w:r w:rsidRPr="001239B1">
              <w:rPr>
                <w:rFonts w:ascii="Arial Narrow" w:hAnsi="Arial Narrow" w:cs="Calibri"/>
                <w:color w:val="000000"/>
                <w:sz w:val="20"/>
                <w:szCs w:val="20"/>
              </w:rPr>
              <w:t>69.7</w:t>
            </w:r>
          </w:p>
        </w:tc>
        <w:tc>
          <w:tcPr>
            <w:tcW w:w="1260" w:type="dxa"/>
            <w:shd w:val="clear" w:color="auto" w:fill="CCFFCC"/>
            <w:vAlign w:val="bottom"/>
          </w:tcPr>
          <w:p w14:paraId="588AF6B0" w14:textId="74148BEE"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Unimpaired</w:t>
            </w:r>
          </w:p>
        </w:tc>
      </w:tr>
      <w:tr w:rsidR="00DB3FC8" w:rsidRPr="00A233DE" w14:paraId="0FF2F78A" w14:textId="77777777" w:rsidTr="00546B42">
        <w:trPr>
          <w:trHeight w:val="290"/>
        </w:trPr>
        <w:tc>
          <w:tcPr>
            <w:tcW w:w="1383" w:type="dxa"/>
            <w:tcBorders>
              <w:top w:val="nil"/>
              <w:bottom w:val="nil"/>
            </w:tcBorders>
            <w:vAlign w:val="bottom"/>
          </w:tcPr>
          <w:p w14:paraId="0786D406" w14:textId="77777777" w:rsidR="00DB3FC8" w:rsidRPr="00156F5C" w:rsidRDefault="00DB3FC8" w:rsidP="00DB3FC8">
            <w:pPr>
              <w:keepNext/>
              <w:autoSpaceDE w:val="0"/>
              <w:autoSpaceDN w:val="0"/>
              <w:adjustRightInd w:val="0"/>
              <w:jc w:val="center"/>
              <w:rPr>
                <w:rFonts w:ascii="Arial Narrow" w:hAnsi="Arial Narrow" w:cs="Arial Narrow"/>
                <w:color w:val="000000"/>
                <w:sz w:val="20"/>
                <w:szCs w:val="20"/>
              </w:rPr>
            </w:pPr>
          </w:p>
        </w:tc>
        <w:tc>
          <w:tcPr>
            <w:tcW w:w="1350" w:type="dxa"/>
            <w:tcBorders>
              <w:top w:val="nil"/>
              <w:bottom w:val="nil"/>
            </w:tcBorders>
            <w:vAlign w:val="bottom"/>
          </w:tcPr>
          <w:p w14:paraId="5A80A273" w14:textId="77777777" w:rsidR="00DB3FC8" w:rsidRPr="00156F5C" w:rsidRDefault="00DB3FC8" w:rsidP="00DB3FC8">
            <w:pPr>
              <w:keepNext/>
              <w:autoSpaceDE w:val="0"/>
              <w:autoSpaceDN w:val="0"/>
              <w:adjustRightInd w:val="0"/>
              <w:jc w:val="center"/>
              <w:rPr>
                <w:rFonts w:ascii="Arial Narrow" w:hAnsi="Arial Narrow"/>
                <w:color w:val="000000"/>
                <w:sz w:val="20"/>
                <w:szCs w:val="20"/>
              </w:rPr>
            </w:pPr>
          </w:p>
        </w:tc>
        <w:tc>
          <w:tcPr>
            <w:tcW w:w="1350" w:type="dxa"/>
            <w:vAlign w:val="bottom"/>
          </w:tcPr>
          <w:p w14:paraId="13E4FF6E" w14:textId="437864AA"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4AROA219.08</w:t>
            </w:r>
          </w:p>
        </w:tc>
        <w:tc>
          <w:tcPr>
            <w:tcW w:w="1170" w:type="dxa"/>
            <w:vAlign w:val="bottom"/>
          </w:tcPr>
          <w:p w14:paraId="5327D6C8" w14:textId="7CBAB455"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2020-2022</w:t>
            </w:r>
          </w:p>
        </w:tc>
        <w:tc>
          <w:tcPr>
            <w:tcW w:w="990" w:type="dxa"/>
            <w:vAlign w:val="bottom"/>
          </w:tcPr>
          <w:p w14:paraId="3A679CDC" w14:textId="5B7C6ACE" w:rsidR="00DB3FC8" w:rsidRPr="00110B34" w:rsidRDefault="00DB3FC8" w:rsidP="00DB3FC8">
            <w:pPr>
              <w:keepNext/>
              <w:autoSpaceDE w:val="0"/>
              <w:autoSpaceDN w:val="0"/>
              <w:adjustRightInd w:val="0"/>
              <w:jc w:val="center"/>
              <w:rPr>
                <w:rFonts w:ascii="Arial Narrow" w:hAnsi="Arial Narrow"/>
                <w:color w:val="000000"/>
                <w:sz w:val="20"/>
                <w:szCs w:val="20"/>
              </w:rPr>
            </w:pPr>
            <w:r w:rsidRPr="00110B34">
              <w:rPr>
                <w:rFonts w:ascii="Arial Narrow" w:hAnsi="Arial Narrow" w:cs="Calibri"/>
                <w:color w:val="000000"/>
                <w:sz w:val="20"/>
                <w:szCs w:val="20"/>
              </w:rPr>
              <w:t>5</w:t>
            </w:r>
          </w:p>
        </w:tc>
        <w:tc>
          <w:tcPr>
            <w:tcW w:w="900" w:type="dxa"/>
            <w:shd w:val="clear" w:color="auto" w:fill="auto"/>
            <w:vAlign w:val="bottom"/>
          </w:tcPr>
          <w:p w14:paraId="33F97479" w14:textId="5E6C5E8D" w:rsidR="00DB3FC8" w:rsidRPr="00110B34" w:rsidRDefault="00DB3FC8" w:rsidP="00DB3FC8">
            <w:pPr>
              <w:keepNext/>
              <w:autoSpaceDE w:val="0"/>
              <w:autoSpaceDN w:val="0"/>
              <w:adjustRightInd w:val="0"/>
              <w:jc w:val="center"/>
              <w:rPr>
                <w:rFonts w:ascii="Arial Narrow" w:hAnsi="Arial Narrow"/>
                <w:color w:val="000000"/>
                <w:sz w:val="20"/>
                <w:szCs w:val="20"/>
              </w:rPr>
            </w:pPr>
            <w:r w:rsidRPr="00110B34">
              <w:rPr>
                <w:rFonts w:ascii="Arial Narrow" w:hAnsi="Arial Narrow" w:cs="Calibri"/>
                <w:color w:val="000000"/>
                <w:sz w:val="20"/>
                <w:szCs w:val="20"/>
              </w:rPr>
              <w:t>67.6</w:t>
            </w:r>
          </w:p>
        </w:tc>
        <w:tc>
          <w:tcPr>
            <w:tcW w:w="990" w:type="dxa"/>
            <w:vAlign w:val="bottom"/>
          </w:tcPr>
          <w:p w14:paraId="3F7225EE" w14:textId="27106D37" w:rsidR="00DB3FC8" w:rsidRPr="001239B1" w:rsidRDefault="00DB3FC8" w:rsidP="00DB3FC8">
            <w:pPr>
              <w:keepNext/>
              <w:autoSpaceDE w:val="0"/>
              <w:autoSpaceDN w:val="0"/>
              <w:adjustRightInd w:val="0"/>
              <w:jc w:val="center"/>
              <w:rPr>
                <w:rFonts w:ascii="Arial Narrow" w:hAnsi="Arial Narrow" w:cs="Calibri"/>
                <w:color w:val="000000"/>
                <w:sz w:val="20"/>
                <w:szCs w:val="20"/>
              </w:rPr>
            </w:pPr>
            <w:r w:rsidRPr="001239B1">
              <w:rPr>
                <w:rFonts w:ascii="Arial Narrow" w:hAnsi="Arial Narrow" w:cs="Calibri"/>
                <w:color w:val="000000"/>
                <w:sz w:val="20"/>
                <w:szCs w:val="20"/>
              </w:rPr>
              <w:t>67.6</w:t>
            </w:r>
          </w:p>
        </w:tc>
        <w:tc>
          <w:tcPr>
            <w:tcW w:w="1260" w:type="dxa"/>
            <w:shd w:val="clear" w:color="auto" w:fill="CCFFCC"/>
            <w:vAlign w:val="bottom"/>
          </w:tcPr>
          <w:p w14:paraId="03F6038D" w14:textId="38F58EC0"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Unimpaired</w:t>
            </w:r>
          </w:p>
        </w:tc>
      </w:tr>
      <w:tr w:rsidR="00DB3FC8" w:rsidRPr="00A233DE" w14:paraId="6D196571" w14:textId="77777777" w:rsidTr="00546B42">
        <w:trPr>
          <w:trHeight w:val="290"/>
        </w:trPr>
        <w:tc>
          <w:tcPr>
            <w:tcW w:w="1383" w:type="dxa"/>
            <w:tcBorders>
              <w:top w:val="nil"/>
              <w:bottom w:val="nil"/>
            </w:tcBorders>
            <w:vAlign w:val="bottom"/>
          </w:tcPr>
          <w:p w14:paraId="5CA71EF6" w14:textId="77777777" w:rsidR="00DB3FC8" w:rsidRPr="00156F5C" w:rsidRDefault="00DB3FC8" w:rsidP="00DB3FC8">
            <w:pPr>
              <w:keepNext/>
              <w:autoSpaceDE w:val="0"/>
              <w:autoSpaceDN w:val="0"/>
              <w:adjustRightInd w:val="0"/>
              <w:jc w:val="center"/>
              <w:rPr>
                <w:rFonts w:ascii="Arial Narrow" w:hAnsi="Arial Narrow" w:cs="Arial Narrow"/>
                <w:color w:val="000000"/>
                <w:sz w:val="20"/>
                <w:szCs w:val="20"/>
              </w:rPr>
            </w:pPr>
          </w:p>
        </w:tc>
        <w:tc>
          <w:tcPr>
            <w:tcW w:w="1350" w:type="dxa"/>
            <w:tcBorders>
              <w:top w:val="nil"/>
              <w:bottom w:val="nil"/>
            </w:tcBorders>
            <w:vAlign w:val="bottom"/>
          </w:tcPr>
          <w:p w14:paraId="125BA680" w14:textId="77777777" w:rsidR="00DB3FC8" w:rsidRPr="00156F5C" w:rsidRDefault="00DB3FC8" w:rsidP="00DB3FC8">
            <w:pPr>
              <w:keepNext/>
              <w:autoSpaceDE w:val="0"/>
              <w:autoSpaceDN w:val="0"/>
              <w:adjustRightInd w:val="0"/>
              <w:jc w:val="center"/>
              <w:rPr>
                <w:rFonts w:ascii="Arial Narrow" w:hAnsi="Arial Narrow"/>
                <w:color w:val="000000"/>
                <w:sz w:val="20"/>
                <w:szCs w:val="20"/>
              </w:rPr>
            </w:pPr>
          </w:p>
        </w:tc>
        <w:tc>
          <w:tcPr>
            <w:tcW w:w="1350" w:type="dxa"/>
            <w:vAlign w:val="bottom"/>
          </w:tcPr>
          <w:p w14:paraId="610F3BE3" w14:textId="0C94B657"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4AROA221.95</w:t>
            </w:r>
          </w:p>
        </w:tc>
        <w:tc>
          <w:tcPr>
            <w:tcW w:w="1170" w:type="dxa"/>
            <w:vAlign w:val="bottom"/>
          </w:tcPr>
          <w:p w14:paraId="207966EE" w14:textId="4023E7BF"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2002-2006</w:t>
            </w:r>
          </w:p>
        </w:tc>
        <w:tc>
          <w:tcPr>
            <w:tcW w:w="990" w:type="dxa"/>
            <w:vAlign w:val="bottom"/>
          </w:tcPr>
          <w:p w14:paraId="6C6E8EC7" w14:textId="3F40AE61" w:rsidR="00DB3FC8" w:rsidRPr="00110B34" w:rsidRDefault="00DB3FC8" w:rsidP="00DB3FC8">
            <w:pPr>
              <w:keepNext/>
              <w:autoSpaceDE w:val="0"/>
              <w:autoSpaceDN w:val="0"/>
              <w:adjustRightInd w:val="0"/>
              <w:jc w:val="center"/>
              <w:rPr>
                <w:rFonts w:ascii="Arial Narrow" w:hAnsi="Arial Narrow"/>
                <w:color w:val="000000"/>
                <w:sz w:val="20"/>
                <w:szCs w:val="20"/>
              </w:rPr>
            </w:pPr>
            <w:r w:rsidRPr="00110B34">
              <w:rPr>
                <w:rFonts w:ascii="Arial Narrow" w:hAnsi="Arial Narrow" w:cs="Calibri"/>
                <w:color w:val="000000"/>
                <w:sz w:val="20"/>
                <w:szCs w:val="20"/>
              </w:rPr>
              <w:t>4</w:t>
            </w:r>
          </w:p>
        </w:tc>
        <w:tc>
          <w:tcPr>
            <w:tcW w:w="900" w:type="dxa"/>
            <w:shd w:val="clear" w:color="auto" w:fill="auto"/>
            <w:vAlign w:val="bottom"/>
          </w:tcPr>
          <w:p w14:paraId="68684BB8" w14:textId="4B07F33F" w:rsidR="00DB3FC8" w:rsidRPr="00110B34" w:rsidRDefault="00DB3FC8" w:rsidP="00DB3FC8">
            <w:pPr>
              <w:keepNext/>
              <w:autoSpaceDE w:val="0"/>
              <w:autoSpaceDN w:val="0"/>
              <w:adjustRightInd w:val="0"/>
              <w:jc w:val="center"/>
              <w:rPr>
                <w:rFonts w:ascii="Arial Narrow" w:hAnsi="Arial Narrow"/>
                <w:color w:val="000000"/>
                <w:sz w:val="20"/>
                <w:szCs w:val="20"/>
              </w:rPr>
            </w:pPr>
            <w:r w:rsidRPr="00110B34">
              <w:rPr>
                <w:rFonts w:ascii="Arial Narrow" w:hAnsi="Arial Narrow" w:cs="Calibri"/>
                <w:color w:val="000000"/>
                <w:sz w:val="20"/>
                <w:szCs w:val="20"/>
              </w:rPr>
              <w:t>70.6</w:t>
            </w:r>
          </w:p>
        </w:tc>
        <w:tc>
          <w:tcPr>
            <w:tcW w:w="990" w:type="dxa"/>
            <w:vAlign w:val="bottom"/>
          </w:tcPr>
          <w:p w14:paraId="5F3DA848" w14:textId="31620830" w:rsidR="00DB3FC8" w:rsidRPr="001239B1" w:rsidRDefault="00DB3FC8" w:rsidP="00DB3FC8">
            <w:pPr>
              <w:keepNext/>
              <w:autoSpaceDE w:val="0"/>
              <w:autoSpaceDN w:val="0"/>
              <w:adjustRightInd w:val="0"/>
              <w:jc w:val="center"/>
              <w:rPr>
                <w:rFonts w:ascii="Arial Narrow" w:hAnsi="Arial Narrow" w:cs="Calibri"/>
                <w:color w:val="000000"/>
                <w:sz w:val="20"/>
                <w:szCs w:val="20"/>
              </w:rPr>
            </w:pPr>
            <w:r w:rsidRPr="001239B1">
              <w:rPr>
                <w:rFonts w:ascii="Arial Narrow" w:hAnsi="Arial Narrow" w:cs="Calibri"/>
                <w:color w:val="000000"/>
                <w:sz w:val="20"/>
                <w:szCs w:val="20"/>
              </w:rPr>
              <w:t>-</w:t>
            </w:r>
          </w:p>
        </w:tc>
        <w:tc>
          <w:tcPr>
            <w:tcW w:w="1260" w:type="dxa"/>
            <w:shd w:val="clear" w:color="auto" w:fill="CCFFCC"/>
            <w:vAlign w:val="bottom"/>
          </w:tcPr>
          <w:p w14:paraId="042DD38C" w14:textId="1925EE8F"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Unimpaired</w:t>
            </w:r>
          </w:p>
        </w:tc>
      </w:tr>
      <w:tr w:rsidR="00DB3FC8" w:rsidRPr="00A233DE" w14:paraId="37CA0E13" w14:textId="77777777" w:rsidTr="00546B42">
        <w:trPr>
          <w:trHeight w:val="290"/>
        </w:trPr>
        <w:tc>
          <w:tcPr>
            <w:tcW w:w="1383" w:type="dxa"/>
            <w:tcBorders>
              <w:top w:val="nil"/>
              <w:bottom w:val="nil"/>
            </w:tcBorders>
            <w:vAlign w:val="bottom"/>
          </w:tcPr>
          <w:p w14:paraId="63DC047A" w14:textId="77777777" w:rsidR="00DB3FC8" w:rsidRPr="00156F5C" w:rsidRDefault="00DB3FC8" w:rsidP="00DB3FC8">
            <w:pPr>
              <w:keepNext/>
              <w:autoSpaceDE w:val="0"/>
              <w:autoSpaceDN w:val="0"/>
              <w:adjustRightInd w:val="0"/>
              <w:jc w:val="center"/>
              <w:rPr>
                <w:rFonts w:ascii="Arial Narrow" w:hAnsi="Arial Narrow" w:cs="Arial Narrow"/>
                <w:color w:val="000000"/>
                <w:sz w:val="20"/>
                <w:szCs w:val="20"/>
              </w:rPr>
            </w:pPr>
          </w:p>
        </w:tc>
        <w:tc>
          <w:tcPr>
            <w:tcW w:w="1350" w:type="dxa"/>
            <w:tcBorders>
              <w:top w:val="nil"/>
              <w:bottom w:val="nil"/>
            </w:tcBorders>
            <w:vAlign w:val="bottom"/>
          </w:tcPr>
          <w:p w14:paraId="0AA4B316" w14:textId="77777777" w:rsidR="00DB3FC8" w:rsidRPr="00156F5C" w:rsidRDefault="00DB3FC8" w:rsidP="00DB3FC8">
            <w:pPr>
              <w:keepNext/>
              <w:autoSpaceDE w:val="0"/>
              <w:autoSpaceDN w:val="0"/>
              <w:adjustRightInd w:val="0"/>
              <w:jc w:val="center"/>
              <w:rPr>
                <w:rFonts w:ascii="Arial Narrow" w:hAnsi="Arial Narrow"/>
                <w:color w:val="000000"/>
                <w:sz w:val="20"/>
                <w:szCs w:val="20"/>
              </w:rPr>
            </w:pPr>
          </w:p>
        </w:tc>
        <w:tc>
          <w:tcPr>
            <w:tcW w:w="1350" w:type="dxa"/>
            <w:vAlign w:val="bottom"/>
          </w:tcPr>
          <w:p w14:paraId="6B7702A5" w14:textId="300DCB34"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4AROA224.54</w:t>
            </w:r>
          </w:p>
        </w:tc>
        <w:tc>
          <w:tcPr>
            <w:tcW w:w="1170" w:type="dxa"/>
            <w:vAlign w:val="bottom"/>
          </w:tcPr>
          <w:p w14:paraId="4FAD61DC" w14:textId="1C395EA3"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2000-2022</w:t>
            </w:r>
          </w:p>
        </w:tc>
        <w:tc>
          <w:tcPr>
            <w:tcW w:w="990" w:type="dxa"/>
            <w:vAlign w:val="bottom"/>
          </w:tcPr>
          <w:p w14:paraId="499020BE" w14:textId="3ED13E83" w:rsidR="00DB3FC8" w:rsidRPr="00110B34" w:rsidRDefault="00DB3FC8" w:rsidP="00DB3FC8">
            <w:pPr>
              <w:keepNext/>
              <w:autoSpaceDE w:val="0"/>
              <w:autoSpaceDN w:val="0"/>
              <w:adjustRightInd w:val="0"/>
              <w:jc w:val="center"/>
              <w:rPr>
                <w:rFonts w:ascii="Arial Narrow" w:hAnsi="Arial Narrow"/>
                <w:color w:val="000000"/>
                <w:sz w:val="20"/>
                <w:szCs w:val="20"/>
              </w:rPr>
            </w:pPr>
            <w:r w:rsidRPr="00110B34">
              <w:rPr>
                <w:rFonts w:ascii="Arial Narrow" w:hAnsi="Arial Narrow" w:cs="Calibri"/>
                <w:color w:val="000000"/>
                <w:sz w:val="20"/>
                <w:szCs w:val="20"/>
              </w:rPr>
              <w:t>16</w:t>
            </w:r>
          </w:p>
        </w:tc>
        <w:tc>
          <w:tcPr>
            <w:tcW w:w="900" w:type="dxa"/>
            <w:shd w:val="clear" w:color="auto" w:fill="auto"/>
            <w:vAlign w:val="bottom"/>
          </w:tcPr>
          <w:p w14:paraId="39450179" w14:textId="5815C4E5" w:rsidR="00DB3FC8" w:rsidRPr="00110B34" w:rsidRDefault="00DB3FC8" w:rsidP="00DB3FC8">
            <w:pPr>
              <w:keepNext/>
              <w:autoSpaceDE w:val="0"/>
              <w:autoSpaceDN w:val="0"/>
              <w:adjustRightInd w:val="0"/>
              <w:jc w:val="center"/>
              <w:rPr>
                <w:rFonts w:ascii="Arial Narrow" w:hAnsi="Arial Narrow"/>
                <w:color w:val="000000"/>
                <w:sz w:val="20"/>
                <w:szCs w:val="20"/>
              </w:rPr>
            </w:pPr>
            <w:r w:rsidRPr="00110B34">
              <w:rPr>
                <w:rFonts w:ascii="Arial Narrow" w:hAnsi="Arial Narrow" w:cs="Calibri"/>
                <w:color w:val="000000"/>
                <w:sz w:val="20"/>
                <w:szCs w:val="20"/>
              </w:rPr>
              <w:t>63.9</w:t>
            </w:r>
          </w:p>
        </w:tc>
        <w:tc>
          <w:tcPr>
            <w:tcW w:w="990" w:type="dxa"/>
            <w:vAlign w:val="bottom"/>
          </w:tcPr>
          <w:p w14:paraId="1D31FBDC" w14:textId="07C24967" w:rsidR="00DB3FC8" w:rsidRPr="001239B1" w:rsidRDefault="00DB3FC8" w:rsidP="00DB3FC8">
            <w:pPr>
              <w:keepNext/>
              <w:autoSpaceDE w:val="0"/>
              <w:autoSpaceDN w:val="0"/>
              <w:adjustRightInd w:val="0"/>
              <w:jc w:val="center"/>
              <w:rPr>
                <w:rFonts w:ascii="Arial Narrow" w:hAnsi="Arial Narrow" w:cs="Calibri"/>
                <w:color w:val="000000"/>
                <w:sz w:val="20"/>
                <w:szCs w:val="20"/>
              </w:rPr>
            </w:pPr>
            <w:r w:rsidRPr="001239B1">
              <w:rPr>
                <w:rFonts w:ascii="Arial Narrow" w:hAnsi="Arial Narrow" w:cs="Calibri"/>
                <w:color w:val="000000"/>
                <w:sz w:val="20"/>
                <w:szCs w:val="20"/>
              </w:rPr>
              <w:t>63.5</w:t>
            </w:r>
          </w:p>
        </w:tc>
        <w:tc>
          <w:tcPr>
            <w:tcW w:w="1260" w:type="dxa"/>
            <w:shd w:val="clear" w:color="auto" w:fill="CCFFCC"/>
            <w:vAlign w:val="bottom"/>
          </w:tcPr>
          <w:p w14:paraId="275660BE" w14:textId="5B6DC52B"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Unimpaired</w:t>
            </w:r>
          </w:p>
        </w:tc>
      </w:tr>
      <w:tr w:rsidR="00DB3FC8" w:rsidRPr="00A233DE" w14:paraId="2D4E8C00" w14:textId="77777777" w:rsidTr="00546B42">
        <w:trPr>
          <w:trHeight w:val="290"/>
        </w:trPr>
        <w:tc>
          <w:tcPr>
            <w:tcW w:w="1383" w:type="dxa"/>
            <w:tcBorders>
              <w:top w:val="nil"/>
              <w:bottom w:val="nil"/>
            </w:tcBorders>
            <w:vAlign w:val="bottom"/>
          </w:tcPr>
          <w:p w14:paraId="56C77AAD" w14:textId="77777777" w:rsidR="00DB3FC8" w:rsidRPr="00156F5C" w:rsidRDefault="00DB3FC8" w:rsidP="00DB3FC8">
            <w:pPr>
              <w:keepNext/>
              <w:autoSpaceDE w:val="0"/>
              <w:autoSpaceDN w:val="0"/>
              <w:adjustRightInd w:val="0"/>
              <w:jc w:val="center"/>
              <w:rPr>
                <w:rFonts w:ascii="Arial Narrow" w:hAnsi="Arial Narrow" w:cs="Arial Narrow"/>
                <w:color w:val="000000"/>
                <w:sz w:val="20"/>
                <w:szCs w:val="20"/>
              </w:rPr>
            </w:pPr>
          </w:p>
        </w:tc>
        <w:tc>
          <w:tcPr>
            <w:tcW w:w="1350" w:type="dxa"/>
            <w:tcBorders>
              <w:top w:val="nil"/>
              <w:bottom w:val="nil"/>
            </w:tcBorders>
            <w:vAlign w:val="bottom"/>
          </w:tcPr>
          <w:p w14:paraId="3DBA3529" w14:textId="77777777" w:rsidR="00DB3FC8" w:rsidRPr="00156F5C" w:rsidRDefault="00DB3FC8" w:rsidP="00DB3FC8">
            <w:pPr>
              <w:keepNext/>
              <w:autoSpaceDE w:val="0"/>
              <w:autoSpaceDN w:val="0"/>
              <w:adjustRightInd w:val="0"/>
              <w:jc w:val="center"/>
              <w:rPr>
                <w:rFonts w:ascii="Arial Narrow" w:hAnsi="Arial Narrow"/>
                <w:color w:val="000000"/>
                <w:sz w:val="20"/>
                <w:szCs w:val="20"/>
              </w:rPr>
            </w:pPr>
          </w:p>
        </w:tc>
        <w:tc>
          <w:tcPr>
            <w:tcW w:w="1350" w:type="dxa"/>
            <w:vAlign w:val="bottom"/>
          </w:tcPr>
          <w:p w14:paraId="2B963878" w14:textId="5C75C246"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4AROA226.64</w:t>
            </w:r>
          </w:p>
        </w:tc>
        <w:tc>
          <w:tcPr>
            <w:tcW w:w="1170" w:type="dxa"/>
            <w:vAlign w:val="bottom"/>
          </w:tcPr>
          <w:p w14:paraId="3D010D84" w14:textId="2CAAD77D"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2017-2018</w:t>
            </w:r>
          </w:p>
        </w:tc>
        <w:tc>
          <w:tcPr>
            <w:tcW w:w="990" w:type="dxa"/>
            <w:vAlign w:val="bottom"/>
          </w:tcPr>
          <w:p w14:paraId="6C704416" w14:textId="53C65277" w:rsidR="00DB3FC8" w:rsidRPr="00110B34" w:rsidRDefault="00DB3FC8" w:rsidP="00DB3FC8">
            <w:pPr>
              <w:keepNext/>
              <w:autoSpaceDE w:val="0"/>
              <w:autoSpaceDN w:val="0"/>
              <w:adjustRightInd w:val="0"/>
              <w:jc w:val="center"/>
              <w:rPr>
                <w:rFonts w:ascii="Arial Narrow" w:hAnsi="Arial Narrow"/>
                <w:color w:val="000000"/>
                <w:sz w:val="20"/>
                <w:szCs w:val="20"/>
              </w:rPr>
            </w:pPr>
            <w:r w:rsidRPr="00110B34">
              <w:rPr>
                <w:rFonts w:ascii="Arial Narrow" w:hAnsi="Arial Narrow" w:cs="Calibri"/>
                <w:color w:val="000000"/>
                <w:sz w:val="20"/>
                <w:szCs w:val="20"/>
              </w:rPr>
              <w:t>2</w:t>
            </w:r>
          </w:p>
        </w:tc>
        <w:tc>
          <w:tcPr>
            <w:tcW w:w="900" w:type="dxa"/>
            <w:shd w:val="clear" w:color="auto" w:fill="auto"/>
            <w:vAlign w:val="bottom"/>
          </w:tcPr>
          <w:p w14:paraId="29F0F69B" w14:textId="71FBCBF9" w:rsidR="00DB3FC8" w:rsidRPr="00110B34" w:rsidRDefault="00DB3FC8" w:rsidP="00DB3FC8">
            <w:pPr>
              <w:keepNext/>
              <w:autoSpaceDE w:val="0"/>
              <w:autoSpaceDN w:val="0"/>
              <w:adjustRightInd w:val="0"/>
              <w:jc w:val="center"/>
              <w:rPr>
                <w:rFonts w:ascii="Arial Narrow" w:hAnsi="Arial Narrow"/>
                <w:color w:val="000000"/>
                <w:sz w:val="20"/>
                <w:szCs w:val="20"/>
              </w:rPr>
            </w:pPr>
            <w:r w:rsidRPr="00110B34">
              <w:rPr>
                <w:rFonts w:ascii="Arial Narrow" w:hAnsi="Arial Narrow" w:cs="Calibri"/>
                <w:color w:val="000000"/>
                <w:sz w:val="20"/>
                <w:szCs w:val="20"/>
              </w:rPr>
              <w:t>74</w:t>
            </w:r>
          </w:p>
        </w:tc>
        <w:tc>
          <w:tcPr>
            <w:tcW w:w="990" w:type="dxa"/>
            <w:vAlign w:val="bottom"/>
          </w:tcPr>
          <w:p w14:paraId="590713B5" w14:textId="1E571FB6" w:rsidR="00DB3FC8" w:rsidRPr="001239B1" w:rsidRDefault="00DB3FC8" w:rsidP="00DB3FC8">
            <w:pPr>
              <w:keepNext/>
              <w:autoSpaceDE w:val="0"/>
              <w:autoSpaceDN w:val="0"/>
              <w:adjustRightInd w:val="0"/>
              <w:jc w:val="center"/>
              <w:rPr>
                <w:rFonts w:ascii="Arial Narrow" w:hAnsi="Arial Narrow" w:cs="Calibri"/>
                <w:color w:val="000000"/>
                <w:sz w:val="20"/>
                <w:szCs w:val="20"/>
              </w:rPr>
            </w:pPr>
            <w:r w:rsidRPr="001239B1">
              <w:rPr>
                <w:rFonts w:ascii="Arial Narrow" w:hAnsi="Arial Narrow" w:cs="Calibri"/>
                <w:color w:val="000000"/>
                <w:sz w:val="20"/>
                <w:szCs w:val="20"/>
              </w:rPr>
              <w:t>74</w:t>
            </w:r>
          </w:p>
        </w:tc>
        <w:tc>
          <w:tcPr>
            <w:tcW w:w="1260" w:type="dxa"/>
            <w:shd w:val="clear" w:color="auto" w:fill="CCFFCC"/>
            <w:vAlign w:val="bottom"/>
          </w:tcPr>
          <w:p w14:paraId="1C316078" w14:textId="2197D65B"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Unimpaired</w:t>
            </w:r>
          </w:p>
        </w:tc>
      </w:tr>
      <w:tr w:rsidR="00DB3FC8" w:rsidRPr="00A233DE" w14:paraId="4081DBC8" w14:textId="77777777" w:rsidTr="00546B42">
        <w:trPr>
          <w:trHeight w:val="290"/>
        </w:trPr>
        <w:tc>
          <w:tcPr>
            <w:tcW w:w="1383" w:type="dxa"/>
            <w:tcBorders>
              <w:top w:val="nil"/>
              <w:bottom w:val="nil"/>
            </w:tcBorders>
            <w:vAlign w:val="bottom"/>
          </w:tcPr>
          <w:p w14:paraId="398B2109" w14:textId="77777777" w:rsidR="00DB3FC8" w:rsidRPr="00156F5C" w:rsidRDefault="00DB3FC8" w:rsidP="00DB3FC8">
            <w:pPr>
              <w:keepNext/>
              <w:autoSpaceDE w:val="0"/>
              <w:autoSpaceDN w:val="0"/>
              <w:adjustRightInd w:val="0"/>
              <w:jc w:val="center"/>
              <w:rPr>
                <w:rFonts w:ascii="Arial Narrow" w:hAnsi="Arial Narrow" w:cs="Arial Narrow"/>
                <w:color w:val="000000"/>
                <w:sz w:val="20"/>
                <w:szCs w:val="20"/>
              </w:rPr>
            </w:pPr>
          </w:p>
        </w:tc>
        <w:tc>
          <w:tcPr>
            <w:tcW w:w="1350" w:type="dxa"/>
            <w:tcBorders>
              <w:top w:val="nil"/>
            </w:tcBorders>
            <w:vAlign w:val="bottom"/>
          </w:tcPr>
          <w:p w14:paraId="297F20FA" w14:textId="77777777" w:rsidR="00DB3FC8" w:rsidRPr="00156F5C" w:rsidRDefault="00DB3FC8" w:rsidP="00DB3FC8">
            <w:pPr>
              <w:keepNext/>
              <w:autoSpaceDE w:val="0"/>
              <w:autoSpaceDN w:val="0"/>
              <w:adjustRightInd w:val="0"/>
              <w:jc w:val="center"/>
              <w:rPr>
                <w:rFonts w:ascii="Arial Narrow" w:hAnsi="Arial Narrow"/>
                <w:color w:val="000000"/>
                <w:sz w:val="20"/>
                <w:szCs w:val="20"/>
              </w:rPr>
            </w:pPr>
          </w:p>
        </w:tc>
        <w:tc>
          <w:tcPr>
            <w:tcW w:w="1350" w:type="dxa"/>
            <w:vAlign w:val="bottom"/>
          </w:tcPr>
          <w:p w14:paraId="0D20CDF9" w14:textId="3B41BEA8"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4AROA226.86</w:t>
            </w:r>
          </w:p>
        </w:tc>
        <w:tc>
          <w:tcPr>
            <w:tcW w:w="1170" w:type="dxa"/>
            <w:vAlign w:val="bottom"/>
          </w:tcPr>
          <w:p w14:paraId="3E8A70F2" w14:textId="643C0F44"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2017-2018</w:t>
            </w:r>
          </w:p>
        </w:tc>
        <w:tc>
          <w:tcPr>
            <w:tcW w:w="990" w:type="dxa"/>
            <w:vAlign w:val="bottom"/>
          </w:tcPr>
          <w:p w14:paraId="601BC330" w14:textId="62E27409" w:rsidR="00DB3FC8" w:rsidRPr="00110B34" w:rsidRDefault="00DB3FC8" w:rsidP="00DB3FC8">
            <w:pPr>
              <w:keepNext/>
              <w:autoSpaceDE w:val="0"/>
              <w:autoSpaceDN w:val="0"/>
              <w:adjustRightInd w:val="0"/>
              <w:jc w:val="center"/>
              <w:rPr>
                <w:rFonts w:ascii="Arial Narrow" w:hAnsi="Arial Narrow"/>
                <w:color w:val="000000"/>
                <w:sz w:val="20"/>
                <w:szCs w:val="20"/>
              </w:rPr>
            </w:pPr>
            <w:r w:rsidRPr="00110B34">
              <w:rPr>
                <w:rFonts w:ascii="Arial Narrow" w:hAnsi="Arial Narrow" w:cs="Calibri"/>
                <w:color w:val="000000"/>
                <w:sz w:val="20"/>
                <w:szCs w:val="20"/>
              </w:rPr>
              <w:t>2</w:t>
            </w:r>
          </w:p>
        </w:tc>
        <w:tc>
          <w:tcPr>
            <w:tcW w:w="900" w:type="dxa"/>
            <w:shd w:val="clear" w:color="auto" w:fill="auto"/>
            <w:vAlign w:val="bottom"/>
          </w:tcPr>
          <w:p w14:paraId="241BE906" w14:textId="4ACDAFF0" w:rsidR="00DB3FC8" w:rsidRPr="00110B34" w:rsidRDefault="00DB3FC8" w:rsidP="00DB3FC8">
            <w:pPr>
              <w:keepNext/>
              <w:autoSpaceDE w:val="0"/>
              <w:autoSpaceDN w:val="0"/>
              <w:adjustRightInd w:val="0"/>
              <w:jc w:val="center"/>
              <w:rPr>
                <w:rFonts w:ascii="Arial Narrow" w:hAnsi="Arial Narrow"/>
                <w:color w:val="000000"/>
                <w:sz w:val="20"/>
                <w:szCs w:val="20"/>
              </w:rPr>
            </w:pPr>
            <w:r w:rsidRPr="00110B34">
              <w:rPr>
                <w:rFonts w:ascii="Arial Narrow" w:hAnsi="Arial Narrow" w:cs="Calibri"/>
                <w:color w:val="000000"/>
                <w:sz w:val="20"/>
                <w:szCs w:val="20"/>
              </w:rPr>
              <w:t>70.2</w:t>
            </w:r>
          </w:p>
        </w:tc>
        <w:tc>
          <w:tcPr>
            <w:tcW w:w="990" w:type="dxa"/>
            <w:vAlign w:val="bottom"/>
          </w:tcPr>
          <w:p w14:paraId="38BD44A5" w14:textId="31952F18" w:rsidR="00DB3FC8" w:rsidRPr="001239B1" w:rsidRDefault="00DB3FC8" w:rsidP="00DB3FC8">
            <w:pPr>
              <w:keepNext/>
              <w:autoSpaceDE w:val="0"/>
              <w:autoSpaceDN w:val="0"/>
              <w:adjustRightInd w:val="0"/>
              <w:jc w:val="center"/>
              <w:rPr>
                <w:rFonts w:ascii="Arial Narrow" w:hAnsi="Arial Narrow" w:cs="Calibri"/>
                <w:color w:val="000000"/>
                <w:sz w:val="20"/>
                <w:szCs w:val="20"/>
              </w:rPr>
            </w:pPr>
            <w:r w:rsidRPr="001239B1">
              <w:rPr>
                <w:rFonts w:ascii="Arial Narrow" w:hAnsi="Arial Narrow" w:cs="Calibri"/>
                <w:color w:val="000000"/>
                <w:sz w:val="20"/>
                <w:szCs w:val="20"/>
              </w:rPr>
              <w:t>70.2</w:t>
            </w:r>
          </w:p>
        </w:tc>
        <w:tc>
          <w:tcPr>
            <w:tcW w:w="1260" w:type="dxa"/>
            <w:shd w:val="clear" w:color="auto" w:fill="CCFFCC"/>
            <w:vAlign w:val="bottom"/>
          </w:tcPr>
          <w:p w14:paraId="5DC743D3" w14:textId="7F8BFEDC"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Unimpaired</w:t>
            </w:r>
          </w:p>
        </w:tc>
      </w:tr>
      <w:tr w:rsidR="00DB3FC8" w:rsidRPr="00A233DE" w14:paraId="769217B9" w14:textId="77777777" w:rsidTr="00546B42">
        <w:trPr>
          <w:trHeight w:val="290"/>
        </w:trPr>
        <w:tc>
          <w:tcPr>
            <w:tcW w:w="1383" w:type="dxa"/>
            <w:tcBorders>
              <w:top w:val="nil"/>
              <w:bottom w:val="nil"/>
            </w:tcBorders>
            <w:vAlign w:val="bottom"/>
          </w:tcPr>
          <w:p w14:paraId="0711C984" w14:textId="77777777" w:rsidR="00DB3FC8" w:rsidRPr="00156F5C" w:rsidRDefault="00DB3FC8" w:rsidP="00DB3FC8">
            <w:pPr>
              <w:keepNext/>
              <w:autoSpaceDE w:val="0"/>
              <w:autoSpaceDN w:val="0"/>
              <w:adjustRightInd w:val="0"/>
              <w:jc w:val="center"/>
              <w:rPr>
                <w:rFonts w:ascii="Arial Narrow" w:hAnsi="Arial Narrow" w:cs="Arial Narrow"/>
                <w:color w:val="000000"/>
                <w:sz w:val="20"/>
                <w:szCs w:val="20"/>
              </w:rPr>
            </w:pPr>
          </w:p>
        </w:tc>
        <w:tc>
          <w:tcPr>
            <w:tcW w:w="1350" w:type="dxa"/>
            <w:vAlign w:val="bottom"/>
          </w:tcPr>
          <w:p w14:paraId="506C732A" w14:textId="6606556F"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Barnhardt Creek</w:t>
            </w:r>
          </w:p>
        </w:tc>
        <w:tc>
          <w:tcPr>
            <w:tcW w:w="1350" w:type="dxa"/>
            <w:vAlign w:val="bottom"/>
          </w:tcPr>
          <w:p w14:paraId="6B8B0485" w14:textId="1C086A5A"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4ABHT001.90</w:t>
            </w:r>
          </w:p>
        </w:tc>
        <w:tc>
          <w:tcPr>
            <w:tcW w:w="1170" w:type="dxa"/>
            <w:vAlign w:val="bottom"/>
          </w:tcPr>
          <w:p w14:paraId="4F396298" w14:textId="09E4CF2C"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2009-2010</w:t>
            </w:r>
          </w:p>
        </w:tc>
        <w:tc>
          <w:tcPr>
            <w:tcW w:w="990" w:type="dxa"/>
            <w:vAlign w:val="bottom"/>
          </w:tcPr>
          <w:p w14:paraId="678839DB" w14:textId="6E3BF0CD" w:rsidR="00DB3FC8" w:rsidRPr="00110B34" w:rsidRDefault="00DB3FC8" w:rsidP="00DB3FC8">
            <w:pPr>
              <w:keepNext/>
              <w:autoSpaceDE w:val="0"/>
              <w:autoSpaceDN w:val="0"/>
              <w:adjustRightInd w:val="0"/>
              <w:jc w:val="center"/>
              <w:rPr>
                <w:rFonts w:ascii="Arial Narrow" w:hAnsi="Arial Narrow"/>
                <w:color w:val="000000"/>
                <w:sz w:val="20"/>
                <w:szCs w:val="20"/>
              </w:rPr>
            </w:pPr>
            <w:r w:rsidRPr="00110B34">
              <w:rPr>
                <w:rFonts w:ascii="Arial Narrow" w:hAnsi="Arial Narrow" w:cs="Calibri"/>
                <w:color w:val="000000"/>
                <w:sz w:val="20"/>
                <w:szCs w:val="20"/>
              </w:rPr>
              <w:t>3</w:t>
            </w:r>
          </w:p>
        </w:tc>
        <w:tc>
          <w:tcPr>
            <w:tcW w:w="900" w:type="dxa"/>
            <w:shd w:val="clear" w:color="auto" w:fill="auto"/>
            <w:vAlign w:val="bottom"/>
          </w:tcPr>
          <w:p w14:paraId="70208230" w14:textId="6122567B" w:rsidR="00DB3FC8" w:rsidRPr="00110B34" w:rsidRDefault="00DB3FC8" w:rsidP="00DB3FC8">
            <w:pPr>
              <w:keepNext/>
              <w:autoSpaceDE w:val="0"/>
              <w:autoSpaceDN w:val="0"/>
              <w:adjustRightInd w:val="0"/>
              <w:jc w:val="center"/>
              <w:rPr>
                <w:rFonts w:ascii="Arial Narrow" w:hAnsi="Arial Narrow"/>
                <w:color w:val="000000"/>
                <w:sz w:val="20"/>
                <w:szCs w:val="20"/>
              </w:rPr>
            </w:pPr>
            <w:r w:rsidRPr="00110B34">
              <w:rPr>
                <w:rFonts w:ascii="Arial Narrow" w:hAnsi="Arial Narrow" w:cs="Calibri"/>
                <w:color w:val="000000"/>
                <w:sz w:val="20"/>
                <w:szCs w:val="20"/>
              </w:rPr>
              <w:t>36.8</w:t>
            </w:r>
          </w:p>
        </w:tc>
        <w:tc>
          <w:tcPr>
            <w:tcW w:w="990" w:type="dxa"/>
            <w:vAlign w:val="bottom"/>
          </w:tcPr>
          <w:p w14:paraId="0D1BB03B" w14:textId="7FD77EEB" w:rsidR="00DB3FC8" w:rsidRPr="001239B1" w:rsidRDefault="00DB3FC8" w:rsidP="00DB3FC8">
            <w:pPr>
              <w:keepNext/>
              <w:autoSpaceDE w:val="0"/>
              <w:autoSpaceDN w:val="0"/>
              <w:adjustRightInd w:val="0"/>
              <w:jc w:val="center"/>
              <w:rPr>
                <w:rFonts w:ascii="Arial Narrow" w:hAnsi="Arial Narrow" w:cs="Calibri"/>
                <w:color w:val="000000"/>
                <w:sz w:val="20"/>
                <w:szCs w:val="20"/>
              </w:rPr>
            </w:pPr>
            <w:r w:rsidRPr="001239B1">
              <w:rPr>
                <w:rFonts w:ascii="Arial Narrow" w:hAnsi="Arial Narrow" w:cs="Calibri"/>
                <w:color w:val="000000"/>
                <w:sz w:val="20"/>
                <w:szCs w:val="20"/>
              </w:rPr>
              <w:t>-</w:t>
            </w:r>
          </w:p>
        </w:tc>
        <w:tc>
          <w:tcPr>
            <w:tcW w:w="1260" w:type="dxa"/>
            <w:shd w:val="clear" w:color="auto" w:fill="FFCCCC"/>
            <w:vAlign w:val="bottom"/>
          </w:tcPr>
          <w:p w14:paraId="2A2F6067" w14:textId="4FFF3832"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Impaired</w:t>
            </w:r>
          </w:p>
        </w:tc>
      </w:tr>
      <w:tr w:rsidR="00DB3FC8" w:rsidRPr="00A233DE" w14:paraId="3DFB4BA5" w14:textId="77777777" w:rsidTr="00546B42">
        <w:trPr>
          <w:trHeight w:val="290"/>
        </w:trPr>
        <w:tc>
          <w:tcPr>
            <w:tcW w:w="1383" w:type="dxa"/>
            <w:tcBorders>
              <w:top w:val="nil"/>
              <w:bottom w:val="nil"/>
            </w:tcBorders>
            <w:vAlign w:val="bottom"/>
          </w:tcPr>
          <w:p w14:paraId="671AAA71" w14:textId="77777777" w:rsidR="00DB3FC8" w:rsidRPr="00156F5C" w:rsidRDefault="00DB3FC8" w:rsidP="00DB3FC8">
            <w:pPr>
              <w:keepNext/>
              <w:autoSpaceDE w:val="0"/>
              <w:autoSpaceDN w:val="0"/>
              <w:adjustRightInd w:val="0"/>
              <w:jc w:val="center"/>
              <w:rPr>
                <w:rFonts w:ascii="Arial Narrow" w:hAnsi="Arial Narrow" w:cs="Arial Narrow"/>
                <w:color w:val="000000"/>
                <w:sz w:val="20"/>
                <w:szCs w:val="20"/>
              </w:rPr>
            </w:pPr>
          </w:p>
        </w:tc>
        <w:tc>
          <w:tcPr>
            <w:tcW w:w="1350" w:type="dxa"/>
            <w:tcBorders>
              <w:bottom w:val="single" w:sz="4" w:space="0" w:color="auto"/>
            </w:tcBorders>
            <w:vAlign w:val="bottom"/>
          </w:tcPr>
          <w:p w14:paraId="05099A07" w14:textId="385F0C7F"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Gish Branch</w:t>
            </w:r>
          </w:p>
        </w:tc>
        <w:tc>
          <w:tcPr>
            <w:tcW w:w="1350" w:type="dxa"/>
            <w:vAlign w:val="bottom"/>
          </w:tcPr>
          <w:p w14:paraId="5C66C460" w14:textId="316F3C67"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4AGSH001.28</w:t>
            </w:r>
          </w:p>
        </w:tc>
        <w:tc>
          <w:tcPr>
            <w:tcW w:w="1170" w:type="dxa"/>
            <w:vAlign w:val="bottom"/>
          </w:tcPr>
          <w:p w14:paraId="6D887BCD" w14:textId="136D1436"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2012</w:t>
            </w:r>
          </w:p>
        </w:tc>
        <w:tc>
          <w:tcPr>
            <w:tcW w:w="990" w:type="dxa"/>
            <w:vAlign w:val="bottom"/>
          </w:tcPr>
          <w:p w14:paraId="28025B04" w14:textId="53225768" w:rsidR="00DB3FC8" w:rsidRPr="00110B34" w:rsidRDefault="00DB3FC8" w:rsidP="00DB3FC8">
            <w:pPr>
              <w:keepNext/>
              <w:autoSpaceDE w:val="0"/>
              <w:autoSpaceDN w:val="0"/>
              <w:adjustRightInd w:val="0"/>
              <w:jc w:val="center"/>
              <w:rPr>
                <w:rFonts w:ascii="Arial Narrow" w:hAnsi="Arial Narrow"/>
                <w:color w:val="000000"/>
                <w:sz w:val="20"/>
                <w:szCs w:val="20"/>
              </w:rPr>
            </w:pPr>
            <w:r w:rsidRPr="00110B34">
              <w:rPr>
                <w:rFonts w:ascii="Arial Narrow" w:hAnsi="Arial Narrow" w:cs="Calibri"/>
                <w:color w:val="000000"/>
                <w:sz w:val="20"/>
                <w:szCs w:val="20"/>
              </w:rPr>
              <w:t>2</w:t>
            </w:r>
          </w:p>
        </w:tc>
        <w:tc>
          <w:tcPr>
            <w:tcW w:w="900" w:type="dxa"/>
            <w:shd w:val="clear" w:color="auto" w:fill="auto"/>
            <w:vAlign w:val="bottom"/>
          </w:tcPr>
          <w:p w14:paraId="7D6A5F86" w14:textId="64B2510B" w:rsidR="00DB3FC8" w:rsidRPr="00110B34" w:rsidRDefault="00DB3FC8" w:rsidP="00DB3FC8">
            <w:pPr>
              <w:keepNext/>
              <w:autoSpaceDE w:val="0"/>
              <w:autoSpaceDN w:val="0"/>
              <w:adjustRightInd w:val="0"/>
              <w:jc w:val="center"/>
              <w:rPr>
                <w:rFonts w:ascii="Arial Narrow" w:hAnsi="Arial Narrow"/>
                <w:color w:val="000000"/>
                <w:sz w:val="20"/>
                <w:szCs w:val="20"/>
              </w:rPr>
            </w:pPr>
            <w:r w:rsidRPr="00110B34">
              <w:rPr>
                <w:rFonts w:ascii="Arial Narrow" w:hAnsi="Arial Narrow" w:cs="Calibri"/>
                <w:color w:val="000000"/>
                <w:sz w:val="20"/>
                <w:szCs w:val="20"/>
              </w:rPr>
              <w:t>47.1</w:t>
            </w:r>
          </w:p>
        </w:tc>
        <w:tc>
          <w:tcPr>
            <w:tcW w:w="990" w:type="dxa"/>
            <w:vAlign w:val="bottom"/>
          </w:tcPr>
          <w:p w14:paraId="3214B855" w14:textId="1AD866E1" w:rsidR="00DB3FC8" w:rsidRPr="001239B1" w:rsidRDefault="00DB3FC8" w:rsidP="00DB3FC8">
            <w:pPr>
              <w:keepNext/>
              <w:autoSpaceDE w:val="0"/>
              <w:autoSpaceDN w:val="0"/>
              <w:adjustRightInd w:val="0"/>
              <w:jc w:val="center"/>
              <w:rPr>
                <w:rFonts w:ascii="Arial Narrow" w:hAnsi="Arial Narrow" w:cs="Calibri"/>
                <w:color w:val="000000"/>
                <w:sz w:val="20"/>
                <w:szCs w:val="20"/>
              </w:rPr>
            </w:pPr>
            <w:r w:rsidRPr="001239B1">
              <w:rPr>
                <w:rFonts w:ascii="Arial Narrow" w:hAnsi="Arial Narrow" w:cs="Calibri"/>
                <w:color w:val="000000"/>
                <w:sz w:val="20"/>
                <w:szCs w:val="20"/>
              </w:rPr>
              <w:t>-</w:t>
            </w:r>
          </w:p>
        </w:tc>
        <w:tc>
          <w:tcPr>
            <w:tcW w:w="1260" w:type="dxa"/>
            <w:shd w:val="clear" w:color="auto" w:fill="FFCCCC"/>
            <w:vAlign w:val="bottom"/>
          </w:tcPr>
          <w:p w14:paraId="74DF84EC" w14:textId="7A4487A5"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Impaired</w:t>
            </w:r>
          </w:p>
        </w:tc>
      </w:tr>
      <w:tr w:rsidR="00DB3FC8" w:rsidRPr="00A233DE" w14:paraId="2A989D2C" w14:textId="77777777" w:rsidTr="00546B42">
        <w:trPr>
          <w:trHeight w:val="290"/>
        </w:trPr>
        <w:tc>
          <w:tcPr>
            <w:tcW w:w="1383" w:type="dxa"/>
            <w:tcBorders>
              <w:top w:val="nil"/>
              <w:bottom w:val="nil"/>
            </w:tcBorders>
            <w:vAlign w:val="bottom"/>
          </w:tcPr>
          <w:p w14:paraId="600C9814" w14:textId="77777777" w:rsidR="00DB3FC8" w:rsidRPr="00156F5C" w:rsidRDefault="00DB3FC8" w:rsidP="00DB3FC8">
            <w:pPr>
              <w:keepNext/>
              <w:autoSpaceDE w:val="0"/>
              <w:autoSpaceDN w:val="0"/>
              <w:adjustRightInd w:val="0"/>
              <w:jc w:val="center"/>
              <w:rPr>
                <w:rFonts w:ascii="Arial Narrow" w:hAnsi="Arial Narrow" w:cs="Arial Narrow"/>
                <w:color w:val="000000"/>
                <w:sz w:val="20"/>
                <w:szCs w:val="20"/>
              </w:rPr>
            </w:pPr>
          </w:p>
        </w:tc>
        <w:tc>
          <w:tcPr>
            <w:tcW w:w="1350" w:type="dxa"/>
            <w:tcBorders>
              <w:bottom w:val="nil"/>
            </w:tcBorders>
            <w:vAlign w:val="bottom"/>
          </w:tcPr>
          <w:p w14:paraId="5E332509" w14:textId="7C647069"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Mud Lick Creek</w:t>
            </w:r>
          </w:p>
        </w:tc>
        <w:tc>
          <w:tcPr>
            <w:tcW w:w="1350" w:type="dxa"/>
            <w:vAlign w:val="bottom"/>
          </w:tcPr>
          <w:p w14:paraId="6B20A814" w14:textId="3439726B"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4AMDL002.93</w:t>
            </w:r>
          </w:p>
        </w:tc>
        <w:tc>
          <w:tcPr>
            <w:tcW w:w="1170" w:type="dxa"/>
            <w:vAlign w:val="bottom"/>
          </w:tcPr>
          <w:p w14:paraId="5EDCF0FD" w14:textId="1AE73988"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2005-2018</w:t>
            </w:r>
          </w:p>
        </w:tc>
        <w:tc>
          <w:tcPr>
            <w:tcW w:w="990" w:type="dxa"/>
            <w:vAlign w:val="bottom"/>
          </w:tcPr>
          <w:p w14:paraId="5D15FF23" w14:textId="36EA9E83" w:rsidR="00DB3FC8" w:rsidRPr="00110B34" w:rsidRDefault="00DB3FC8" w:rsidP="00DB3FC8">
            <w:pPr>
              <w:keepNext/>
              <w:autoSpaceDE w:val="0"/>
              <w:autoSpaceDN w:val="0"/>
              <w:adjustRightInd w:val="0"/>
              <w:jc w:val="center"/>
              <w:rPr>
                <w:rFonts w:ascii="Arial Narrow" w:hAnsi="Arial Narrow"/>
                <w:color w:val="000000"/>
                <w:sz w:val="20"/>
                <w:szCs w:val="20"/>
              </w:rPr>
            </w:pPr>
            <w:r w:rsidRPr="00110B34">
              <w:rPr>
                <w:rFonts w:ascii="Arial Narrow" w:hAnsi="Arial Narrow" w:cs="Calibri"/>
                <w:color w:val="000000"/>
                <w:sz w:val="20"/>
                <w:szCs w:val="20"/>
              </w:rPr>
              <w:t>11</w:t>
            </w:r>
          </w:p>
        </w:tc>
        <w:tc>
          <w:tcPr>
            <w:tcW w:w="900" w:type="dxa"/>
            <w:shd w:val="clear" w:color="auto" w:fill="auto"/>
            <w:vAlign w:val="bottom"/>
          </w:tcPr>
          <w:p w14:paraId="2FE9CAC4" w14:textId="3EEAF372" w:rsidR="00DB3FC8" w:rsidRPr="00110B34" w:rsidRDefault="00DB3FC8" w:rsidP="00DB3FC8">
            <w:pPr>
              <w:keepNext/>
              <w:autoSpaceDE w:val="0"/>
              <w:autoSpaceDN w:val="0"/>
              <w:adjustRightInd w:val="0"/>
              <w:jc w:val="center"/>
              <w:rPr>
                <w:rFonts w:ascii="Arial Narrow" w:hAnsi="Arial Narrow"/>
                <w:color w:val="000000"/>
                <w:sz w:val="20"/>
                <w:szCs w:val="20"/>
              </w:rPr>
            </w:pPr>
            <w:r w:rsidRPr="00110B34">
              <w:rPr>
                <w:rFonts w:ascii="Arial Narrow" w:hAnsi="Arial Narrow" w:cs="Calibri"/>
                <w:color w:val="000000"/>
                <w:sz w:val="20"/>
                <w:szCs w:val="20"/>
              </w:rPr>
              <w:t>27.6</w:t>
            </w:r>
          </w:p>
        </w:tc>
        <w:tc>
          <w:tcPr>
            <w:tcW w:w="990" w:type="dxa"/>
            <w:vAlign w:val="bottom"/>
          </w:tcPr>
          <w:p w14:paraId="2441ECA0" w14:textId="53EF77C6" w:rsidR="00DB3FC8" w:rsidRPr="001239B1" w:rsidRDefault="00DB3FC8" w:rsidP="00DB3FC8">
            <w:pPr>
              <w:keepNext/>
              <w:autoSpaceDE w:val="0"/>
              <w:autoSpaceDN w:val="0"/>
              <w:adjustRightInd w:val="0"/>
              <w:jc w:val="center"/>
              <w:rPr>
                <w:rFonts w:ascii="Arial Narrow" w:hAnsi="Arial Narrow" w:cs="Calibri"/>
                <w:color w:val="000000"/>
                <w:sz w:val="20"/>
                <w:szCs w:val="20"/>
              </w:rPr>
            </w:pPr>
            <w:r w:rsidRPr="001239B1">
              <w:rPr>
                <w:rFonts w:ascii="Arial Narrow" w:hAnsi="Arial Narrow" w:cs="Calibri"/>
                <w:color w:val="000000"/>
                <w:sz w:val="20"/>
                <w:szCs w:val="20"/>
              </w:rPr>
              <w:t>33.4</w:t>
            </w:r>
          </w:p>
        </w:tc>
        <w:tc>
          <w:tcPr>
            <w:tcW w:w="1260" w:type="dxa"/>
            <w:shd w:val="clear" w:color="auto" w:fill="FFCCCC"/>
            <w:vAlign w:val="bottom"/>
          </w:tcPr>
          <w:p w14:paraId="37148E01" w14:textId="5FF0643A"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Impaired</w:t>
            </w:r>
          </w:p>
        </w:tc>
      </w:tr>
      <w:tr w:rsidR="00DB3FC8" w:rsidRPr="00A233DE" w14:paraId="25196894" w14:textId="77777777" w:rsidTr="00546B42">
        <w:trPr>
          <w:trHeight w:val="290"/>
        </w:trPr>
        <w:tc>
          <w:tcPr>
            <w:tcW w:w="1383" w:type="dxa"/>
            <w:tcBorders>
              <w:top w:val="nil"/>
              <w:bottom w:val="nil"/>
            </w:tcBorders>
            <w:vAlign w:val="bottom"/>
          </w:tcPr>
          <w:p w14:paraId="42D9E029" w14:textId="77777777" w:rsidR="00DB3FC8" w:rsidRPr="00156F5C" w:rsidRDefault="00DB3FC8" w:rsidP="00DB3FC8">
            <w:pPr>
              <w:keepNext/>
              <w:autoSpaceDE w:val="0"/>
              <w:autoSpaceDN w:val="0"/>
              <w:adjustRightInd w:val="0"/>
              <w:jc w:val="center"/>
              <w:rPr>
                <w:rFonts w:ascii="Arial Narrow" w:hAnsi="Arial Narrow" w:cs="Arial Narrow"/>
                <w:color w:val="000000"/>
                <w:sz w:val="20"/>
                <w:szCs w:val="20"/>
              </w:rPr>
            </w:pPr>
          </w:p>
        </w:tc>
        <w:tc>
          <w:tcPr>
            <w:tcW w:w="1350" w:type="dxa"/>
            <w:tcBorders>
              <w:top w:val="nil"/>
              <w:bottom w:val="single" w:sz="4" w:space="0" w:color="auto"/>
            </w:tcBorders>
            <w:vAlign w:val="bottom"/>
          </w:tcPr>
          <w:p w14:paraId="3B796E3F" w14:textId="77777777" w:rsidR="00DB3FC8" w:rsidRPr="00156F5C" w:rsidRDefault="00DB3FC8" w:rsidP="00DB3FC8">
            <w:pPr>
              <w:keepNext/>
              <w:autoSpaceDE w:val="0"/>
              <w:autoSpaceDN w:val="0"/>
              <w:adjustRightInd w:val="0"/>
              <w:jc w:val="center"/>
              <w:rPr>
                <w:rFonts w:ascii="Arial Narrow" w:hAnsi="Arial Narrow"/>
                <w:color w:val="000000"/>
                <w:sz w:val="20"/>
                <w:szCs w:val="20"/>
              </w:rPr>
            </w:pPr>
          </w:p>
        </w:tc>
        <w:tc>
          <w:tcPr>
            <w:tcW w:w="1350" w:type="dxa"/>
            <w:vAlign w:val="bottom"/>
          </w:tcPr>
          <w:p w14:paraId="3C872933" w14:textId="07EFCAD3"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4AMDL003.34</w:t>
            </w:r>
          </w:p>
        </w:tc>
        <w:tc>
          <w:tcPr>
            <w:tcW w:w="1170" w:type="dxa"/>
            <w:vAlign w:val="bottom"/>
          </w:tcPr>
          <w:p w14:paraId="284459DA" w14:textId="1544B973"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2005-2006</w:t>
            </w:r>
          </w:p>
        </w:tc>
        <w:tc>
          <w:tcPr>
            <w:tcW w:w="990" w:type="dxa"/>
            <w:vAlign w:val="bottom"/>
          </w:tcPr>
          <w:p w14:paraId="6137CF3E" w14:textId="7C9846B1" w:rsidR="00DB3FC8" w:rsidRPr="00110B34" w:rsidRDefault="00DB3FC8" w:rsidP="00DB3FC8">
            <w:pPr>
              <w:keepNext/>
              <w:autoSpaceDE w:val="0"/>
              <w:autoSpaceDN w:val="0"/>
              <w:adjustRightInd w:val="0"/>
              <w:jc w:val="center"/>
              <w:rPr>
                <w:rFonts w:ascii="Arial Narrow" w:hAnsi="Arial Narrow"/>
                <w:color w:val="000000"/>
                <w:sz w:val="20"/>
                <w:szCs w:val="20"/>
              </w:rPr>
            </w:pPr>
            <w:r w:rsidRPr="00110B34">
              <w:rPr>
                <w:rFonts w:ascii="Arial Narrow" w:hAnsi="Arial Narrow" w:cs="Calibri"/>
                <w:color w:val="000000"/>
                <w:sz w:val="20"/>
                <w:szCs w:val="20"/>
              </w:rPr>
              <w:t>2</w:t>
            </w:r>
          </w:p>
        </w:tc>
        <w:tc>
          <w:tcPr>
            <w:tcW w:w="900" w:type="dxa"/>
            <w:shd w:val="clear" w:color="auto" w:fill="auto"/>
            <w:vAlign w:val="bottom"/>
          </w:tcPr>
          <w:p w14:paraId="35166F91" w14:textId="0C3C90B9" w:rsidR="00DB3FC8" w:rsidRPr="00110B34" w:rsidRDefault="00DB3FC8" w:rsidP="00DB3FC8">
            <w:pPr>
              <w:keepNext/>
              <w:autoSpaceDE w:val="0"/>
              <w:autoSpaceDN w:val="0"/>
              <w:adjustRightInd w:val="0"/>
              <w:jc w:val="center"/>
              <w:rPr>
                <w:rFonts w:ascii="Arial Narrow" w:hAnsi="Arial Narrow"/>
                <w:color w:val="000000"/>
                <w:sz w:val="20"/>
                <w:szCs w:val="20"/>
              </w:rPr>
            </w:pPr>
            <w:r w:rsidRPr="00110B34">
              <w:rPr>
                <w:rFonts w:ascii="Arial Narrow" w:hAnsi="Arial Narrow" w:cs="Calibri"/>
                <w:color w:val="000000"/>
                <w:sz w:val="20"/>
                <w:szCs w:val="20"/>
              </w:rPr>
              <w:t>28.6</w:t>
            </w:r>
          </w:p>
        </w:tc>
        <w:tc>
          <w:tcPr>
            <w:tcW w:w="990" w:type="dxa"/>
            <w:vAlign w:val="bottom"/>
          </w:tcPr>
          <w:p w14:paraId="204B48CF" w14:textId="485627E8" w:rsidR="00DB3FC8" w:rsidRPr="001239B1" w:rsidRDefault="00DB3FC8" w:rsidP="00DB3FC8">
            <w:pPr>
              <w:keepNext/>
              <w:autoSpaceDE w:val="0"/>
              <w:autoSpaceDN w:val="0"/>
              <w:adjustRightInd w:val="0"/>
              <w:jc w:val="center"/>
              <w:rPr>
                <w:rFonts w:ascii="Arial Narrow" w:hAnsi="Arial Narrow" w:cs="Calibri"/>
                <w:color w:val="000000"/>
                <w:sz w:val="20"/>
                <w:szCs w:val="20"/>
              </w:rPr>
            </w:pPr>
            <w:r w:rsidRPr="001239B1">
              <w:rPr>
                <w:rFonts w:ascii="Arial Narrow" w:hAnsi="Arial Narrow" w:cs="Calibri"/>
                <w:color w:val="000000"/>
                <w:sz w:val="20"/>
                <w:szCs w:val="20"/>
              </w:rPr>
              <w:t>-</w:t>
            </w:r>
          </w:p>
        </w:tc>
        <w:tc>
          <w:tcPr>
            <w:tcW w:w="1260" w:type="dxa"/>
            <w:shd w:val="clear" w:color="auto" w:fill="FFCCCC"/>
            <w:vAlign w:val="bottom"/>
          </w:tcPr>
          <w:p w14:paraId="38C2D2AF" w14:textId="101F6AA7"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Impaired</w:t>
            </w:r>
          </w:p>
        </w:tc>
      </w:tr>
      <w:tr w:rsidR="00DB3FC8" w:rsidRPr="00A233DE" w14:paraId="0EE1F9E4" w14:textId="77777777" w:rsidTr="00546B42">
        <w:trPr>
          <w:trHeight w:val="290"/>
        </w:trPr>
        <w:tc>
          <w:tcPr>
            <w:tcW w:w="1383" w:type="dxa"/>
            <w:tcBorders>
              <w:top w:val="nil"/>
              <w:bottom w:val="nil"/>
            </w:tcBorders>
            <w:vAlign w:val="bottom"/>
          </w:tcPr>
          <w:p w14:paraId="27BBB3F7" w14:textId="77777777" w:rsidR="00DB3FC8" w:rsidRPr="00156F5C" w:rsidRDefault="00DB3FC8" w:rsidP="00DB3FC8">
            <w:pPr>
              <w:keepNext/>
              <w:autoSpaceDE w:val="0"/>
              <w:autoSpaceDN w:val="0"/>
              <w:adjustRightInd w:val="0"/>
              <w:jc w:val="center"/>
              <w:rPr>
                <w:rFonts w:ascii="Arial Narrow" w:hAnsi="Arial Narrow" w:cs="Arial Narrow"/>
                <w:color w:val="000000"/>
                <w:sz w:val="20"/>
                <w:szCs w:val="20"/>
              </w:rPr>
            </w:pPr>
          </w:p>
        </w:tc>
        <w:tc>
          <w:tcPr>
            <w:tcW w:w="1350" w:type="dxa"/>
            <w:tcBorders>
              <w:bottom w:val="nil"/>
            </w:tcBorders>
            <w:vAlign w:val="bottom"/>
          </w:tcPr>
          <w:p w14:paraId="66F3E445" w14:textId="25205FD7"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Mason Creek</w:t>
            </w:r>
          </w:p>
        </w:tc>
        <w:tc>
          <w:tcPr>
            <w:tcW w:w="1350" w:type="dxa"/>
            <w:vAlign w:val="bottom"/>
          </w:tcPr>
          <w:p w14:paraId="3589073B" w14:textId="660981E9"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4AMSN000.53</w:t>
            </w:r>
          </w:p>
        </w:tc>
        <w:tc>
          <w:tcPr>
            <w:tcW w:w="1170" w:type="dxa"/>
            <w:vAlign w:val="bottom"/>
          </w:tcPr>
          <w:p w14:paraId="64E725F1" w14:textId="15C9BA70"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2004-2013</w:t>
            </w:r>
          </w:p>
        </w:tc>
        <w:tc>
          <w:tcPr>
            <w:tcW w:w="990" w:type="dxa"/>
            <w:vAlign w:val="bottom"/>
          </w:tcPr>
          <w:p w14:paraId="12A781A5" w14:textId="515496BF" w:rsidR="00DB3FC8" w:rsidRPr="00110B34" w:rsidRDefault="00DB3FC8" w:rsidP="00DB3FC8">
            <w:pPr>
              <w:keepNext/>
              <w:autoSpaceDE w:val="0"/>
              <w:autoSpaceDN w:val="0"/>
              <w:adjustRightInd w:val="0"/>
              <w:jc w:val="center"/>
              <w:rPr>
                <w:rFonts w:ascii="Arial Narrow" w:hAnsi="Arial Narrow"/>
                <w:color w:val="000000"/>
                <w:sz w:val="20"/>
                <w:szCs w:val="20"/>
              </w:rPr>
            </w:pPr>
            <w:r w:rsidRPr="00110B34">
              <w:rPr>
                <w:rFonts w:ascii="Arial Narrow" w:hAnsi="Arial Narrow" w:cs="Calibri"/>
                <w:color w:val="000000"/>
                <w:sz w:val="20"/>
                <w:szCs w:val="20"/>
              </w:rPr>
              <w:t>5</w:t>
            </w:r>
          </w:p>
        </w:tc>
        <w:tc>
          <w:tcPr>
            <w:tcW w:w="900" w:type="dxa"/>
            <w:shd w:val="clear" w:color="auto" w:fill="auto"/>
            <w:vAlign w:val="bottom"/>
          </w:tcPr>
          <w:p w14:paraId="3F254A6B" w14:textId="3D283B50" w:rsidR="00DB3FC8" w:rsidRPr="00110B34" w:rsidRDefault="00DB3FC8" w:rsidP="00DB3FC8">
            <w:pPr>
              <w:keepNext/>
              <w:autoSpaceDE w:val="0"/>
              <w:autoSpaceDN w:val="0"/>
              <w:adjustRightInd w:val="0"/>
              <w:jc w:val="center"/>
              <w:rPr>
                <w:rFonts w:ascii="Arial Narrow" w:hAnsi="Arial Narrow"/>
                <w:color w:val="000000"/>
                <w:sz w:val="20"/>
                <w:szCs w:val="20"/>
              </w:rPr>
            </w:pPr>
            <w:r w:rsidRPr="00110B34">
              <w:rPr>
                <w:rFonts w:ascii="Arial Narrow" w:hAnsi="Arial Narrow" w:cs="Calibri"/>
                <w:color w:val="000000"/>
                <w:sz w:val="20"/>
                <w:szCs w:val="20"/>
              </w:rPr>
              <w:t>40.3</w:t>
            </w:r>
          </w:p>
        </w:tc>
        <w:tc>
          <w:tcPr>
            <w:tcW w:w="990" w:type="dxa"/>
            <w:vAlign w:val="bottom"/>
          </w:tcPr>
          <w:p w14:paraId="2164FE73" w14:textId="0A5E91AA" w:rsidR="00DB3FC8" w:rsidRPr="001239B1" w:rsidRDefault="00DB3FC8" w:rsidP="00DB3FC8">
            <w:pPr>
              <w:keepNext/>
              <w:autoSpaceDE w:val="0"/>
              <w:autoSpaceDN w:val="0"/>
              <w:adjustRightInd w:val="0"/>
              <w:jc w:val="center"/>
              <w:rPr>
                <w:rFonts w:ascii="Arial Narrow" w:hAnsi="Arial Narrow" w:cs="Calibri"/>
                <w:color w:val="000000"/>
                <w:sz w:val="20"/>
                <w:szCs w:val="20"/>
              </w:rPr>
            </w:pPr>
            <w:r w:rsidRPr="001239B1">
              <w:rPr>
                <w:rFonts w:ascii="Arial Narrow" w:hAnsi="Arial Narrow" w:cs="Calibri"/>
                <w:color w:val="000000"/>
                <w:sz w:val="20"/>
                <w:szCs w:val="20"/>
              </w:rPr>
              <w:t>-</w:t>
            </w:r>
          </w:p>
        </w:tc>
        <w:tc>
          <w:tcPr>
            <w:tcW w:w="1260" w:type="dxa"/>
            <w:shd w:val="clear" w:color="auto" w:fill="FFCCCC"/>
            <w:vAlign w:val="bottom"/>
          </w:tcPr>
          <w:p w14:paraId="14A4BC8C" w14:textId="0334F343"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Impaired</w:t>
            </w:r>
          </w:p>
        </w:tc>
      </w:tr>
      <w:tr w:rsidR="00DB3FC8" w:rsidRPr="00A233DE" w14:paraId="5E6F5A22" w14:textId="77777777" w:rsidTr="00546B42">
        <w:trPr>
          <w:trHeight w:val="290"/>
        </w:trPr>
        <w:tc>
          <w:tcPr>
            <w:tcW w:w="1383" w:type="dxa"/>
            <w:tcBorders>
              <w:top w:val="nil"/>
              <w:bottom w:val="nil"/>
            </w:tcBorders>
            <w:vAlign w:val="bottom"/>
          </w:tcPr>
          <w:p w14:paraId="5866B200" w14:textId="77777777" w:rsidR="00DB3FC8" w:rsidRPr="00156F5C" w:rsidRDefault="00DB3FC8" w:rsidP="00DB3FC8">
            <w:pPr>
              <w:keepNext/>
              <w:autoSpaceDE w:val="0"/>
              <w:autoSpaceDN w:val="0"/>
              <w:adjustRightInd w:val="0"/>
              <w:jc w:val="center"/>
              <w:rPr>
                <w:rFonts w:ascii="Arial Narrow" w:hAnsi="Arial Narrow" w:cs="Arial Narrow"/>
                <w:color w:val="000000"/>
                <w:sz w:val="20"/>
                <w:szCs w:val="20"/>
              </w:rPr>
            </w:pPr>
          </w:p>
        </w:tc>
        <w:tc>
          <w:tcPr>
            <w:tcW w:w="1350" w:type="dxa"/>
            <w:tcBorders>
              <w:top w:val="nil"/>
            </w:tcBorders>
            <w:vAlign w:val="bottom"/>
          </w:tcPr>
          <w:p w14:paraId="76C78D21" w14:textId="77777777" w:rsidR="00DB3FC8" w:rsidRPr="00156F5C" w:rsidRDefault="00DB3FC8" w:rsidP="00DB3FC8">
            <w:pPr>
              <w:keepNext/>
              <w:autoSpaceDE w:val="0"/>
              <w:autoSpaceDN w:val="0"/>
              <w:adjustRightInd w:val="0"/>
              <w:jc w:val="center"/>
              <w:rPr>
                <w:rFonts w:ascii="Arial Narrow" w:hAnsi="Arial Narrow"/>
                <w:color w:val="000000"/>
                <w:sz w:val="20"/>
                <w:szCs w:val="20"/>
              </w:rPr>
            </w:pPr>
          </w:p>
        </w:tc>
        <w:tc>
          <w:tcPr>
            <w:tcW w:w="1350" w:type="dxa"/>
            <w:vAlign w:val="bottom"/>
          </w:tcPr>
          <w:p w14:paraId="607E10BD" w14:textId="36A7EE8D"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4AMSN003.05</w:t>
            </w:r>
          </w:p>
        </w:tc>
        <w:tc>
          <w:tcPr>
            <w:tcW w:w="1170" w:type="dxa"/>
            <w:vAlign w:val="bottom"/>
          </w:tcPr>
          <w:p w14:paraId="5F551646" w14:textId="63776093"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2004-2005</w:t>
            </w:r>
          </w:p>
        </w:tc>
        <w:tc>
          <w:tcPr>
            <w:tcW w:w="990" w:type="dxa"/>
            <w:vAlign w:val="bottom"/>
          </w:tcPr>
          <w:p w14:paraId="5E445FAF" w14:textId="5C749903" w:rsidR="00DB3FC8" w:rsidRPr="00110B34" w:rsidRDefault="00DB3FC8" w:rsidP="00DB3FC8">
            <w:pPr>
              <w:keepNext/>
              <w:autoSpaceDE w:val="0"/>
              <w:autoSpaceDN w:val="0"/>
              <w:adjustRightInd w:val="0"/>
              <w:jc w:val="center"/>
              <w:rPr>
                <w:rFonts w:ascii="Arial Narrow" w:hAnsi="Arial Narrow"/>
                <w:color w:val="000000"/>
                <w:sz w:val="20"/>
                <w:szCs w:val="20"/>
              </w:rPr>
            </w:pPr>
            <w:r w:rsidRPr="00110B34">
              <w:rPr>
                <w:rFonts w:ascii="Arial Narrow" w:hAnsi="Arial Narrow" w:cs="Calibri"/>
                <w:color w:val="000000"/>
                <w:sz w:val="20"/>
                <w:szCs w:val="20"/>
              </w:rPr>
              <w:t>3</w:t>
            </w:r>
          </w:p>
        </w:tc>
        <w:tc>
          <w:tcPr>
            <w:tcW w:w="900" w:type="dxa"/>
            <w:shd w:val="clear" w:color="auto" w:fill="auto"/>
            <w:vAlign w:val="bottom"/>
          </w:tcPr>
          <w:p w14:paraId="001797C4" w14:textId="5EE24ED0" w:rsidR="00DB3FC8" w:rsidRPr="00110B34" w:rsidRDefault="00DB3FC8" w:rsidP="00DB3FC8">
            <w:pPr>
              <w:keepNext/>
              <w:autoSpaceDE w:val="0"/>
              <w:autoSpaceDN w:val="0"/>
              <w:adjustRightInd w:val="0"/>
              <w:jc w:val="center"/>
              <w:rPr>
                <w:rFonts w:ascii="Arial Narrow" w:hAnsi="Arial Narrow"/>
                <w:color w:val="000000"/>
                <w:sz w:val="20"/>
                <w:szCs w:val="20"/>
              </w:rPr>
            </w:pPr>
            <w:r w:rsidRPr="00110B34">
              <w:rPr>
                <w:rFonts w:ascii="Arial Narrow" w:hAnsi="Arial Narrow" w:cs="Calibri"/>
                <w:color w:val="000000"/>
                <w:sz w:val="20"/>
                <w:szCs w:val="20"/>
              </w:rPr>
              <w:t>55.4</w:t>
            </w:r>
          </w:p>
        </w:tc>
        <w:tc>
          <w:tcPr>
            <w:tcW w:w="990" w:type="dxa"/>
            <w:vAlign w:val="bottom"/>
          </w:tcPr>
          <w:p w14:paraId="32419045" w14:textId="4722BF24" w:rsidR="00DB3FC8" w:rsidRPr="001239B1" w:rsidRDefault="00DB3FC8" w:rsidP="00DB3FC8">
            <w:pPr>
              <w:keepNext/>
              <w:autoSpaceDE w:val="0"/>
              <w:autoSpaceDN w:val="0"/>
              <w:adjustRightInd w:val="0"/>
              <w:jc w:val="center"/>
              <w:rPr>
                <w:rFonts w:ascii="Arial Narrow" w:hAnsi="Arial Narrow" w:cs="Calibri"/>
                <w:color w:val="000000"/>
                <w:sz w:val="20"/>
                <w:szCs w:val="20"/>
              </w:rPr>
            </w:pPr>
            <w:r w:rsidRPr="001239B1">
              <w:rPr>
                <w:rFonts w:ascii="Arial Narrow" w:hAnsi="Arial Narrow" w:cs="Calibri"/>
                <w:color w:val="000000"/>
                <w:sz w:val="20"/>
                <w:szCs w:val="20"/>
              </w:rPr>
              <w:t>-</w:t>
            </w:r>
          </w:p>
        </w:tc>
        <w:tc>
          <w:tcPr>
            <w:tcW w:w="1260" w:type="dxa"/>
            <w:shd w:val="clear" w:color="auto" w:fill="FFCCCC"/>
            <w:vAlign w:val="bottom"/>
          </w:tcPr>
          <w:p w14:paraId="2425EFDB" w14:textId="3A824298"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Impaired</w:t>
            </w:r>
          </w:p>
        </w:tc>
      </w:tr>
      <w:tr w:rsidR="00DB3FC8" w:rsidRPr="00A233DE" w14:paraId="7C95D8D3" w14:textId="77777777" w:rsidTr="00546B42">
        <w:trPr>
          <w:trHeight w:val="290"/>
        </w:trPr>
        <w:tc>
          <w:tcPr>
            <w:tcW w:w="1383" w:type="dxa"/>
            <w:tcBorders>
              <w:top w:val="nil"/>
              <w:bottom w:val="nil"/>
            </w:tcBorders>
            <w:vAlign w:val="bottom"/>
          </w:tcPr>
          <w:p w14:paraId="3474793A" w14:textId="77777777" w:rsidR="00DB3FC8" w:rsidRPr="00156F5C" w:rsidRDefault="00DB3FC8" w:rsidP="00DB3FC8">
            <w:pPr>
              <w:keepNext/>
              <w:autoSpaceDE w:val="0"/>
              <w:autoSpaceDN w:val="0"/>
              <w:adjustRightInd w:val="0"/>
              <w:jc w:val="center"/>
              <w:rPr>
                <w:rFonts w:ascii="Arial Narrow" w:hAnsi="Arial Narrow" w:cs="Arial Narrow"/>
                <w:color w:val="000000"/>
                <w:sz w:val="20"/>
                <w:szCs w:val="20"/>
              </w:rPr>
            </w:pPr>
          </w:p>
        </w:tc>
        <w:tc>
          <w:tcPr>
            <w:tcW w:w="1350" w:type="dxa"/>
            <w:vAlign w:val="bottom"/>
          </w:tcPr>
          <w:p w14:paraId="735B75F1" w14:textId="5B1ED773"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Mason Creek UT</w:t>
            </w:r>
          </w:p>
        </w:tc>
        <w:tc>
          <w:tcPr>
            <w:tcW w:w="1350" w:type="dxa"/>
            <w:vAlign w:val="bottom"/>
          </w:tcPr>
          <w:p w14:paraId="16C89085" w14:textId="493C4B4A"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4AXNB000.60</w:t>
            </w:r>
          </w:p>
        </w:tc>
        <w:tc>
          <w:tcPr>
            <w:tcW w:w="1170" w:type="dxa"/>
            <w:vAlign w:val="bottom"/>
          </w:tcPr>
          <w:p w14:paraId="275CFC6F" w14:textId="29214108"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2006-2016</w:t>
            </w:r>
          </w:p>
        </w:tc>
        <w:tc>
          <w:tcPr>
            <w:tcW w:w="990" w:type="dxa"/>
            <w:vAlign w:val="bottom"/>
          </w:tcPr>
          <w:p w14:paraId="354CF80E" w14:textId="3E915952" w:rsidR="00DB3FC8" w:rsidRPr="00110B34" w:rsidRDefault="00DB3FC8" w:rsidP="00DB3FC8">
            <w:pPr>
              <w:keepNext/>
              <w:autoSpaceDE w:val="0"/>
              <w:autoSpaceDN w:val="0"/>
              <w:adjustRightInd w:val="0"/>
              <w:jc w:val="center"/>
              <w:rPr>
                <w:rFonts w:ascii="Arial Narrow" w:hAnsi="Arial Narrow"/>
                <w:color w:val="000000"/>
                <w:sz w:val="20"/>
                <w:szCs w:val="20"/>
              </w:rPr>
            </w:pPr>
            <w:r w:rsidRPr="00110B34">
              <w:rPr>
                <w:rFonts w:ascii="Arial Narrow" w:hAnsi="Arial Narrow" w:cs="Calibri"/>
                <w:color w:val="000000"/>
                <w:sz w:val="20"/>
                <w:szCs w:val="20"/>
              </w:rPr>
              <w:t>4</w:t>
            </w:r>
          </w:p>
        </w:tc>
        <w:tc>
          <w:tcPr>
            <w:tcW w:w="900" w:type="dxa"/>
            <w:shd w:val="clear" w:color="auto" w:fill="auto"/>
            <w:vAlign w:val="bottom"/>
          </w:tcPr>
          <w:p w14:paraId="64D500BC" w14:textId="4CBD9ACF" w:rsidR="00DB3FC8" w:rsidRPr="00110B34" w:rsidRDefault="00DB3FC8" w:rsidP="00DB3FC8">
            <w:pPr>
              <w:keepNext/>
              <w:autoSpaceDE w:val="0"/>
              <w:autoSpaceDN w:val="0"/>
              <w:adjustRightInd w:val="0"/>
              <w:jc w:val="center"/>
              <w:rPr>
                <w:rFonts w:ascii="Arial Narrow" w:hAnsi="Arial Narrow"/>
                <w:color w:val="000000"/>
                <w:sz w:val="20"/>
                <w:szCs w:val="20"/>
              </w:rPr>
            </w:pPr>
            <w:r w:rsidRPr="00110B34">
              <w:rPr>
                <w:rFonts w:ascii="Arial Narrow" w:hAnsi="Arial Narrow" w:cs="Calibri"/>
                <w:color w:val="000000"/>
                <w:sz w:val="20"/>
                <w:szCs w:val="20"/>
              </w:rPr>
              <w:t>63.7</w:t>
            </w:r>
          </w:p>
        </w:tc>
        <w:tc>
          <w:tcPr>
            <w:tcW w:w="990" w:type="dxa"/>
            <w:vAlign w:val="bottom"/>
          </w:tcPr>
          <w:p w14:paraId="2E66CE66" w14:textId="28A0026C" w:rsidR="00DB3FC8" w:rsidRPr="001239B1" w:rsidRDefault="00DB3FC8" w:rsidP="00DB3FC8">
            <w:pPr>
              <w:keepNext/>
              <w:autoSpaceDE w:val="0"/>
              <w:autoSpaceDN w:val="0"/>
              <w:adjustRightInd w:val="0"/>
              <w:jc w:val="center"/>
              <w:rPr>
                <w:rFonts w:ascii="Arial Narrow" w:hAnsi="Arial Narrow" w:cs="Calibri"/>
                <w:color w:val="000000"/>
                <w:sz w:val="20"/>
                <w:szCs w:val="20"/>
              </w:rPr>
            </w:pPr>
            <w:r w:rsidRPr="001239B1">
              <w:rPr>
                <w:rFonts w:ascii="Arial Narrow" w:hAnsi="Arial Narrow" w:cs="Calibri"/>
                <w:color w:val="000000"/>
                <w:sz w:val="20"/>
                <w:szCs w:val="20"/>
              </w:rPr>
              <w:t>74.1</w:t>
            </w:r>
          </w:p>
        </w:tc>
        <w:tc>
          <w:tcPr>
            <w:tcW w:w="1260" w:type="dxa"/>
            <w:shd w:val="clear" w:color="auto" w:fill="CCFFCC"/>
            <w:vAlign w:val="bottom"/>
          </w:tcPr>
          <w:p w14:paraId="5A8A095B" w14:textId="184872BF"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Unimpaired</w:t>
            </w:r>
          </w:p>
        </w:tc>
      </w:tr>
      <w:tr w:rsidR="00DB3FC8" w:rsidRPr="00A233DE" w14:paraId="76639760" w14:textId="77777777" w:rsidTr="00546B42">
        <w:trPr>
          <w:trHeight w:val="290"/>
        </w:trPr>
        <w:tc>
          <w:tcPr>
            <w:tcW w:w="1383" w:type="dxa"/>
            <w:tcBorders>
              <w:top w:val="nil"/>
              <w:bottom w:val="nil"/>
            </w:tcBorders>
            <w:vAlign w:val="bottom"/>
          </w:tcPr>
          <w:p w14:paraId="05D47436" w14:textId="77777777" w:rsidR="00DB3FC8" w:rsidRPr="00156F5C" w:rsidRDefault="00DB3FC8" w:rsidP="00DB3FC8">
            <w:pPr>
              <w:keepNext/>
              <w:autoSpaceDE w:val="0"/>
              <w:autoSpaceDN w:val="0"/>
              <w:adjustRightInd w:val="0"/>
              <w:jc w:val="center"/>
              <w:rPr>
                <w:rFonts w:ascii="Arial Narrow" w:hAnsi="Arial Narrow" w:cs="Arial Narrow"/>
                <w:color w:val="000000"/>
                <w:sz w:val="20"/>
                <w:szCs w:val="20"/>
              </w:rPr>
            </w:pPr>
          </w:p>
        </w:tc>
        <w:tc>
          <w:tcPr>
            <w:tcW w:w="1350" w:type="dxa"/>
            <w:vAlign w:val="bottom"/>
          </w:tcPr>
          <w:p w14:paraId="427AFB75" w14:textId="356209F9"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Murray Run</w:t>
            </w:r>
          </w:p>
        </w:tc>
        <w:tc>
          <w:tcPr>
            <w:tcW w:w="1350" w:type="dxa"/>
            <w:vAlign w:val="bottom"/>
          </w:tcPr>
          <w:p w14:paraId="030D880E" w14:textId="0D255EAA"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4AMUR001.82</w:t>
            </w:r>
          </w:p>
        </w:tc>
        <w:tc>
          <w:tcPr>
            <w:tcW w:w="1170" w:type="dxa"/>
            <w:vAlign w:val="bottom"/>
          </w:tcPr>
          <w:p w14:paraId="39293EAE" w14:textId="6DAD64FD"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2009-2010</w:t>
            </w:r>
          </w:p>
        </w:tc>
        <w:tc>
          <w:tcPr>
            <w:tcW w:w="990" w:type="dxa"/>
            <w:vAlign w:val="bottom"/>
          </w:tcPr>
          <w:p w14:paraId="7E565886" w14:textId="01C8B585" w:rsidR="00DB3FC8" w:rsidRPr="00110B34" w:rsidRDefault="00DB3FC8" w:rsidP="00DB3FC8">
            <w:pPr>
              <w:keepNext/>
              <w:autoSpaceDE w:val="0"/>
              <w:autoSpaceDN w:val="0"/>
              <w:adjustRightInd w:val="0"/>
              <w:jc w:val="center"/>
              <w:rPr>
                <w:rFonts w:ascii="Arial Narrow" w:hAnsi="Arial Narrow"/>
                <w:color w:val="000000"/>
                <w:sz w:val="20"/>
                <w:szCs w:val="20"/>
              </w:rPr>
            </w:pPr>
            <w:r w:rsidRPr="00110B34">
              <w:rPr>
                <w:rFonts w:ascii="Arial Narrow" w:hAnsi="Arial Narrow" w:cs="Calibri"/>
                <w:color w:val="000000"/>
                <w:sz w:val="20"/>
                <w:szCs w:val="20"/>
              </w:rPr>
              <w:t>3</w:t>
            </w:r>
          </w:p>
        </w:tc>
        <w:tc>
          <w:tcPr>
            <w:tcW w:w="900" w:type="dxa"/>
            <w:shd w:val="clear" w:color="auto" w:fill="auto"/>
            <w:vAlign w:val="bottom"/>
          </w:tcPr>
          <w:p w14:paraId="518F102E" w14:textId="1D1B9027" w:rsidR="00DB3FC8" w:rsidRPr="00110B34" w:rsidRDefault="00DB3FC8" w:rsidP="00DB3FC8">
            <w:pPr>
              <w:keepNext/>
              <w:autoSpaceDE w:val="0"/>
              <w:autoSpaceDN w:val="0"/>
              <w:adjustRightInd w:val="0"/>
              <w:jc w:val="center"/>
              <w:rPr>
                <w:rFonts w:ascii="Arial Narrow" w:hAnsi="Arial Narrow"/>
                <w:color w:val="000000"/>
                <w:sz w:val="20"/>
                <w:szCs w:val="20"/>
              </w:rPr>
            </w:pPr>
            <w:r w:rsidRPr="00110B34">
              <w:rPr>
                <w:rFonts w:ascii="Arial Narrow" w:hAnsi="Arial Narrow" w:cs="Calibri"/>
                <w:color w:val="000000"/>
                <w:sz w:val="20"/>
                <w:szCs w:val="20"/>
              </w:rPr>
              <w:t>19.4</w:t>
            </w:r>
          </w:p>
        </w:tc>
        <w:tc>
          <w:tcPr>
            <w:tcW w:w="990" w:type="dxa"/>
            <w:vAlign w:val="bottom"/>
          </w:tcPr>
          <w:p w14:paraId="242DC9D0" w14:textId="48F0C2DE" w:rsidR="00DB3FC8" w:rsidRPr="001239B1" w:rsidRDefault="00DB3FC8" w:rsidP="00DB3FC8">
            <w:pPr>
              <w:keepNext/>
              <w:autoSpaceDE w:val="0"/>
              <w:autoSpaceDN w:val="0"/>
              <w:adjustRightInd w:val="0"/>
              <w:jc w:val="center"/>
              <w:rPr>
                <w:rFonts w:ascii="Arial Narrow" w:hAnsi="Arial Narrow" w:cs="Calibri"/>
                <w:color w:val="000000"/>
                <w:sz w:val="20"/>
                <w:szCs w:val="20"/>
              </w:rPr>
            </w:pPr>
            <w:r w:rsidRPr="001239B1">
              <w:rPr>
                <w:rFonts w:ascii="Arial Narrow" w:hAnsi="Arial Narrow" w:cs="Calibri"/>
                <w:color w:val="000000"/>
                <w:sz w:val="20"/>
                <w:szCs w:val="20"/>
              </w:rPr>
              <w:t>-</w:t>
            </w:r>
          </w:p>
        </w:tc>
        <w:tc>
          <w:tcPr>
            <w:tcW w:w="1260" w:type="dxa"/>
            <w:shd w:val="clear" w:color="auto" w:fill="FFCCCC"/>
            <w:vAlign w:val="bottom"/>
          </w:tcPr>
          <w:p w14:paraId="786C8628" w14:textId="3908DDB2"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Impaired</w:t>
            </w:r>
          </w:p>
        </w:tc>
      </w:tr>
      <w:tr w:rsidR="00DB3FC8" w:rsidRPr="00A233DE" w14:paraId="7D51994E" w14:textId="77777777" w:rsidTr="00546B42">
        <w:trPr>
          <w:trHeight w:val="290"/>
        </w:trPr>
        <w:tc>
          <w:tcPr>
            <w:tcW w:w="1383" w:type="dxa"/>
            <w:tcBorders>
              <w:top w:val="nil"/>
              <w:bottom w:val="nil"/>
            </w:tcBorders>
            <w:vAlign w:val="bottom"/>
          </w:tcPr>
          <w:p w14:paraId="3F9D4C47" w14:textId="77777777" w:rsidR="00DB3FC8" w:rsidRPr="00156F5C" w:rsidRDefault="00DB3FC8" w:rsidP="00DB3FC8">
            <w:pPr>
              <w:keepNext/>
              <w:autoSpaceDE w:val="0"/>
              <w:autoSpaceDN w:val="0"/>
              <w:adjustRightInd w:val="0"/>
              <w:jc w:val="center"/>
              <w:rPr>
                <w:rFonts w:ascii="Arial Narrow" w:hAnsi="Arial Narrow" w:cs="Arial Narrow"/>
                <w:color w:val="000000"/>
                <w:sz w:val="20"/>
                <w:szCs w:val="20"/>
              </w:rPr>
            </w:pPr>
          </w:p>
        </w:tc>
        <w:tc>
          <w:tcPr>
            <w:tcW w:w="1350" w:type="dxa"/>
            <w:vAlign w:val="bottom"/>
          </w:tcPr>
          <w:p w14:paraId="10842194" w14:textId="1E003307"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Ore Branch</w:t>
            </w:r>
          </w:p>
        </w:tc>
        <w:tc>
          <w:tcPr>
            <w:tcW w:w="1350" w:type="dxa"/>
            <w:vAlign w:val="bottom"/>
          </w:tcPr>
          <w:p w14:paraId="3808DFD1" w14:textId="08B25496"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4AORE000.01</w:t>
            </w:r>
          </w:p>
        </w:tc>
        <w:tc>
          <w:tcPr>
            <w:tcW w:w="1170" w:type="dxa"/>
            <w:vAlign w:val="bottom"/>
          </w:tcPr>
          <w:p w14:paraId="477F1F7B" w14:textId="3C63A515"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2011</w:t>
            </w:r>
          </w:p>
        </w:tc>
        <w:tc>
          <w:tcPr>
            <w:tcW w:w="990" w:type="dxa"/>
            <w:vAlign w:val="bottom"/>
          </w:tcPr>
          <w:p w14:paraId="72E78141" w14:textId="6CB59C55" w:rsidR="00DB3FC8" w:rsidRPr="00110B34" w:rsidRDefault="00DB3FC8" w:rsidP="00DB3FC8">
            <w:pPr>
              <w:keepNext/>
              <w:autoSpaceDE w:val="0"/>
              <w:autoSpaceDN w:val="0"/>
              <w:adjustRightInd w:val="0"/>
              <w:jc w:val="center"/>
              <w:rPr>
                <w:rFonts w:ascii="Arial Narrow" w:hAnsi="Arial Narrow"/>
                <w:color w:val="000000"/>
                <w:sz w:val="20"/>
                <w:szCs w:val="20"/>
              </w:rPr>
            </w:pPr>
            <w:r w:rsidRPr="00110B34">
              <w:rPr>
                <w:rFonts w:ascii="Arial Narrow" w:hAnsi="Arial Narrow" w:cs="Calibri"/>
                <w:color w:val="000000"/>
                <w:sz w:val="20"/>
                <w:szCs w:val="20"/>
              </w:rPr>
              <w:t>2</w:t>
            </w:r>
          </w:p>
        </w:tc>
        <w:tc>
          <w:tcPr>
            <w:tcW w:w="900" w:type="dxa"/>
            <w:shd w:val="clear" w:color="auto" w:fill="auto"/>
            <w:vAlign w:val="bottom"/>
          </w:tcPr>
          <w:p w14:paraId="36569712" w14:textId="5A23E4D0" w:rsidR="00DB3FC8" w:rsidRPr="00110B34" w:rsidRDefault="00DB3FC8" w:rsidP="00DB3FC8">
            <w:pPr>
              <w:keepNext/>
              <w:autoSpaceDE w:val="0"/>
              <w:autoSpaceDN w:val="0"/>
              <w:adjustRightInd w:val="0"/>
              <w:jc w:val="center"/>
              <w:rPr>
                <w:rFonts w:ascii="Arial Narrow" w:hAnsi="Arial Narrow"/>
                <w:color w:val="000000"/>
                <w:sz w:val="20"/>
                <w:szCs w:val="20"/>
              </w:rPr>
            </w:pPr>
            <w:r w:rsidRPr="00110B34">
              <w:rPr>
                <w:rFonts w:ascii="Arial Narrow" w:hAnsi="Arial Narrow" w:cs="Calibri"/>
                <w:color w:val="000000"/>
                <w:sz w:val="20"/>
                <w:szCs w:val="20"/>
              </w:rPr>
              <w:t>23.3</w:t>
            </w:r>
          </w:p>
        </w:tc>
        <w:tc>
          <w:tcPr>
            <w:tcW w:w="990" w:type="dxa"/>
            <w:vAlign w:val="bottom"/>
          </w:tcPr>
          <w:p w14:paraId="29564678" w14:textId="15F2C0F2" w:rsidR="00DB3FC8" w:rsidRPr="001239B1" w:rsidRDefault="00DB3FC8" w:rsidP="00DB3FC8">
            <w:pPr>
              <w:keepNext/>
              <w:autoSpaceDE w:val="0"/>
              <w:autoSpaceDN w:val="0"/>
              <w:adjustRightInd w:val="0"/>
              <w:jc w:val="center"/>
              <w:rPr>
                <w:rFonts w:ascii="Arial Narrow" w:hAnsi="Arial Narrow" w:cs="Calibri"/>
                <w:color w:val="000000"/>
                <w:sz w:val="20"/>
                <w:szCs w:val="20"/>
              </w:rPr>
            </w:pPr>
            <w:r w:rsidRPr="001239B1">
              <w:rPr>
                <w:rFonts w:ascii="Arial Narrow" w:hAnsi="Arial Narrow" w:cs="Calibri"/>
                <w:color w:val="000000"/>
                <w:sz w:val="20"/>
                <w:szCs w:val="20"/>
              </w:rPr>
              <w:t>-</w:t>
            </w:r>
          </w:p>
        </w:tc>
        <w:tc>
          <w:tcPr>
            <w:tcW w:w="1260" w:type="dxa"/>
            <w:shd w:val="clear" w:color="auto" w:fill="FFCCCC"/>
            <w:vAlign w:val="bottom"/>
          </w:tcPr>
          <w:p w14:paraId="32EE5C24" w14:textId="0BA3E35E"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Impaired</w:t>
            </w:r>
          </w:p>
        </w:tc>
      </w:tr>
      <w:tr w:rsidR="00DB3FC8" w:rsidRPr="00A233DE" w14:paraId="3A71D494" w14:textId="77777777" w:rsidTr="00546B42">
        <w:trPr>
          <w:trHeight w:val="290"/>
        </w:trPr>
        <w:tc>
          <w:tcPr>
            <w:tcW w:w="1383" w:type="dxa"/>
            <w:tcBorders>
              <w:top w:val="nil"/>
            </w:tcBorders>
            <w:vAlign w:val="bottom"/>
          </w:tcPr>
          <w:p w14:paraId="16B111FA" w14:textId="77777777" w:rsidR="00DB3FC8" w:rsidRPr="00156F5C" w:rsidRDefault="00DB3FC8" w:rsidP="00DB3FC8">
            <w:pPr>
              <w:keepNext/>
              <w:autoSpaceDE w:val="0"/>
              <w:autoSpaceDN w:val="0"/>
              <w:adjustRightInd w:val="0"/>
              <w:jc w:val="center"/>
              <w:rPr>
                <w:rFonts w:ascii="Arial Narrow" w:hAnsi="Arial Narrow" w:cs="Arial Narrow"/>
                <w:color w:val="000000"/>
                <w:sz w:val="20"/>
                <w:szCs w:val="20"/>
              </w:rPr>
            </w:pPr>
          </w:p>
        </w:tc>
        <w:tc>
          <w:tcPr>
            <w:tcW w:w="1350" w:type="dxa"/>
            <w:vAlign w:val="bottom"/>
          </w:tcPr>
          <w:p w14:paraId="220B7233" w14:textId="1142AEB4"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Peters Creek</w:t>
            </w:r>
          </w:p>
        </w:tc>
        <w:tc>
          <w:tcPr>
            <w:tcW w:w="1350" w:type="dxa"/>
            <w:vAlign w:val="bottom"/>
          </w:tcPr>
          <w:p w14:paraId="2C28C1DB" w14:textId="4634E3C4"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4APEE001.16</w:t>
            </w:r>
          </w:p>
        </w:tc>
        <w:tc>
          <w:tcPr>
            <w:tcW w:w="1170" w:type="dxa"/>
            <w:vAlign w:val="bottom"/>
          </w:tcPr>
          <w:p w14:paraId="32A1B24B" w14:textId="7612AEC4"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2013</w:t>
            </w:r>
          </w:p>
        </w:tc>
        <w:tc>
          <w:tcPr>
            <w:tcW w:w="990" w:type="dxa"/>
            <w:vAlign w:val="bottom"/>
          </w:tcPr>
          <w:p w14:paraId="0041C8E2" w14:textId="1654F64C" w:rsidR="00DB3FC8" w:rsidRPr="00110B34" w:rsidRDefault="00DB3FC8" w:rsidP="00DB3FC8">
            <w:pPr>
              <w:keepNext/>
              <w:autoSpaceDE w:val="0"/>
              <w:autoSpaceDN w:val="0"/>
              <w:adjustRightInd w:val="0"/>
              <w:jc w:val="center"/>
              <w:rPr>
                <w:rFonts w:ascii="Arial Narrow" w:hAnsi="Arial Narrow"/>
                <w:color w:val="000000"/>
                <w:sz w:val="20"/>
                <w:szCs w:val="20"/>
              </w:rPr>
            </w:pPr>
            <w:r w:rsidRPr="00110B34">
              <w:rPr>
                <w:rFonts w:ascii="Arial Narrow" w:hAnsi="Arial Narrow" w:cs="Calibri"/>
                <w:color w:val="000000"/>
                <w:sz w:val="20"/>
                <w:szCs w:val="20"/>
              </w:rPr>
              <w:t>2</w:t>
            </w:r>
          </w:p>
        </w:tc>
        <w:tc>
          <w:tcPr>
            <w:tcW w:w="900" w:type="dxa"/>
            <w:shd w:val="clear" w:color="auto" w:fill="auto"/>
            <w:vAlign w:val="bottom"/>
          </w:tcPr>
          <w:p w14:paraId="76C42D36" w14:textId="6614C22C" w:rsidR="00DB3FC8" w:rsidRPr="00110B34" w:rsidRDefault="00DB3FC8" w:rsidP="00DB3FC8">
            <w:pPr>
              <w:keepNext/>
              <w:autoSpaceDE w:val="0"/>
              <w:autoSpaceDN w:val="0"/>
              <w:adjustRightInd w:val="0"/>
              <w:jc w:val="center"/>
              <w:rPr>
                <w:rFonts w:ascii="Arial Narrow" w:hAnsi="Arial Narrow"/>
                <w:color w:val="000000"/>
                <w:sz w:val="20"/>
                <w:szCs w:val="20"/>
              </w:rPr>
            </w:pPr>
            <w:r w:rsidRPr="00110B34">
              <w:rPr>
                <w:rFonts w:ascii="Arial Narrow" w:hAnsi="Arial Narrow" w:cs="Calibri"/>
                <w:color w:val="000000"/>
                <w:sz w:val="20"/>
                <w:szCs w:val="20"/>
              </w:rPr>
              <w:t>26.9</w:t>
            </w:r>
          </w:p>
        </w:tc>
        <w:tc>
          <w:tcPr>
            <w:tcW w:w="990" w:type="dxa"/>
            <w:vAlign w:val="bottom"/>
          </w:tcPr>
          <w:p w14:paraId="6917ADF8" w14:textId="7712E487" w:rsidR="00DB3FC8" w:rsidRPr="001239B1" w:rsidRDefault="00DB3FC8" w:rsidP="00DB3FC8">
            <w:pPr>
              <w:keepNext/>
              <w:autoSpaceDE w:val="0"/>
              <w:autoSpaceDN w:val="0"/>
              <w:adjustRightInd w:val="0"/>
              <w:jc w:val="center"/>
              <w:rPr>
                <w:rFonts w:ascii="Arial Narrow" w:hAnsi="Arial Narrow" w:cs="Calibri"/>
                <w:color w:val="000000"/>
                <w:sz w:val="20"/>
                <w:szCs w:val="20"/>
              </w:rPr>
            </w:pPr>
            <w:r w:rsidRPr="001239B1">
              <w:rPr>
                <w:rFonts w:ascii="Arial Narrow" w:hAnsi="Arial Narrow" w:cs="Calibri"/>
                <w:color w:val="000000"/>
                <w:sz w:val="20"/>
                <w:szCs w:val="20"/>
              </w:rPr>
              <w:t>-</w:t>
            </w:r>
          </w:p>
        </w:tc>
        <w:tc>
          <w:tcPr>
            <w:tcW w:w="1260" w:type="dxa"/>
            <w:shd w:val="clear" w:color="auto" w:fill="FFCCCC"/>
            <w:vAlign w:val="bottom"/>
          </w:tcPr>
          <w:p w14:paraId="5F0769C7" w14:textId="6DDA41B5" w:rsidR="00DB3FC8" w:rsidRPr="00156F5C" w:rsidRDefault="00DB3FC8" w:rsidP="00DB3FC8">
            <w:pPr>
              <w:keepNext/>
              <w:autoSpaceDE w:val="0"/>
              <w:autoSpaceDN w:val="0"/>
              <w:adjustRightInd w:val="0"/>
              <w:jc w:val="center"/>
              <w:rPr>
                <w:rFonts w:ascii="Arial Narrow" w:hAnsi="Arial Narrow"/>
                <w:color w:val="000000"/>
                <w:sz w:val="20"/>
                <w:szCs w:val="20"/>
              </w:rPr>
            </w:pPr>
            <w:r w:rsidRPr="00156F5C">
              <w:rPr>
                <w:rFonts w:ascii="Arial Narrow" w:hAnsi="Arial Narrow" w:cs="Calibri"/>
                <w:color w:val="000000"/>
                <w:sz w:val="20"/>
                <w:szCs w:val="20"/>
              </w:rPr>
              <w:t>Impaired</w:t>
            </w:r>
          </w:p>
        </w:tc>
      </w:tr>
    </w:tbl>
    <w:p w14:paraId="017697BF" w14:textId="59E46F06" w:rsidR="008637D3" w:rsidRPr="001239B1" w:rsidRDefault="001239B1" w:rsidP="001239B1">
      <w:pPr>
        <w:spacing w:line="240" w:lineRule="auto"/>
        <w:rPr>
          <w:rFonts w:ascii="Arial Narrow" w:hAnsi="Arial Narrow"/>
          <w:sz w:val="20"/>
          <w:szCs w:val="20"/>
        </w:rPr>
      </w:pPr>
      <w:r w:rsidRPr="001239B1">
        <w:rPr>
          <w:rFonts w:ascii="Arial Narrow" w:hAnsi="Arial Narrow"/>
          <w:sz w:val="20"/>
          <w:szCs w:val="20"/>
          <w:vertAlign w:val="superscript"/>
        </w:rPr>
        <w:t>1</w:t>
      </w:r>
      <w:r w:rsidRPr="001239B1">
        <w:rPr>
          <w:rFonts w:ascii="Arial Narrow" w:hAnsi="Arial Narrow"/>
          <w:sz w:val="20"/>
          <w:szCs w:val="20"/>
        </w:rPr>
        <w:t xml:space="preserve"> Average of all available SCI scores from 2000-2022.</w:t>
      </w:r>
    </w:p>
    <w:p w14:paraId="2B8419EA" w14:textId="1E18E081" w:rsidR="001239B1" w:rsidRPr="001239B1" w:rsidRDefault="001239B1" w:rsidP="001239B1">
      <w:pPr>
        <w:spacing w:line="240" w:lineRule="auto"/>
        <w:rPr>
          <w:rFonts w:ascii="Arial Narrow" w:hAnsi="Arial Narrow"/>
          <w:sz w:val="20"/>
          <w:szCs w:val="20"/>
        </w:rPr>
      </w:pPr>
      <w:r w:rsidRPr="001239B1">
        <w:rPr>
          <w:rFonts w:ascii="Arial Narrow" w:hAnsi="Arial Narrow"/>
          <w:sz w:val="20"/>
          <w:szCs w:val="20"/>
          <w:vertAlign w:val="superscript"/>
        </w:rPr>
        <w:t>2</w:t>
      </w:r>
      <w:r w:rsidRPr="001239B1">
        <w:rPr>
          <w:rFonts w:ascii="Arial Narrow" w:hAnsi="Arial Narrow"/>
          <w:sz w:val="20"/>
          <w:szCs w:val="20"/>
        </w:rPr>
        <w:t xml:space="preserve"> Average of SCI scores included in or newer than the most recent 2022 water quality assessment.</w:t>
      </w:r>
    </w:p>
    <w:p w14:paraId="24AC8FED" w14:textId="77777777" w:rsidR="008637D3" w:rsidRPr="007A0C83" w:rsidRDefault="008637D3" w:rsidP="00C80905">
      <w:pPr>
        <w:spacing w:before="120" w:after="120" w:line="360" w:lineRule="auto"/>
        <w:rPr>
          <w:highlight w:val="yellow"/>
        </w:rPr>
      </w:pPr>
    </w:p>
    <w:p w14:paraId="3D613E00" w14:textId="2728C6F1" w:rsidR="00C80905" w:rsidRPr="007A0C83" w:rsidRDefault="0096117B" w:rsidP="00C80905">
      <w:pPr>
        <w:keepNext/>
        <w:spacing w:before="120" w:after="120" w:line="360" w:lineRule="auto"/>
        <w:rPr>
          <w:highlight w:val="yellow"/>
        </w:rPr>
      </w:pPr>
      <w:r>
        <w:rPr>
          <w:noProof/>
        </w:rPr>
        <w:drawing>
          <wp:inline distT="0" distB="0" distL="0" distR="0" wp14:anchorId="6264C445" wp14:editId="29472B48">
            <wp:extent cx="5943600" cy="4572000"/>
            <wp:effectExtent l="0" t="0" r="0" b="0"/>
            <wp:docPr id="17" name="Picture 17" descr="Benthic scores at monitoring stations within the Roanoke River Projec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oanoke Benthics.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4572000"/>
                    </a:xfrm>
                    <a:prstGeom prst="rect">
                      <a:avLst/>
                    </a:prstGeom>
                  </pic:spPr>
                </pic:pic>
              </a:graphicData>
            </a:graphic>
          </wp:inline>
        </w:drawing>
      </w:r>
    </w:p>
    <w:p w14:paraId="5C5C5716" w14:textId="3E0468CC" w:rsidR="00C80905" w:rsidRPr="00D50947" w:rsidRDefault="00C80905" w:rsidP="00C80905">
      <w:pPr>
        <w:pStyle w:val="Caption"/>
      </w:pPr>
      <w:bookmarkStart w:id="32" w:name="_Ref42674672"/>
      <w:bookmarkStart w:id="33" w:name="_Toc162948222"/>
      <w:r w:rsidRPr="00D50947">
        <w:t xml:space="preserve">Figure </w:t>
      </w:r>
      <w:r w:rsidR="004B5B59" w:rsidRPr="00D50947">
        <w:rPr>
          <w:noProof/>
        </w:rPr>
        <w:fldChar w:fldCharType="begin"/>
      </w:r>
      <w:r w:rsidR="004B5B59" w:rsidRPr="00D50947">
        <w:rPr>
          <w:noProof/>
        </w:rPr>
        <w:instrText xml:space="preserve"> SEQ Figure \* ARABIC </w:instrText>
      </w:r>
      <w:r w:rsidR="004B5B59" w:rsidRPr="00D50947">
        <w:rPr>
          <w:noProof/>
        </w:rPr>
        <w:fldChar w:fldCharType="separate"/>
      </w:r>
      <w:r w:rsidR="004A78BF">
        <w:rPr>
          <w:noProof/>
        </w:rPr>
        <w:t>4</w:t>
      </w:r>
      <w:r w:rsidR="004B5B59" w:rsidRPr="00D50947">
        <w:rPr>
          <w:noProof/>
        </w:rPr>
        <w:fldChar w:fldCharType="end"/>
      </w:r>
      <w:bookmarkEnd w:id="32"/>
      <w:r w:rsidRPr="00D50947">
        <w:t xml:space="preserve">. Benthic scores </w:t>
      </w:r>
      <w:r w:rsidR="00485418" w:rsidRPr="00D50947">
        <w:t xml:space="preserve">at monitoring stations within the </w:t>
      </w:r>
      <w:r w:rsidR="00524DE2">
        <w:t>Roanoke River</w:t>
      </w:r>
      <w:r w:rsidRPr="00D50947">
        <w:t xml:space="preserve"> Project </w:t>
      </w:r>
      <w:r w:rsidR="00485418" w:rsidRPr="00D50947">
        <w:t>area</w:t>
      </w:r>
      <w:r w:rsidRPr="00D50947">
        <w:t>.</w:t>
      </w:r>
      <w:bookmarkEnd w:id="33"/>
    </w:p>
    <w:p w14:paraId="1546337A" w14:textId="5EA9514B" w:rsidR="00C80905" w:rsidRDefault="00C80905" w:rsidP="00C80905">
      <w:pPr>
        <w:spacing w:before="120" w:after="120" w:line="360" w:lineRule="auto"/>
        <w:rPr>
          <w:highlight w:val="yellow"/>
        </w:rPr>
      </w:pPr>
    </w:p>
    <w:p w14:paraId="2406712E" w14:textId="11A9FB77" w:rsidR="007945FD" w:rsidRDefault="00F159AC" w:rsidP="007945FD">
      <w:pPr>
        <w:keepNext/>
        <w:spacing w:before="120" w:after="120" w:line="360" w:lineRule="auto"/>
      </w:pPr>
      <w:r>
        <w:rPr>
          <w:noProof/>
        </w:rPr>
        <w:drawing>
          <wp:inline distT="0" distB="0" distL="0" distR="0" wp14:anchorId="44D9603F" wp14:editId="083A1421">
            <wp:extent cx="4564380" cy="5692140"/>
            <wp:effectExtent l="0" t="0" r="7620" b="3810"/>
            <wp:docPr id="31" name="Picture 31" descr="Benthic SCI scores along the length of Tinker Creek and the Roanoke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64380" cy="5692140"/>
                    </a:xfrm>
                    <a:prstGeom prst="rect">
                      <a:avLst/>
                    </a:prstGeom>
                    <a:noFill/>
                  </pic:spPr>
                </pic:pic>
              </a:graphicData>
            </a:graphic>
          </wp:inline>
        </w:drawing>
      </w:r>
    </w:p>
    <w:p w14:paraId="20A0A641" w14:textId="6E1A7DDF" w:rsidR="00EB77FF" w:rsidRPr="007945FD" w:rsidRDefault="007945FD" w:rsidP="007945FD">
      <w:pPr>
        <w:pStyle w:val="Caption"/>
      </w:pPr>
      <w:bookmarkStart w:id="34" w:name="_Ref135723681"/>
      <w:bookmarkStart w:id="35" w:name="_Toc162948223"/>
      <w:r>
        <w:t xml:space="preserve">Figure </w:t>
      </w:r>
      <w:r w:rsidR="00B343D4">
        <w:rPr>
          <w:noProof/>
        </w:rPr>
        <w:fldChar w:fldCharType="begin"/>
      </w:r>
      <w:r w:rsidR="00B343D4">
        <w:rPr>
          <w:noProof/>
        </w:rPr>
        <w:instrText xml:space="preserve"> SEQ Figure \* ARABIC </w:instrText>
      </w:r>
      <w:r w:rsidR="00B343D4">
        <w:rPr>
          <w:noProof/>
        </w:rPr>
        <w:fldChar w:fldCharType="separate"/>
      </w:r>
      <w:r w:rsidR="004A78BF">
        <w:rPr>
          <w:noProof/>
        </w:rPr>
        <w:t>5</w:t>
      </w:r>
      <w:r w:rsidR="00B343D4">
        <w:rPr>
          <w:noProof/>
        </w:rPr>
        <w:fldChar w:fldCharType="end"/>
      </w:r>
      <w:bookmarkEnd w:id="34"/>
      <w:r>
        <w:t>. Benthic SCI scores along the length of Tinker Creek and the Roanoke River.</w:t>
      </w:r>
      <w:bookmarkEnd w:id="35"/>
    </w:p>
    <w:p w14:paraId="0C3847DD" w14:textId="77777777" w:rsidR="009A7F84" w:rsidRPr="007945FD" w:rsidRDefault="009A7F84" w:rsidP="00F35736">
      <w:pPr>
        <w:spacing w:line="240" w:lineRule="auto"/>
      </w:pPr>
    </w:p>
    <w:p w14:paraId="6C71C5EB" w14:textId="1B79D418" w:rsidR="00011027" w:rsidRPr="002F372A" w:rsidRDefault="004D686B" w:rsidP="008F08A3">
      <w:pPr>
        <w:pStyle w:val="Heading3"/>
      </w:pPr>
      <w:bookmarkStart w:id="36" w:name="_Toc162948155"/>
      <w:r w:rsidRPr="002F372A">
        <w:t xml:space="preserve">Temporal </w:t>
      </w:r>
      <w:r w:rsidR="00B10A07" w:rsidRPr="002F372A">
        <w:t xml:space="preserve">and Seasonal </w:t>
      </w:r>
      <w:r w:rsidRPr="002F372A">
        <w:t>Trends in Benthic Data</w:t>
      </w:r>
      <w:bookmarkEnd w:id="36"/>
    </w:p>
    <w:p w14:paraId="79019C42" w14:textId="3CC9AA98" w:rsidR="00D3546A" w:rsidRPr="002F372A" w:rsidRDefault="00526C74" w:rsidP="00D3546A">
      <w:pPr>
        <w:pStyle w:val="BlockText"/>
      </w:pPr>
      <w:r w:rsidRPr="002F372A">
        <w:fldChar w:fldCharType="begin"/>
      </w:r>
      <w:r w:rsidRPr="002F372A">
        <w:instrText xml:space="preserve"> REF _Ref42863162 </w:instrText>
      </w:r>
      <w:r w:rsidR="00867C44" w:rsidRPr="002F372A">
        <w:instrText xml:space="preserve"> \* MERGEFORMAT </w:instrText>
      </w:r>
      <w:r w:rsidRPr="002F372A">
        <w:fldChar w:fldCharType="separate"/>
      </w:r>
      <w:r w:rsidR="004A78BF" w:rsidRPr="002F372A">
        <w:t xml:space="preserve">Figure </w:t>
      </w:r>
      <w:r w:rsidR="004A78BF">
        <w:rPr>
          <w:noProof/>
        </w:rPr>
        <w:t>6</w:t>
      </w:r>
      <w:r w:rsidRPr="002F372A">
        <w:rPr>
          <w:noProof/>
        </w:rPr>
        <w:fldChar w:fldCharType="end"/>
      </w:r>
      <w:r w:rsidR="00D3546A" w:rsidRPr="002F372A">
        <w:t xml:space="preserve"> </w:t>
      </w:r>
      <w:r w:rsidR="00D20DB6" w:rsidRPr="002F372A">
        <w:t xml:space="preserve">shows the temporal trends in benthic data from </w:t>
      </w:r>
      <w:r w:rsidR="0033479A">
        <w:t>Roanoke River Project</w:t>
      </w:r>
      <w:r w:rsidR="00530BA2">
        <w:t xml:space="preserve"> streams</w:t>
      </w:r>
      <w:r w:rsidR="00C62D9D" w:rsidRPr="002F372A">
        <w:t>,</w:t>
      </w:r>
      <w:r w:rsidR="00D20DB6" w:rsidRPr="002F372A">
        <w:t xml:space="preserve"> and </w:t>
      </w:r>
      <w:r w:rsidRPr="002F372A">
        <w:fldChar w:fldCharType="begin"/>
      </w:r>
      <w:r w:rsidRPr="002F372A">
        <w:instrText xml:space="preserve"> REF _Ref42863167 </w:instrText>
      </w:r>
      <w:r w:rsidR="00867C44" w:rsidRPr="002F372A">
        <w:instrText xml:space="preserve"> \* MERGEFORMAT </w:instrText>
      </w:r>
      <w:r w:rsidRPr="002F372A">
        <w:fldChar w:fldCharType="separate"/>
      </w:r>
      <w:r w:rsidR="004A78BF" w:rsidRPr="002F372A">
        <w:t xml:space="preserve">Figure </w:t>
      </w:r>
      <w:r w:rsidR="004A78BF">
        <w:rPr>
          <w:noProof/>
        </w:rPr>
        <w:t>7</w:t>
      </w:r>
      <w:r w:rsidRPr="002F372A">
        <w:rPr>
          <w:noProof/>
        </w:rPr>
        <w:fldChar w:fldCharType="end"/>
      </w:r>
      <w:r w:rsidR="00D3546A" w:rsidRPr="002F372A">
        <w:t xml:space="preserve"> show</w:t>
      </w:r>
      <w:r w:rsidR="00D20DB6" w:rsidRPr="002F372A">
        <w:t>s</w:t>
      </w:r>
      <w:r w:rsidR="00D3546A" w:rsidRPr="002F372A">
        <w:t xml:space="preserve"> the </w:t>
      </w:r>
      <w:r w:rsidR="00A825D2" w:rsidRPr="002F372A">
        <w:t xml:space="preserve">seasonal </w:t>
      </w:r>
      <w:r w:rsidR="00D3546A" w:rsidRPr="002F372A">
        <w:t>trends</w:t>
      </w:r>
      <w:r w:rsidR="002F372A">
        <w:t xml:space="preserve">. </w:t>
      </w:r>
      <w:r w:rsidR="00D20DB6" w:rsidRPr="002F372A">
        <w:t xml:space="preserve"> </w:t>
      </w:r>
      <w:r w:rsidR="00820E4F" w:rsidRPr="002F372A">
        <w:t xml:space="preserve"> </w:t>
      </w:r>
    </w:p>
    <w:p w14:paraId="4DD4864A" w14:textId="332B666F" w:rsidR="002069D5" w:rsidRPr="002F372A" w:rsidRDefault="0033479A" w:rsidP="004F6A77">
      <w:pPr>
        <w:pStyle w:val="BlockText"/>
        <w:numPr>
          <w:ilvl w:val="0"/>
          <w:numId w:val="4"/>
        </w:numPr>
      </w:pPr>
      <w:r>
        <w:rPr>
          <w:u w:val="single"/>
        </w:rPr>
        <w:t>Wolf</w:t>
      </w:r>
      <w:r w:rsidR="002F372A">
        <w:rPr>
          <w:u w:val="single"/>
        </w:rPr>
        <w:t xml:space="preserve"> </w:t>
      </w:r>
      <w:r w:rsidR="00820E4F" w:rsidRPr="002F372A">
        <w:rPr>
          <w:u w:val="single"/>
        </w:rPr>
        <w:t>Creek</w:t>
      </w:r>
      <w:r w:rsidR="00D3546A" w:rsidRPr="002F372A">
        <w:t xml:space="preserve"> – In </w:t>
      </w:r>
      <w:r>
        <w:t>Wolf</w:t>
      </w:r>
      <w:r w:rsidR="002F372A">
        <w:t xml:space="preserve"> Creek</w:t>
      </w:r>
      <w:r w:rsidR="00D3546A" w:rsidRPr="002F372A">
        <w:t xml:space="preserve">, SCI scores averaged </w:t>
      </w:r>
      <w:r>
        <w:t>47.3</w:t>
      </w:r>
      <w:r w:rsidR="00D3546A" w:rsidRPr="002F372A">
        <w:t xml:space="preserve"> and ranged from </w:t>
      </w:r>
      <w:r>
        <w:t>33.9</w:t>
      </w:r>
      <w:r w:rsidR="00D3546A" w:rsidRPr="002F372A">
        <w:t xml:space="preserve"> to </w:t>
      </w:r>
      <w:r w:rsidR="00011E92">
        <w:t>6</w:t>
      </w:r>
      <w:r w:rsidR="002F372A">
        <w:t>4.</w:t>
      </w:r>
      <w:r w:rsidR="00011E92">
        <w:t>2</w:t>
      </w:r>
      <w:r w:rsidR="00D20DB6" w:rsidRPr="002F372A">
        <w:t xml:space="preserve">, indicating a </w:t>
      </w:r>
      <w:r w:rsidR="00011E92">
        <w:t xml:space="preserve">moderate to </w:t>
      </w:r>
      <w:r w:rsidR="00D20DB6" w:rsidRPr="002F372A">
        <w:t>slight impairment</w:t>
      </w:r>
      <w:r w:rsidR="00D3546A" w:rsidRPr="002F372A">
        <w:t xml:space="preserve">. </w:t>
      </w:r>
      <w:r w:rsidR="00011E92">
        <w:t>There was no discern</w:t>
      </w:r>
      <w:r w:rsidR="005C29B3">
        <w:t>i</w:t>
      </w:r>
      <w:r w:rsidR="00011E92">
        <w:t>ble trend in benthic scores over time, however, there was a significant seasonal trend in Wolf Creek benthic scores. Spring SCI scores</w:t>
      </w:r>
      <w:r w:rsidR="0025710D">
        <w:t xml:space="preserve"> averaged 38.6,</w:t>
      </w:r>
      <w:r w:rsidR="00011E92">
        <w:t xml:space="preserve"> w</w:t>
      </w:r>
      <w:r w:rsidR="0025710D">
        <w:t>hile fall scores averaged 55.9. This represents a 31% decrease in SCI scores from fall to spring. T</w:t>
      </w:r>
      <w:r w:rsidR="0025710D" w:rsidRPr="002F372A">
        <w:t xml:space="preserve">his difference was </w:t>
      </w:r>
      <w:r w:rsidR="0025710D">
        <w:t>statistically significant at the alpha = 0.05 level (t-test with unequal variance)</w:t>
      </w:r>
      <w:r w:rsidR="008858D6">
        <w:t>.</w:t>
      </w:r>
      <w:r w:rsidR="0025710D">
        <w:t xml:space="preserve"> </w:t>
      </w:r>
    </w:p>
    <w:p w14:paraId="1D2A7488" w14:textId="41013CCF" w:rsidR="00FA484B" w:rsidRDefault="001B2A90" w:rsidP="004F6A77">
      <w:pPr>
        <w:pStyle w:val="BlockText"/>
        <w:numPr>
          <w:ilvl w:val="0"/>
          <w:numId w:val="4"/>
        </w:numPr>
      </w:pPr>
      <w:r>
        <w:rPr>
          <w:u w:val="single"/>
        </w:rPr>
        <w:t>Tinker Creek</w:t>
      </w:r>
      <w:r w:rsidR="00D3546A" w:rsidRPr="002F372A">
        <w:t xml:space="preserve"> – </w:t>
      </w:r>
      <w:r w:rsidR="00FA484B">
        <w:t>At the most downstream Tinker Creek station (4ATKR000.69), b</w:t>
      </w:r>
      <w:r w:rsidR="00D3546A" w:rsidRPr="002F372A">
        <w:t xml:space="preserve">enthic SCI scores </w:t>
      </w:r>
      <w:r w:rsidR="00FA484B">
        <w:t>were consistently impaired, averaging 45.4 and ranging from 32.5 to 58.6. At other stations within the impaired reach, SCI scores</w:t>
      </w:r>
      <w:r w:rsidR="009A23F0">
        <w:t xml:space="preserve"> were both above and below the </w:t>
      </w:r>
      <w:r w:rsidR="002321F3">
        <w:t>impairment threshold of 60. There was no discern</w:t>
      </w:r>
      <w:r w:rsidR="005C29B3">
        <w:t>i</w:t>
      </w:r>
      <w:r w:rsidR="002321F3">
        <w:t>ble temporal trend in Tinker Creek benthic scores, however, there was a significant seasonal trend. Spring SCI scores averaged 52.3, while fall scores averaged 62.4. This represents a 16% statistically significant (t-test with unequal variance and alpha = 0.05) decrease in SCI scores from fall to spring</w:t>
      </w:r>
      <w:r w:rsidR="008858D6">
        <w:t>.</w:t>
      </w:r>
      <w:r w:rsidR="002321F3">
        <w:t xml:space="preserve">  </w:t>
      </w:r>
      <w:r w:rsidR="00FA484B">
        <w:t xml:space="preserve"> </w:t>
      </w:r>
    </w:p>
    <w:p w14:paraId="13AFBEA7" w14:textId="447717E1" w:rsidR="00DB47ED" w:rsidRDefault="002321F3" w:rsidP="004F6A77">
      <w:pPr>
        <w:pStyle w:val="BlockText"/>
        <w:numPr>
          <w:ilvl w:val="0"/>
          <w:numId w:val="4"/>
        </w:numPr>
      </w:pPr>
      <w:r w:rsidRPr="7FFB4499">
        <w:rPr>
          <w:u w:val="single"/>
        </w:rPr>
        <w:t>Roanoke River</w:t>
      </w:r>
      <w:r>
        <w:t xml:space="preserve"> – In the Roanoke River impaired reach, benthic SCI scores </w:t>
      </w:r>
      <w:r w:rsidR="002051CF">
        <w:t xml:space="preserve">averaged 49.3 at station 4AROA198.08 and 55.25 at station 4AROA202.20. </w:t>
      </w:r>
      <w:r w:rsidR="00916159">
        <w:t xml:space="preserve">At station 4AROA198.08, </w:t>
      </w:r>
      <w:r w:rsidR="002051CF">
        <w:t xml:space="preserve">SCI scores </w:t>
      </w:r>
      <w:r w:rsidR="00916159">
        <w:t xml:space="preserve">ranged from </w:t>
      </w:r>
      <w:r w:rsidR="002051CF">
        <w:t xml:space="preserve">21.3 to </w:t>
      </w:r>
      <w:r w:rsidR="00916159">
        <w:t xml:space="preserve">68.78. </w:t>
      </w:r>
      <w:r w:rsidR="002051CF">
        <w:t xml:space="preserve">This full range was experienced within a single season. The highest SCI score was observed on 10/26/2015, and the lowest score was observed the following spring on 4/20/2016. </w:t>
      </w:r>
      <w:r w:rsidR="00B343D4">
        <w:t>This pattern of impairment indicates</w:t>
      </w:r>
      <w:r w:rsidR="00665FF5">
        <w:t xml:space="preserve"> the presence of an</w:t>
      </w:r>
      <w:r w:rsidR="00B343D4">
        <w:t xml:space="preserve"> </w:t>
      </w:r>
      <w:r w:rsidR="00665FF5">
        <w:t xml:space="preserve">episodic stressor in addition to more </w:t>
      </w:r>
      <w:r w:rsidR="00B343D4">
        <w:t xml:space="preserve">persistent stressors. </w:t>
      </w:r>
      <w:r w:rsidR="00665FF5">
        <w:t xml:space="preserve">At station 4AROA202.20, SCI scores were slightly less variable, ranging from 34.7 to </w:t>
      </w:r>
      <w:r w:rsidR="00916159">
        <w:t xml:space="preserve">73.4. </w:t>
      </w:r>
      <w:r w:rsidR="00F325DE">
        <w:t>Overall, there were no discern</w:t>
      </w:r>
      <w:r w:rsidR="005C29B3">
        <w:t>i</w:t>
      </w:r>
      <w:r w:rsidR="00F325DE">
        <w:t xml:space="preserve">ble temporal trends in SCI scores at </w:t>
      </w:r>
      <w:r w:rsidR="00665FF5">
        <w:t>either</w:t>
      </w:r>
      <w:r w:rsidR="00F325DE">
        <w:t xml:space="preserve"> of the impaired stations. There was a significant seasonal trend, however</w:t>
      </w:r>
      <w:r w:rsidR="003842DC">
        <w:t>, at station 4AROA198.08</w:t>
      </w:r>
      <w:r w:rsidR="00F325DE">
        <w:t xml:space="preserve">. Spring SCI scores averaged </w:t>
      </w:r>
      <w:r w:rsidR="003842DC">
        <w:t>41.5</w:t>
      </w:r>
      <w:r w:rsidR="00F325DE">
        <w:t>, while fall scores averaged 5</w:t>
      </w:r>
      <w:r w:rsidR="003842DC">
        <w:t>5.5</w:t>
      </w:r>
      <w:r w:rsidR="00F325DE">
        <w:t>. This represents a 1</w:t>
      </w:r>
      <w:r w:rsidR="003842DC">
        <w:t>4</w:t>
      </w:r>
      <w:r w:rsidR="00F325DE">
        <w:t>% decrease in SCI scores from fall to spring. This difference was statistically significant at the alpha = 0.05 level (t-test with unequal variance)</w:t>
      </w:r>
      <w:r w:rsidR="008858D6">
        <w:t>.</w:t>
      </w:r>
      <w:r w:rsidR="003842DC">
        <w:t xml:space="preserve"> Spring SCI scores were also lower at station 4AROA202.20 (52.6 in spring versus 57.0 in fall), however, this difference was not statistically significant.</w:t>
      </w:r>
    </w:p>
    <w:p w14:paraId="7C31FD4A" w14:textId="0BB8FA47" w:rsidR="00D3546A" w:rsidRPr="002F372A" w:rsidRDefault="00D3546A" w:rsidP="00F62906">
      <w:pPr>
        <w:pStyle w:val="BlockText"/>
        <w:ind w:left="720"/>
      </w:pPr>
    </w:p>
    <w:p w14:paraId="5650FBC0" w14:textId="6253AA46" w:rsidR="00D26188" w:rsidRPr="002F372A" w:rsidRDefault="00551205" w:rsidP="00D26188">
      <w:pPr>
        <w:keepNext/>
        <w:spacing w:before="120" w:after="120" w:line="360" w:lineRule="auto"/>
      </w:pPr>
      <w:r>
        <w:rPr>
          <w:noProof/>
        </w:rPr>
        <w:drawing>
          <wp:inline distT="0" distB="0" distL="0" distR="0" wp14:anchorId="40D3EA70" wp14:editId="0F509CAC">
            <wp:extent cx="5944118" cy="3638550"/>
            <wp:effectExtent l="0" t="0" r="0" b="0"/>
            <wp:docPr id="36" name="Picture 36" descr="Temporal trends in benthic data for Roanoke River Project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1182" cy="3655117"/>
                    </a:xfrm>
                    <a:prstGeom prst="rect">
                      <a:avLst/>
                    </a:prstGeom>
                    <a:noFill/>
                  </pic:spPr>
                </pic:pic>
              </a:graphicData>
            </a:graphic>
          </wp:inline>
        </w:drawing>
      </w:r>
    </w:p>
    <w:p w14:paraId="05885A18" w14:textId="008A4C0A" w:rsidR="00477D15" w:rsidRPr="002F372A" w:rsidRDefault="00D26188" w:rsidP="00D26188">
      <w:pPr>
        <w:pStyle w:val="Caption"/>
      </w:pPr>
      <w:bookmarkStart w:id="37" w:name="_Ref42863162"/>
      <w:bookmarkStart w:id="38" w:name="_Toc162948224"/>
      <w:r w:rsidRPr="002F372A">
        <w:t xml:space="preserve">Figure </w:t>
      </w:r>
      <w:r w:rsidR="00170652" w:rsidRPr="002F372A">
        <w:rPr>
          <w:noProof/>
        </w:rPr>
        <w:fldChar w:fldCharType="begin"/>
      </w:r>
      <w:r w:rsidR="00170652" w:rsidRPr="002F372A">
        <w:rPr>
          <w:noProof/>
        </w:rPr>
        <w:instrText xml:space="preserve"> SEQ Figure \* ARABIC </w:instrText>
      </w:r>
      <w:r w:rsidR="00170652" w:rsidRPr="002F372A">
        <w:rPr>
          <w:noProof/>
        </w:rPr>
        <w:fldChar w:fldCharType="separate"/>
      </w:r>
      <w:r w:rsidR="004A78BF">
        <w:rPr>
          <w:noProof/>
        </w:rPr>
        <w:t>6</w:t>
      </w:r>
      <w:r w:rsidR="00170652" w:rsidRPr="002F372A">
        <w:rPr>
          <w:noProof/>
        </w:rPr>
        <w:fldChar w:fldCharType="end"/>
      </w:r>
      <w:bookmarkEnd w:id="37"/>
      <w:r w:rsidRPr="002F372A">
        <w:t xml:space="preserve">. Temporal trends in benthic data for </w:t>
      </w:r>
      <w:r w:rsidR="00551205">
        <w:t>Roanoke River Project streams</w:t>
      </w:r>
      <w:r w:rsidR="00857C1D" w:rsidRPr="002F372A">
        <w:t>.</w:t>
      </w:r>
      <w:bookmarkEnd w:id="38"/>
    </w:p>
    <w:p w14:paraId="0535A56A" w14:textId="5AAE65FC" w:rsidR="00477D15" w:rsidRPr="002F372A" w:rsidRDefault="00477D15" w:rsidP="00C80905">
      <w:pPr>
        <w:spacing w:before="120" w:after="120" w:line="360" w:lineRule="auto"/>
      </w:pPr>
    </w:p>
    <w:p w14:paraId="0137F405" w14:textId="25B7A53D" w:rsidR="008854FC" w:rsidRPr="002F372A" w:rsidRDefault="003842DC" w:rsidP="008854FC">
      <w:pPr>
        <w:keepNext/>
        <w:spacing w:before="120" w:after="120" w:line="360" w:lineRule="auto"/>
      </w:pPr>
      <w:r>
        <w:rPr>
          <w:noProof/>
        </w:rPr>
        <w:drawing>
          <wp:inline distT="0" distB="0" distL="0" distR="0" wp14:anchorId="2E852251" wp14:editId="4927D038">
            <wp:extent cx="5963920" cy="3575480"/>
            <wp:effectExtent l="0" t="0" r="0" b="6350"/>
            <wp:docPr id="9" name="Picture 9" descr="Seasonal trends in benthic data for Roanoke River Project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4882" cy="3594042"/>
                    </a:xfrm>
                    <a:prstGeom prst="rect">
                      <a:avLst/>
                    </a:prstGeom>
                    <a:noFill/>
                  </pic:spPr>
                </pic:pic>
              </a:graphicData>
            </a:graphic>
          </wp:inline>
        </w:drawing>
      </w:r>
    </w:p>
    <w:p w14:paraId="6F8B683C" w14:textId="7377A4F6" w:rsidR="00D26188" w:rsidRPr="002F372A" w:rsidRDefault="008854FC" w:rsidP="008854FC">
      <w:pPr>
        <w:pStyle w:val="Caption"/>
      </w:pPr>
      <w:bookmarkStart w:id="39" w:name="_Ref42863167"/>
      <w:bookmarkStart w:id="40" w:name="_Toc162948225"/>
      <w:r w:rsidRPr="002F372A">
        <w:t xml:space="preserve">Figure </w:t>
      </w:r>
      <w:r w:rsidR="00170652" w:rsidRPr="002F372A">
        <w:rPr>
          <w:noProof/>
        </w:rPr>
        <w:fldChar w:fldCharType="begin"/>
      </w:r>
      <w:r w:rsidR="00170652" w:rsidRPr="002F372A">
        <w:rPr>
          <w:noProof/>
        </w:rPr>
        <w:instrText xml:space="preserve"> SEQ Figure \* ARABIC </w:instrText>
      </w:r>
      <w:r w:rsidR="00170652" w:rsidRPr="002F372A">
        <w:rPr>
          <w:noProof/>
        </w:rPr>
        <w:fldChar w:fldCharType="separate"/>
      </w:r>
      <w:r w:rsidR="004A78BF">
        <w:rPr>
          <w:noProof/>
        </w:rPr>
        <w:t>7</w:t>
      </w:r>
      <w:r w:rsidR="00170652" w:rsidRPr="002F372A">
        <w:rPr>
          <w:noProof/>
        </w:rPr>
        <w:fldChar w:fldCharType="end"/>
      </w:r>
      <w:bookmarkEnd w:id="39"/>
      <w:r w:rsidRPr="002F372A">
        <w:t xml:space="preserve">. </w:t>
      </w:r>
      <w:r w:rsidR="002F372A" w:rsidRPr="002F372A">
        <w:t>Seasonal</w:t>
      </w:r>
      <w:r w:rsidRPr="002F372A">
        <w:t xml:space="preserve"> trends in benthic data for </w:t>
      </w:r>
      <w:r w:rsidR="0033479A">
        <w:t>Roanoke River Project streams</w:t>
      </w:r>
      <w:r w:rsidR="002F372A" w:rsidRPr="002F372A">
        <w:t>.</w:t>
      </w:r>
      <w:r w:rsidR="00801AA0" w:rsidRPr="00801AA0">
        <w:t xml:space="preserve"> </w:t>
      </w:r>
      <w:r w:rsidR="00801AA0" w:rsidRPr="004403BE">
        <w:t>“D” indicates that the</w:t>
      </w:r>
      <w:r w:rsidR="00801AA0">
        <w:t xml:space="preserve">re </w:t>
      </w:r>
      <w:r w:rsidR="00801AA0" w:rsidRPr="004403BE">
        <w:t xml:space="preserve">was </w:t>
      </w:r>
      <w:r w:rsidR="00801AA0">
        <w:t xml:space="preserve">a statistically </w:t>
      </w:r>
      <w:r w:rsidR="00801AA0" w:rsidRPr="004403BE">
        <w:t>significant differe</w:t>
      </w:r>
      <w:r w:rsidR="00801AA0">
        <w:t>nce</w:t>
      </w:r>
      <w:r w:rsidR="00801AA0" w:rsidRPr="004403BE">
        <w:t xml:space="preserve"> (alpha = 0.05) </w:t>
      </w:r>
      <w:r w:rsidR="00801AA0">
        <w:t>between seasons.</w:t>
      </w:r>
      <w:bookmarkEnd w:id="40"/>
    </w:p>
    <w:p w14:paraId="6E4AB594" w14:textId="52663FBF" w:rsidR="00D26188" w:rsidRDefault="00D26188" w:rsidP="00C80905">
      <w:pPr>
        <w:spacing w:before="120" w:after="120" w:line="360" w:lineRule="auto"/>
      </w:pPr>
    </w:p>
    <w:p w14:paraId="38D974EA" w14:textId="77777777" w:rsidR="008858D6" w:rsidRDefault="00801AA0" w:rsidP="00801AA0">
      <w:pPr>
        <w:pStyle w:val="BlockText"/>
        <w:numPr>
          <w:ilvl w:val="0"/>
          <w:numId w:val="4"/>
        </w:numPr>
      </w:pPr>
      <w:r w:rsidRPr="00F325DE">
        <w:rPr>
          <w:u w:val="single"/>
        </w:rPr>
        <w:t>Summary</w:t>
      </w:r>
      <w:r>
        <w:t xml:space="preserve"> – Benthic conditions in Wolf Creek, Tinker Creek, and the Roanoke River did not exhibit discernible temporal trends of either degrading or improving conditions over time. Each of the impaired streams did, however, exhibit statistically significant seasonal trends in benthic SCI scores. Spring SCI scores were from 1</w:t>
      </w:r>
      <w:r w:rsidR="003842DC">
        <w:t>4</w:t>
      </w:r>
      <w:r>
        <w:t>% to 31% lower than fall SCI scores. As a result, a number of fall scores in these impaired streams were above the impairment threshold of 60. In Wolf Creek, Tinker Creek, Roanoke River</w:t>
      </w:r>
      <w:r w:rsidR="003842DC">
        <w:t xml:space="preserve"> station 4AROA202.20, and Roanoke River station 4AROA198.08</w:t>
      </w:r>
      <w:r>
        <w:t xml:space="preserve">, 50%, 63%, </w:t>
      </w:r>
      <w:r w:rsidR="00C6109A">
        <w:t xml:space="preserve">50%, </w:t>
      </w:r>
      <w:r>
        <w:t>and 4</w:t>
      </w:r>
      <w:r w:rsidR="00C6109A">
        <w:t>0</w:t>
      </w:r>
      <w:r>
        <w:t xml:space="preserve">% of fall scores were above the impairment threshold, respectively. </w:t>
      </w:r>
    </w:p>
    <w:p w14:paraId="5281FC3F" w14:textId="1FCD0CA7" w:rsidR="00801AA0" w:rsidRDefault="00801AA0" w:rsidP="008858D6">
      <w:pPr>
        <w:pStyle w:val="BlockText"/>
        <w:ind w:left="720"/>
      </w:pPr>
      <w:r>
        <w:t>Th</w:t>
      </w:r>
      <w:r w:rsidR="008858D6">
        <w:t>e</w:t>
      </w:r>
      <w:r>
        <w:t xml:space="preserve"> </w:t>
      </w:r>
      <w:r w:rsidR="008858D6">
        <w:t xml:space="preserve">seasonal </w:t>
      </w:r>
      <w:r>
        <w:t xml:space="preserve">pattern </w:t>
      </w:r>
      <w:r w:rsidR="008858D6">
        <w:t xml:space="preserve">of impairment is one line of evidence that can be used to elucidate </w:t>
      </w:r>
      <w:r w:rsidR="003B6BD8">
        <w:t xml:space="preserve">potential stressors. Some stressors such as ammonia or low dissolved oxygen typically have a greater impact on fall benthic scores because critical conditions for these stressors are in the hot and dry late summer period. Other stressors such as sediment, nutrients, or winter salts have a greater impact on spring benthic scores. Sediment and nutrient loads typically increase with </w:t>
      </w:r>
      <w:r w:rsidR="008858D6" w:rsidRPr="008858D6">
        <w:t xml:space="preserve">higher spring flows </w:t>
      </w:r>
      <w:r w:rsidR="003B6BD8">
        <w:t xml:space="preserve">and </w:t>
      </w:r>
      <w:r w:rsidR="008858D6" w:rsidRPr="008858D6">
        <w:t xml:space="preserve">increasing spring temperatures and sunlight </w:t>
      </w:r>
      <w:r w:rsidR="003B6BD8">
        <w:t xml:space="preserve">can spur </w:t>
      </w:r>
      <w:r w:rsidR="008858D6" w:rsidRPr="008858D6">
        <w:t>algal growth.</w:t>
      </w:r>
      <w:r w:rsidR="008858D6">
        <w:t xml:space="preserve"> </w:t>
      </w:r>
      <w:r>
        <w:t>Seasonal differences could also be from natural causes such as flow conditions or the timing of benthic macroinvertebrate lifecycles. A natural cause to the observed seasonal differences is likely due to the fact that statistically significant seasonal differences were also observed at unimpaired Roanoke River stations (</w:t>
      </w:r>
      <w:r>
        <w:fldChar w:fldCharType="begin"/>
      </w:r>
      <w:r>
        <w:instrText xml:space="preserve"> REF _Ref135730208 \h </w:instrText>
      </w:r>
      <w:r>
        <w:fldChar w:fldCharType="separate"/>
      </w:r>
      <w:r w:rsidR="004A78BF">
        <w:t xml:space="preserve">Figure </w:t>
      </w:r>
      <w:r w:rsidR="004A78BF">
        <w:rPr>
          <w:noProof/>
        </w:rPr>
        <w:t>8</w:t>
      </w:r>
      <w:r>
        <w:fldChar w:fldCharType="end"/>
      </w:r>
      <w:r>
        <w:t>). Even at unimpaired stations, there was a 13% decrease in SCI scores from fall to spring. This difference is less than the difference observed at impaired stations, so the result may be a combin</w:t>
      </w:r>
      <w:r w:rsidR="008274DD">
        <w:t>ed effect o</w:t>
      </w:r>
      <w:r>
        <w:t>f natural factors and stressors.</w:t>
      </w:r>
    </w:p>
    <w:p w14:paraId="627F4E52" w14:textId="0C2E881F" w:rsidR="00801AA0" w:rsidRPr="00801AA0" w:rsidRDefault="00801AA0" w:rsidP="00801AA0">
      <w:pPr>
        <w:pStyle w:val="BlockText"/>
        <w:ind w:left="720"/>
      </w:pPr>
      <w:r w:rsidRPr="00801AA0">
        <w:t xml:space="preserve">To investigate </w:t>
      </w:r>
      <w:r>
        <w:t xml:space="preserve">the influence of high spring flows that might scour benthic macroinvertebrates and reduce the diversity of </w:t>
      </w:r>
      <w:r w:rsidR="0036178E">
        <w:t>benthic communities</w:t>
      </w:r>
      <w:r>
        <w:t xml:space="preserve">, spring </w:t>
      </w:r>
      <w:r w:rsidR="0036178E">
        <w:t>benthic scores at the impaired Roanoke River stations were compared to spring flow conditions from the USGS gage at the Niagara Dam (</w:t>
      </w:r>
      <w:r w:rsidR="0036178E">
        <w:fldChar w:fldCharType="begin"/>
      </w:r>
      <w:r w:rsidR="0036178E">
        <w:instrText xml:space="preserve"> REF _Ref135814252 \h </w:instrText>
      </w:r>
      <w:r w:rsidR="0036178E">
        <w:fldChar w:fldCharType="separate"/>
      </w:r>
      <w:r w:rsidR="004A78BF">
        <w:t xml:space="preserve">Figure </w:t>
      </w:r>
      <w:r w:rsidR="004A78BF">
        <w:rPr>
          <w:noProof/>
        </w:rPr>
        <w:t>9</w:t>
      </w:r>
      <w:r w:rsidR="0036178E">
        <w:fldChar w:fldCharType="end"/>
      </w:r>
      <w:r w:rsidR="0036178E">
        <w:t xml:space="preserve">). Discharge data for 90 days preceding each spring benthic sampling date was summed to obtain the total 90-d antecedent flow volume. This cumulative measure of antecedent flow conditions was then compared to spring benthic SCI scores. </w:t>
      </w:r>
      <w:r w:rsidR="004D2B96">
        <w:t>At station 4AROA202.20, t</w:t>
      </w:r>
      <w:r w:rsidR="0036178E">
        <w:t>his relationship produced a statistically significant regression</w:t>
      </w:r>
      <w:r w:rsidR="007B46A9">
        <w:t>, with higher antecedent flow conditions producing lower spring benthic SCI scores.</w:t>
      </w:r>
      <w:r w:rsidR="0036178E">
        <w:t xml:space="preserve"> </w:t>
      </w:r>
      <w:r w:rsidR="004D2B96">
        <w:t xml:space="preserve">This relationship was not </w:t>
      </w:r>
      <w:r w:rsidR="00CC1470">
        <w:t>statistically significant at station 4AROA198.08. This could indicate the presence of different stressors at these locations, with flow-dependent spring stressors driving benthic conditions at the upstream station and flow-independent spring stressors driving benthic conditions at the downstream station.</w:t>
      </w:r>
      <w:r w:rsidR="0036178E">
        <w:t xml:space="preserve">  </w:t>
      </w:r>
    </w:p>
    <w:p w14:paraId="37A866F1" w14:textId="77777777" w:rsidR="00801AA0" w:rsidRDefault="00801AA0" w:rsidP="00C80905">
      <w:pPr>
        <w:spacing w:before="120" w:after="120" w:line="360" w:lineRule="auto"/>
      </w:pPr>
    </w:p>
    <w:p w14:paraId="0F55F691" w14:textId="77777777" w:rsidR="0033479A" w:rsidRDefault="0033479A" w:rsidP="0033479A">
      <w:pPr>
        <w:keepNext/>
        <w:spacing w:before="120" w:after="120" w:line="360" w:lineRule="auto"/>
      </w:pPr>
      <w:r>
        <w:rPr>
          <w:noProof/>
        </w:rPr>
        <w:drawing>
          <wp:inline distT="0" distB="0" distL="0" distR="0" wp14:anchorId="5450DA33" wp14:editId="792F8578">
            <wp:extent cx="4579620" cy="2750820"/>
            <wp:effectExtent l="0" t="0" r="0" b="0"/>
            <wp:docPr id="39" name="Picture 39" descr="Seasonal trends in benthic data at unimpaired Roanoke River s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9620" cy="2750820"/>
                    </a:xfrm>
                    <a:prstGeom prst="rect">
                      <a:avLst/>
                    </a:prstGeom>
                    <a:noFill/>
                  </pic:spPr>
                </pic:pic>
              </a:graphicData>
            </a:graphic>
          </wp:inline>
        </w:drawing>
      </w:r>
    </w:p>
    <w:p w14:paraId="5450B4ED" w14:textId="448C0DAF" w:rsidR="0033479A" w:rsidRDefault="0033479A" w:rsidP="0033479A">
      <w:pPr>
        <w:pStyle w:val="Caption"/>
      </w:pPr>
      <w:bookmarkStart w:id="41" w:name="_Ref135730208"/>
      <w:bookmarkStart w:id="42" w:name="_Toc162948226"/>
      <w:r>
        <w:t xml:space="preserve">Figure </w:t>
      </w:r>
      <w:r w:rsidR="00B343D4">
        <w:rPr>
          <w:noProof/>
        </w:rPr>
        <w:fldChar w:fldCharType="begin"/>
      </w:r>
      <w:r w:rsidR="00B343D4">
        <w:rPr>
          <w:noProof/>
        </w:rPr>
        <w:instrText xml:space="preserve"> SEQ Figure \* ARABIC </w:instrText>
      </w:r>
      <w:r w:rsidR="00B343D4">
        <w:rPr>
          <w:noProof/>
        </w:rPr>
        <w:fldChar w:fldCharType="separate"/>
      </w:r>
      <w:r w:rsidR="004A78BF">
        <w:rPr>
          <w:noProof/>
        </w:rPr>
        <w:t>8</w:t>
      </w:r>
      <w:r w:rsidR="00B343D4">
        <w:rPr>
          <w:noProof/>
        </w:rPr>
        <w:fldChar w:fldCharType="end"/>
      </w:r>
      <w:bookmarkEnd w:id="41"/>
      <w:r>
        <w:t>.</w:t>
      </w:r>
      <w:r w:rsidRPr="0033479A">
        <w:t xml:space="preserve"> </w:t>
      </w:r>
      <w:r w:rsidRPr="002F372A">
        <w:t xml:space="preserve">Seasonal trends in benthic data </w:t>
      </w:r>
      <w:r>
        <w:t>at unimpaired Roanoke River stations.</w:t>
      </w:r>
      <w:r w:rsidR="00801AA0" w:rsidRPr="00801AA0">
        <w:t xml:space="preserve"> </w:t>
      </w:r>
      <w:r w:rsidR="00801AA0" w:rsidRPr="004403BE">
        <w:t>“D” indicates that the</w:t>
      </w:r>
      <w:r w:rsidR="00801AA0">
        <w:t xml:space="preserve">re </w:t>
      </w:r>
      <w:r w:rsidR="00801AA0" w:rsidRPr="004403BE">
        <w:t xml:space="preserve">was </w:t>
      </w:r>
      <w:r w:rsidR="00801AA0">
        <w:t xml:space="preserve">a statistically </w:t>
      </w:r>
      <w:r w:rsidR="00801AA0" w:rsidRPr="004403BE">
        <w:t>significant differe</w:t>
      </w:r>
      <w:r w:rsidR="00801AA0">
        <w:t>nce</w:t>
      </w:r>
      <w:r w:rsidR="00801AA0" w:rsidRPr="004403BE">
        <w:t xml:space="preserve"> (alpha = 0.05) </w:t>
      </w:r>
      <w:r w:rsidR="00801AA0">
        <w:t>between seasons.</w:t>
      </w:r>
      <w:bookmarkEnd w:id="42"/>
    </w:p>
    <w:p w14:paraId="4041A9CC" w14:textId="484FA710" w:rsidR="0033479A" w:rsidRDefault="0033479A" w:rsidP="00C80905">
      <w:pPr>
        <w:spacing w:before="120" w:after="120" w:line="360" w:lineRule="auto"/>
      </w:pPr>
    </w:p>
    <w:p w14:paraId="7E7C0813" w14:textId="2A623360" w:rsidR="00801AA0" w:rsidRDefault="004D2B96" w:rsidP="00801AA0">
      <w:pPr>
        <w:keepNext/>
        <w:spacing w:before="120" w:after="120" w:line="360" w:lineRule="auto"/>
      </w:pPr>
      <w:r>
        <w:rPr>
          <w:noProof/>
        </w:rPr>
        <w:drawing>
          <wp:inline distT="0" distB="0" distL="0" distR="0" wp14:anchorId="39150778" wp14:editId="03DB9E5F">
            <wp:extent cx="4564380" cy="2781300"/>
            <wp:effectExtent l="0" t="0" r="7620" b="0"/>
            <wp:docPr id="13" name="Picture 13" descr="Relationship between spring SCI scores at impaired Roanoke River stations and river flow volume for 90 days prior to benthic samp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64380" cy="2781300"/>
                    </a:xfrm>
                    <a:prstGeom prst="rect">
                      <a:avLst/>
                    </a:prstGeom>
                    <a:noFill/>
                  </pic:spPr>
                </pic:pic>
              </a:graphicData>
            </a:graphic>
          </wp:inline>
        </w:drawing>
      </w:r>
    </w:p>
    <w:p w14:paraId="32C8F285" w14:textId="66CDB022" w:rsidR="00F62906" w:rsidRDefault="00801AA0" w:rsidP="00801AA0">
      <w:pPr>
        <w:pStyle w:val="Caption"/>
      </w:pPr>
      <w:bookmarkStart w:id="43" w:name="_Ref135814252"/>
      <w:bookmarkStart w:id="44" w:name="_Toc162948227"/>
      <w:r>
        <w:t xml:space="preserve">Figure </w:t>
      </w:r>
      <w:r w:rsidR="00D03C3C">
        <w:rPr>
          <w:noProof/>
        </w:rPr>
        <w:fldChar w:fldCharType="begin"/>
      </w:r>
      <w:r w:rsidR="00D03C3C">
        <w:rPr>
          <w:noProof/>
        </w:rPr>
        <w:instrText xml:space="preserve"> SEQ Figure \* ARABIC </w:instrText>
      </w:r>
      <w:r w:rsidR="00D03C3C">
        <w:rPr>
          <w:noProof/>
        </w:rPr>
        <w:fldChar w:fldCharType="separate"/>
      </w:r>
      <w:r w:rsidR="004A78BF">
        <w:rPr>
          <w:noProof/>
        </w:rPr>
        <w:t>9</w:t>
      </w:r>
      <w:r w:rsidR="00D03C3C">
        <w:rPr>
          <w:noProof/>
        </w:rPr>
        <w:fldChar w:fldCharType="end"/>
      </w:r>
      <w:bookmarkEnd w:id="43"/>
      <w:r>
        <w:t>. Relationship between spring SCI scores at impaired Roanoke River stations and river flow volume for 90 days prior to benthic sampling.</w:t>
      </w:r>
      <w:r w:rsidR="004D2B96">
        <w:t xml:space="preserve"> Dotted trend lines are not statistically significant, and solid trend lines are statistically significant at the alpha = 0.05 level.</w:t>
      </w:r>
      <w:bookmarkEnd w:id="44"/>
    </w:p>
    <w:p w14:paraId="1B4C8384" w14:textId="77777777" w:rsidR="00F62906" w:rsidRPr="002F372A" w:rsidRDefault="00F62906" w:rsidP="00F35736">
      <w:pPr>
        <w:spacing w:line="240" w:lineRule="auto"/>
      </w:pPr>
    </w:p>
    <w:p w14:paraId="02DEB547" w14:textId="5546EDA8" w:rsidR="00EF57AF" w:rsidRPr="002C4FC5" w:rsidRDefault="0036290D" w:rsidP="00EF57AF">
      <w:pPr>
        <w:pStyle w:val="Heading3"/>
      </w:pPr>
      <w:bookmarkStart w:id="45" w:name="_Toc162948156"/>
      <w:r w:rsidRPr="002C4FC5">
        <w:t>Analysis of Benthic Metrics</w:t>
      </w:r>
      <w:bookmarkEnd w:id="45"/>
    </w:p>
    <w:p w14:paraId="7A7CEE51" w14:textId="0CD2B297" w:rsidR="00F06E8C" w:rsidRPr="004403BE" w:rsidRDefault="00AD4BD5" w:rsidP="00F06E8C">
      <w:pPr>
        <w:spacing w:before="120" w:after="120" w:line="360" w:lineRule="auto"/>
      </w:pPr>
      <w:r w:rsidRPr="002C4FC5">
        <w:t xml:space="preserve">The Stream Condition Index (SCI) is a multi-metric index composed of eight individual metrics: </w:t>
      </w:r>
      <w:r w:rsidR="002F2B1E">
        <w:t xml:space="preserve">family </w:t>
      </w:r>
      <w:r w:rsidRPr="002C4FC5">
        <w:t xml:space="preserve">richness, Ephemeroptera </w:t>
      </w:r>
      <w:proofErr w:type="spellStart"/>
      <w:r w:rsidRPr="002C4FC5">
        <w:t>Plecoptera</w:t>
      </w:r>
      <w:proofErr w:type="spellEnd"/>
      <w:r w:rsidRPr="002C4FC5">
        <w:t xml:space="preserve"> </w:t>
      </w:r>
      <w:proofErr w:type="spellStart"/>
      <w:r w:rsidRPr="002C4FC5">
        <w:t>Trichoptera</w:t>
      </w:r>
      <w:proofErr w:type="spellEnd"/>
      <w:r w:rsidRPr="002C4FC5">
        <w:t xml:space="preserve"> richness (EPT richness), </w:t>
      </w:r>
      <w:r w:rsidR="00275C2A" w:rsidRPr="002C4FC5">
        <w:t>%</w:t>
      </w:r>
      <w:r w:rsidRPr="002C4FC5">
        <w:t xml:space="preserve"> Ephemeroptera (% </w:t>
      </w:r>
      <w:proofErr w:type="spellStart"/>
      <w:r w:rsidRPr="002C4FC5">
        <w:t>Ephem</w:t>
      </w:r>
      <w:proofErr w:type="spellEnd"/>
      <w:r w:rsidRPr="002C4FC5">
        <w:t xml:space="preserve">), </w:t>
      </w:r>
      <w:r w:rsidR="00275C2A" w:rsidRPr="002C4FC5">
        <w:t>%</w:t>
      </w:r>
      <w:r w:rsidRPr="002C4FC5">
        <w:t xml:space="preserve"> </w:t>
      </w:r>
      <w:proofErr w:type="spellStart"/>
      <w:r w:rsidRPr="002C4FC5">
        <w:t>Plecoptera</w:t>
      </w:r>
      <w:proofErr w:type="spellEnd"/>
      <w:r w:rsidRPr="002C4FC5">
        <w:t xml:space="preserve"> and </w:t>
      </w:r>
      <w:proofErr w:type="spellStart"/>
      <w:r w:rsidRPr="002C4FC5">
        <w:t>Trichoptera</w:t>
      </w:r>
      <w:proofErr w:type="spellEnd"/>
      <w:r w:rsidRPr="002C4FC5">
        <w:t xml:space="preserve"> minus </w:t>
      </w:r>
      <w:proofErr w:type="spellStart"/>
      <w:r w:rsidRPr="002C4FC5">
        <w:rPr>
          <w:i/>
        </w:rPr>
        <w:t>Hydropsychidae</w:t>
      </w:r>
      <w:proofErr w:type="spellEnd"/>
      <w:r w:rsidRPr="002C4FC5">
        <w:t xml:space="preserve"> (% PT-Hydro), </w:t>
      </w:r>
      <w:r w:rsidR="00275C2A" w:rsidRPr="002C4FC5">
        <w:t xml:space="preserve">% </w:t>
      </w:r>
      <w:proofErr w:type="spellStart"/>
      <w:r w:rsidRPr="002C4FC5">
        <w:rPr>
          <w:i/>
        </w:rPr>
        <w:t>Chironomidae</w:t>
      </w:r>
      <w:proofErr w:type="spellEnd"/>
      <w:r w:rsidRPr="002C4FC5">
        <w:t xml:space="preserve">, </w:t>
      </w:r>
      <w:r w:rsidR="00275C2A" w:rsidRPr="002C4FC5">
        <w:t xml:space="preserve">% </w:t>
      </w:r>
      <w:r w:rsidRPr="002C4FC5">
        <w:t>scraper</w:t>
      </w:r>
      <w:r w:rsidR="00275C2A" w:rsidRPr="002C4FC5">
        <w:t xml:space="preserve">, % 2 </w:t>
      </w:r>
      <w:r w:rsidR="002F2B1E">
        <w:t>d</w:t>
      </w:r>
      <w:r w:rsidR="00275C2A" w:rsidRPr="002C4FC5">
        <w:t>ominant, and the modified family biotic index (MFBI).</w:t>
      </w:r>
      <w:r w:rsidRPr="002C4FC5">
        <w:t xml:space="preserve"> </w:t>
      </w:r>
      <w:r w:rsidR="00EF3E0C" w:rsidRPr="002C4FC5">
        <w:t>Assessing these metric</w:t>
      </w:r>
      <w:r w:rsidR="00E83EC3" w:rsidRPr="002C4FC5">
        <w:t xml:space="preserve">s individually can provide clues to potential stressors, since different stressors may impact the benthic community in different ways. To evaluate individual metrics, </w:t>
      </w:r>
      <w:r w:rsidR="00E83EC3" w:rsidRPr="004403BE">
        <w:t>impaired streams were compared to an unimpaired reference (</w:t>
      </w:r>
      <w:r w:rsidR="00E83EC3" w:rsidRPr="004403BE">
        <w:fldChar w:fldCharType="begin"/>
      </w:r>
      <w:r w:rsidR="00E83EC3" w:rsidRPr="004403BE">
        <w:instrText xml:space="preserve"> REF _Ref43372686 \h  \* MERGEFORMAT </w:instrText>
      </w:r>
      <w:r w:rsidR="00E83EC3" w:rsidRPr="004403BE">
        <w:fldChar w:fldCharType="separate"/>
      </w:r>
      <w:r w:rsidR="004A78BF" w:rsidRPr="004403BE">
        <w:t xml:space="preserve">Figure </w:t>
      </w:r>
      <w:r w:rsidR="004A78BF">
        <w:rPr>
          <w:noProof/>
        </w:rPr>
        <w:t>10</w:t>
      </w:r>
      <w:r w:rsidR="00E83EC3" w:rsidRPr="004403BE">
        <w:fldChar w:fldCharType="end"/>
      </w:r>
      <w:r w:rsidR="00E83EC3" w:rsidRPr="004403BE">
        <w:t xml:space="preserve">). </w:t>
      </w:r>
      <w:r w:rsidR="00DE7ACD" w:rsidRPr="004403BE">
        <w:t xml:space="preserve">The benthic reference was </w:t>
      </w:r>
      <w:r w:rsidR="00DE7ACD">
        <w:t>4AROA212.17 for the Roanoke River and 4ATKR014.16 for Wolf Creek and Tinker Creek.</w:t>
      </w:r>
      <w:r w:rsidR="00DE7ACD" w:rsidRPr="004403BE">
        <w:t xml:space="preserve"> </w:t>
      </w:r>
      <w:r w:rsidR="00F06E8C" w:rsidRPr="004403BE">
        <w:t xml:space="preserve">For </w:t>
      </w:r>
      <w:r w:rsidR="00275C2A" w:rsidRPr="004403BE">
        <w:t>each impaired stream</w:t>
      </w:r>
      <w:r w:rsidR="00F06E8C" w:rsidRPr="004403BE">
        <w:t xml:space="preserve">, </w:t>
      </w:r>
      <w:r w:rsidR="00275C2A" w:rsidRPr="004403BE">
        <w:t xml:space="preserve">average scores for each metric were compared to the reference using a t-test with unequal variances (alpha = 0.05). </w:t>
      </w:r>
    </w:p>
    <w:p w14:paraId="25CF97C2" w14:textId="3570F2FC" w:rsidR="00F06E8C" w:rsidRPr="004403BE" w:rsidRDefault="002F2B1E" w:rsidP="00761FD5">
      <w:pPr>
        <w:pStyle w:val="BlockText"/>
        <w:numPr>
          <w:ilvl w:val="0"/>
          <w:numId w:val="4"/>
        </w:numPr>
        <w:ind w:left="360"/>
      </w:pPr>
      <w:r>
        <w:rPr>
          <w:u w:val="single"/>
        </w:rPr>
        <w:t>Wolf</w:t>
      </w:r>
      <w:r w:rsidR="002C4FC5" w:rsidRPr="004403BE">
        <w:rPr>
          <w:u w:val="single"/>
        </w:rPr>
        <w:t xml:space="preserve"> C</w:t>
      </w:r>
      <w:r w:rsidR="00843487" w:rsidRPr="004403BE">
        <w:rPr>
          <w:u w:val="single"/>
        </w:rPr>
        <w:t>reek</w:t>
      </w:r>
      <w:r w:rsidR="00F06E8C" w:rsidRPr="004403BE">
        <w:t xml:space="preserve"> – In </w:t>
      </w:r>
      <w:r>
        <w:t>Wolf Creek</w:t>
      </w:r>
      <w:r w:rsidR="00843487" w:rsidRPr="004403BE">
        <w:t xml:space="preserve">, </w:t>
      </w:r>
      <w:r>
        <w:t>family</w:t>
      </w:r>
      <w:r w:rsidR="002C4FC5" w:rsidRPr="004403BE">
        <w:t xml:space="preserve"> </w:t>
      </w:r>
      <w:r w:rsidR="00E83EC3" w:rsidRPr="004403BE">
        <w:t xml:space="preserve">richness, </w:t>
      </w:r>
      <w:r>
        <w:t>EPT richness, % scrapers, % 2 dominant, a</w:t>
      </w:r>
      <w:r w:rsidR="002C4FC5" w:rsidRPr="004403BE">
        <w:t>nd MFBI</w:t>
      </w:r>
      <w:r w:rsidR="00E83EC3" w:rsidRPr="004403BE">
        <w:t xml:space="preserve"> were all </w:t>
      </w:r>
      <w:r w:rsidR="00843487" w:rsidRPr="004403BE">
        <w:t xml:space="preserve">significantly lower </w:t>
      </w:r>
      <w:r w:rsidR="00C538DD" w:rsidRPr="004403BE">
        <w:t xml:space="preserve">(p&lt;0.05) </w:t>
      </w:r>
      <w:r w:rsidR="00843487" w:rsidRPr="004403BE">
        <w:t xml:space="preserve">than </w:t>
      </w:r>
      <w:r w:rsidR="00EB7132" w:rsidRPr="004403BE">
        <w:t xml:space="preserve">in </w:t>
      </w:r>
      <w:r w:rsidR="00843487" w:rsidRPr="004403BE">
        <w:t xml:space="preserve">the reference. </w:t>
      </w:r>
      <w:r>
        <w:t>Wolf Creek</w:t>
      </w:r>
      <w:r w:rsidR="002C4FC5" w:rsidRPr="004403BE">
        <w:t xml:space="preserve"> </w:t>
      </w:r>
      <w:r w:rsidR="001E546E" w:rsidRPr="004403BE">
        <w:t xml:space="preserve">averaged </w:t>
      </w:r>
      <w:r w:rsidR="002C4FC5" w:rsidRPr="004403BE">
        <w:t xml:space="preserve">11 </w:t>
      </w:r>
      <w:r w:rsidR="00C358FA">
        <w:t xml:space="preserve">different taxonomic families </w:t>
      </w:r>
      <w:r w:rsidR="001E546E" w:rsidRPr="004403BE">
        <w:t xml:space="preserve">compared to </w:t>
      </w:r>
      <w:r>
        <w:t>17</w:t>
      </w:r>
      <w:r w:rsidR="002C4FC5" w:rsidRPr="004403BE">
        <w:t xml:space="preserve"> </w:t>
      </w:r>
      <w:r w:rsidR="00C358FA">
        <w:t>in</w:t>
      </w:r>
      <w:r w:rsidR="001E546E" w:rsidRPr="004403BE">
        <w:t xml:space="preserve"> the reference.</w:t>
      </w:r>
      <w:r w:rsidR="00AD613E" w:rsidRPr="004403BE">
        <w:t xml:space="preserve"> </w:t>
      </w:r>
      <w:r w:rsidR="00C358FA">
        <w:t xml:space="preserve">Only 5 of those families were EPT taxa in Wolf Creek, while 10 were EPT taxa in the reference. Over half of the benthic community (59%) in Wolf Creek was composed of the top 2 dominant taxa, which were </w:t>
      </w:r>
      <w:proofErr w:type="spellStart"/>
      <w:r w:rsidR="00C358FA" w:rsidRPr="00C358FA">
        <w:rPr>
          <w:i/>
        </w:rPr>
        <w:t>Chironomidae</w:t>
      </w:r>
      <w:proofErr w:type="spellEnd"/>
      <w:r w:rsidR="00C358FA">
        <w:t xml:space="preserve"> and </w:t>
      </w:r>
      <w:proofErr w:type="spellStart"/>
      <w:r w:rsidR="00C358FA" w:rsidRPr="00C358FA">
        <w:rPr>
          <w:i/>
        </w:rPr>
        <w:t>Hydropsychidae</w:t>
      </w:r>
      <w:proofErr w:type="spellEnd"/>
      <w:r w:rsidR="00C358FA">
        <w:t xml:space="preserve">. These organisms are collectors and filterers, respectively. </w:t>
      </w:r>
      <w:r w:rsidR="00603A00">
        <w:t>As a result, the percentage of scrapers in Wolf Creek (</w:t>
      </w:r>
      <w:r w:rsidR="00C358FA">
        <w:t>9</w:t>
      </w:r>
      <w:r w:rsidR="00603A00">
        <w:t>%) was significantly lower than in the reference (</w:t>
      </w:r>
      <w:r w:rsidR="00C358FA">
        <w:t>27</w:t>
      </w:r>
      <w:r w:rsidR="00603A00">
        <w:t>%)</w:t>
      </w:r>
      <w:r w:rsidR="00C358FA">
        <w:t xml:space="preserve">. </w:t>
      </w:r>
      <w:r w:rsidR="00EC4364" w:rsidRPr="004403BE">
        <w:t xml:space="preserve">Lastly, the MFBI metric </w:t>
      </w:r>
      <w:r w:rsidR="00AD613E" w:rsidRPr="004403BE">
        <w:t xml:space="preserve">was </w:t>
      </w:r>
      <w:r w:rsidR="00EC4364" w:rsidRPr="004403BE">
        <w:t>7</w:t>
      </w:r>
      <w:r w:rsidR="00603A00">
        <w:t>1</w:t>
      </w:r>
      <w:r w:rsidR="00EC4364" w:rsidRPr="004403BE">
        <w:t xml:space="preserve">% in </w:t>
      </w:r>
      <w:r w:rsidR="00603A00">
        <w:t>Wolf Creek</w:t>
      </w:r>
      <w:r w:rsidR="00EC4364" w:rsidRPr="004403BE">
        <w:t xml:space="preserve"> compared to 8</w:t>
      </w:r>
      <w:r w:rsidR="00603A00">
        <w:t>2</w:t>
      </w:r>
      <w:r w:rsidR="00EC4364" w:rsidRPr="004403BE">
        <w:t xml:space="preserve">% in the reference, a modest, but statistically significant difference. Overall, benthic metrics in </w:t>
      </w:r>
      <w:r w:rsidR="00603A00">
        <w:t>Wolf</w:t>
      </w:r>
      <w:r w:rsidR="00EC4364" w:rsidRPr="004403BE">
        <w:t xml:space="preserve"> Creek point to a stressor that is eliminating sensitive species and increasing the abundance of a few tolerant species that thrive in </w:t>
      </w:r>
      <w:r w:rsidR="00603A00">
        <w:t xml:space="preserve">environments with </w:t>
      </w:r>
      <w:r w:rsidR="00EC4364" w:rsidRPr="004403BE">
        <w:t xml:space="preserve">high suspended </w:t>
      </w:r>
      <w:r w:rsidR="00603A00">
        <w:t xml:space="preserve">and deposited </w:t>
      </w:r>
      <w:r w:rsidR="00EC4364" w:rsidRPr="004403BE">
        <w:t>solids</w:t>
      </w:r>
      <w:r w:rsidR="00603A00">
        <w:t>, which provide a food source for collectors and filterers</w:t>
      </w:r>
      <w:r w:rsidR="00EC4364" w:rsidRPr="004403BE">
        <w:t>.</w:t>
      </w:r>
    </w:p>
    <w:p w14:paraId="7F4A1020" w14:textId="098C9AE0" w:rsidR="004403BE" w:rsidRDefault="00603A00" w:rsidP="00923FDE">
      <w:pPr>
        <w:pStyle w:val="BlockText"/>
        <w:numPr>
          <w:ilvl w:val="0"/>
          <w:numId w:val="4"/>
        </w:numPr>
        <w:ind w:left="360"/>
      </w:pPr>
      <w:r>
        <w:rPr>
          <w:u w:val="single"/>
        </w:rPr>
        <w:t>Tinker Creek</w:t>
      </w:r>
      <w:r w:rsidR="00F06E8C" w:rsidRPr="004403BE">
        <w:t xml:space="preserve"> – </w:t>
      </w:r>
      <w:r w:rsidR="00095474">
        <w:t xml:space="preserve">At the primary impaired </w:t>
      </w:r>
      <w:r>
        <w:t>Tinker Creek</w:t>
      </w:r>
      <w:r w:rsidR="00095474">
        <w:t xml:space="preserve"> station (4ATKR000.69)</w:t>
      </w:r>
      <w:r>
        <w:t xml:space="preserve">, </w:t>
      </w:r>
      <w:r w:rsidR="00DE7ACD">
        <w:t xml:space="preserve">all of the benthic metrics except for % scraper </w:t>
      </w:r>
      <w:r w:rsidR="00EC4364" w:rsidRPr="004403BE">
        <w:t xml:space="preserve">were significantly lower (p&lt;0.05) than in the reference. </w:t>
      </w:r>
      <w:r w:rsidR="00095474">
        <w:t>The impaired station</w:t>
      </w:r>
      <w:r w:rsidR="00DE7ACD">
        <w:t xml:space="preserve"> </w:t>
      </w:r>
      <w:r w:rsidR="00DE7ACD" w:rsidRPr="004403BE">
        <w:t>averaged 1</w:t>
      </w:r>
      <w:r w:rsidR="00DE7ACD">
        <w:t>3</w:t>
      </w:r>
      <w:r w:rsidR="00DE7ACD" w:rsidRPr="004403BE">
        <w:t xml:space="preserve"> </w:t>
      </w:r>
      <w:r w:rsidR="00DE7ACD">
        <w:t xml:space="preserve">different taxonomic families </w:t>
      </w:r>
      <w:r w:rsidR="00DE7ACD" w:rsidRPr="004403BE">
        <w:t xml:space="preserve">compared to </w:t>
      </w:r>
      <w:r w:rsidR="00DE7ACD">
        <w:t>17</w:t>
      </w:r>
      <w:r w:rsidR="00DE7ACD" w:rsidRPr="004403BE">
        <w:t xml:space="preserve"> </w:t>
      </w:r>
      <w:r w:rsidR="00DE7ACD">
        <w:t xml:space="preserve">at the </w:t>
      </w:r>
      <w:r w:rsidR="00DE7ACD" w:rsidRPr="004403BE">
        <w:t>reference</w:t>
      </w:r>
      <w:r w:rsidR="00DE7ACD">
        <w:t xml:space="preserve"> station</w:t>
      </w:r>
      <w:r w:rsidR="00DE7ACD" w:rsidRPr="004403BE">
        <w:t xml:space="preserve">. </w:t>
      </w:r>
      <w:r w:rsidR="00DE7ACD">
        <w:t xml:space="preserve">Only 5 of those families were EPT taxa </w:t>
      </w:r>
      <w:r w:rsidR="00095474">
        <w:t>at the impaired station</w:t>
      </w:r>
      <w:r w:rsidR="00DE7ACD">
        <w:t xml:space="preserve">, while 10 were EPT taxa at the reference station. </w:t>
      </w:r>
      <w:r w:rsidR="009C1015">
        <w:t xml:space="preserve">The </w:t>
      </w:r>
      <w:r w:rsidR="00DE7ACD">
        <w:t xml:space="preserve">% </w:t>
      </w:r>
      <w:proofErr w:type="spellStart"/>
      <w:r w:rsidR="00DE7ACD">
        <w:t>Ephem</w:t>
      </w:r>
      <w:proofErr w:type="spellEnd"/>
      <w:r w:rsidR="009C1015">
        <w:t xml:space="preserve"> and %PT-Hydro</w:t>
      </w:r>
      <w:r w:rsidR="00095474">
        <w:t xml:space="preserve"> were both below 10% at the impaired station, while these more sensitive taxa represented 30% and 16% of the community at the reference station</w:t>
      </w:r>
      <w:r w:rsidR="00EC4364" w:rsidRPr="004403BE">
        <w:t xml:space="preserve">. </w:t>
      </w:r>
      <w:proofErr w:type="spellStart"/>
      <w:r w:rsidR="00711F51" w:rsidRPr="005514FF">
        <w:rPr>
          <w:i/>
        </w:rPr>
        <w:t>Chironomidae</w:t>
      </w:r>
      <w:proofErr w:type="spellEnd"/>
      <w:r w:rsidR="00711F51" w:rsidRPr="004403BE">
        <w:t xml:space="preserve"> </w:t>
      </w:r>
      <w:r w:rsidR="00095474">
        <w:t>represented 32</w:t>
      </w:r>
      <w:r w:rsidR="00711F51" w:rsidRPr="004403BE">
        <w:t xml:space="preserve">% </w:t>
      </w:r>
      <w:r w:rsidR="00095474">
        <w:t xml:space="preserve">of the benthic community at the impaired station </w:t>
      </w:r>
      <w:r w:rsidR="00711F51" w:rsidRPr="004403BE">
        <w:t xml:space="preserve">compared to </w:t>
      </w:r>
      <w:r w:rsidR="00095474">
        <w:t>12% at the reference station</w:t>
      </w:r>
      <w:r w:rsidR="00711F51" w:rsidRPr="004403BE">
        <w:t>.</w:t>
      </w:r>
      <w:r w:rsidR="00095474">
        <w:t xml:space="preserve"> </w:t>
      </w:r>
      <w:r w:rsidR="00EC4364" w:rsidRPr="004403BE">
        <w:t xml:space="preserve">The </w:t>
      </w:r>
      <w:r w:rsidR="00711F51" w:rsidRPr="004403BE">
        <w:t>midge</w:t>
      </w:r>
      <w:r w:rsidR="00EC4364" w:rsidRPr="004403BE">
        <w:t xml:space="preserve">, </w:t>
      </w:r>
      <w:proofErr w:type="spellStart"/>
      <w:r w:rsidR="00711F51" w:rsidRPr="00ED50C4">
        <w:rPr>
          <w:i/>
        </w:rPr>
        <w:t>Chironomidae</w:t>
      </w:r>
      <w:proofErr w:type="spellEnd"/>
      <w:r w:rsidR="00EC4364" w:rsidRPr="00ED50C4">
        <w:rPr>
          <w:i/>
        </w:rPr>
        <w:t>,</w:t>
      </w:r>
      <w:r w:rsidR="00EC4364" w:rsidRPr="004403BE">
        <w:t xml:space="preserve"> and the riffle beetle, </w:t>
      </w:r>
      <w:proofErr w:type="spellStart"/>
      <w:r w:rsidR="00EC4364" w:rsidRPr="00ED50C4">
        <w:rPr>
          <w:i/>
        </w:rPr>
        <w:t>Elmidae</w:t>
      </w:r>
      <w:proofErr w:type="spellEnd"/>
      <w:r w:rsidR="00EC4364" w:rsidRPr="00ED50C4">
        <w:rPr>
          <w:i/>
        </w:rPr>
        <w:t>,</w:t>
      </w:r>
      <w:r w:rsidR="00EC4364" w:rsidRPr="004403BE">
        <w:t xml:space="preserve"> were the two most abundan</w:t>
      </w:r>
      <w:r w:rsidR="009158AC">
        <w:t>t</w:t>
      </w:r>
      <w:r w:rsidR="00EC4364" w:rsidRPr="004403BE">
        <w:t xml:space="preserve"> taxa, accounting for 6</w:t>
      </w:r>
      <w:r w:rsidR="004922CA">
        <w:t>2</w:t>
      </w:r>
      <w:r w:rsidR="00EC4364" w:rsidRPr="004403BE">
        <w:t xml:space="preserve">% of the community. </w:t>
      </w:r>
      <w:r w:rsidR="00711F51" w:rsidRPr="004403BE">
        <w:t xml:space="preserve">Lawrence and </w:t>
      </w:r>
      <w:proofErr w:type="spellStart"/>
      <w:r w:rsidR="00711F51" w:rsidRPr="004403BE">
        <w:t>Gressens</w:t>
      </w:r>
      <w:proofErr w:type="spellEnd"/>
      <w:r w:rsidR="00711F51" w:rsidRPr="004403BE">
        <w:t xml:space="preserve"> (2011) showed that </w:t>
      </w:r>
      <w:proofErr w:type="spellStart"/>
      <w:r w:rsidR="00711F51" w:rsidRPr="004403BE">
        <w:t>Chironomid</w:t>
      </w:r>
      <w:proofErr w:type="spellEnd"/>
      <w:r w:rsidR="00711F51" w:rsidRPr="004403BE">
        <w:t xml:space="preserve"> abundance correlated with increased nutrient enrichment in urban and rural streams. </w:t>
      </w:r>
      <w:proofErr w:type="spellStart"/>
      <w:r w:rsidR="00711F51" w:rsidRPr="004403BE">
        <w:t>Bjornn</w:t>
      </w:r>
      <w:proofErr w:type="spellEnd"/>
      <w:r w:rsidR="00711F51" w:rsidRPr="004403BE">
        <w:t xml:space="preserve"> </w:t>
      </w:r>
      <w:r w:rsidR="00711F51" w:rsidRPr="00ED50C4">
        <w:rPr>
          <w:i/>
        </w:rPr>
        <w:t>et al.</w:t>
      </w:r>
      <w:r w:rsidR="00711F51" w:rsidRPr="004403BE">
        <w:t xml:space="preserve"> (1977) demonstrated in artificial mesocosm experiments that increases in fine sediment significantly reduced EPT taxa but were tolerated by </w:t>
      </w:r>
      <w:proofErr w:type="spellStart"/>
      <w:r w:rsidR="00711F51" w:rsidRPr="004403BE">
        <w:t>Chironomid</w:t>
      </w:r>
      <w:proofErr w:type="spellEnd"/>
      <w:r w:rsidR="00711F51" w:rsidRPr="004403BE">
        <w:t xml:space="preserve"> taxa. Similarly, </w:t>
      </w:r>
      <w:proofErr w:type="spellStart"/>
      <w:r w:rsidR="00EC4364" w:rsidRPr="00ED50C4">
        <w:rPr>
          <w:i/>
        </w:rPr>
        <w:t>Elmidae</w:t>
      </w:r>
      <w:proofErr w:type="spellEnd"/>
      <w:r w:rsidR="00EC4364" w:rsidRPr="004403BE">
        <w:t xml:space="preserve"> have anal gills covered by a moveable operculum that can protect the gills from suspended solids (</w:t>
      </w:r>
      <w:proofErr w:type="spellStart"/>
      <w:r w:rsidR="00EC4364" w:rsidRPr="004403BE">
        <w:t>Voshell</w:t>
      </w:r>
      <w:proofErr w:type="spellEnd"/>
      <w:r w:rsidR="00EC4364" w:rsidRPr="004403BE">
        <w:t xml:space="preserve">, 2002). This characteristic could give the </w:t>
      </w:r>
      <w:proofErr w:type="spellStart"/>
      <w:r w:rsidR="00EC4364" w:rsidRPr="00ED50C4">
        <w:rPr>
          <w:i/>
        </w:rPr>
        <w:t>Elmidae</w:t>
      </w:r>
      <w:proofErr w:type="spellEnd"/>
      <w:r w:rsidR="00EC4364" w:rsidRPr="004403BE">
        <w:t xml:space="preserve"> a competitive advantage in higher suspended solids environments, so their abundance could indicate an early community response to suspended solids as a stressor. Overall, benthic metrics in </w:t>
      </w:r>
      <w:r w:rsidR="004922CA">
        <w:t>Tinker Creek</w:t>
      </w:r>
      <w:r w:rsidR="00EC4364" w:rsidRPr="004403BE">
        <w:t xml:space="preserve"> point to </w:t>
      </w:r>
      <w:r w:rsidR="004922CA">
        <w:t>s</w:t>
      </w:r>
      <w:r w:rsidR="004403BE" w:rsidRPr="004403BE">
        <w:t xml:space="preserve">ediment enrichment that has reduced sensitive species and allowed sediment tolerant species to thrive. </w:t>
      </w:r>
    </w:p>
    <w:p w14:paraId="49091B74" w14:textId="0DF7062E" w:rsidR="0026326B" w:rsidRDefault="004922CA" w:rsidP="00923FDE">
      <w:pPr>
        <w:pStyle w:val="BlockText"/>
        <w:numPr>
          <w:ilvl w:val="0"/>
          <w:numId w:val="4"/>
        </w:numPr>
        <w:ind w:left="360"/>
      </w:pPr>
      <w:r>
        <w:rPr>
          <w:u w:val="single"/>
        </w:rPr>
        <w:t>Roanoke River</w:t>
      </w:r>
      <w:r w:rsidRPr="004403BE">
        <w:t xml:space="preserve"> – </w:t>
      </w:r>
      <w:r w:rsidR="0026326B">
        <w:t xml:space="preserve">At the upstream impaired Roanoke River station (4AROA202.20), only two benthic metrics (% Ephemeroptera and %2 dominant) were significantly lower (p&lt;0.05) than in the reference. The % Ephemeroptera at the impaired station accounted for a slightly smaller </w:t>
      </w:r>
      <w:r w:rsidR="009158AC">
        <w:t>(</w:t>
      </w:r>
      <w:r w:rsidR="0026326B">
        <w:t>but statistically significant</w:t>
      </w:r>
      <w:r w:rsidR="009158AC">
        <w:t>)</w:t>
      </w:r>
      <w:r w:rsidR="0026326B">
        <w:t xml:space="preserve"> percentage of the community than in the reference (20% compared to 28%). </w:t>
      </w:r>
      <w:r w:rsidR="004940AF" w:rsidRPr="004403BE">
        <w:t xml:space="preserve">The midge, </w:t>
      </w:r>
      <w:proofErr w:type="spellStart"/>
      <w:r w:rsidR="004940AF" w:rsidRPr="00ED50C4">
        <w:rPr>
          <w:i/>
        </w:rPr>
        <w:t>Chironomidae</w:t>
      </w:r>
      <w:proofErr w:type="spellEnd"/>
      <w:r w:rsidR="004940AF" w:rsidRPr="00ED50C4">
        <w:rPr>
          <w:i/>
        </w:rPr>
        <w:t>,</w:t>
      </w:r>
      <w:r w:rsidR="004940AF" w:rsidRPr="004403BE">
        <w:t xml:space="preserve"> and the </w:t>
      </w:r>
      <w:r w:rsidR="004940AF">
        <w:t xml:space="preserve">net spinning caddisfly, </w:t>
      </w:r>
      <w:proofErr w:type="spellStart"/>
      <w:r w:rsidR="004940AF">
        <w:rPr>
          <w:i/>
        </w:rPr>
        <w:t>Hydropsychidae</w:t>
      </w:r>
      <w:proofErr w:type="spellEnd"/>
      <w:r w:rsidR="004940AF">
        <w:t xml:space="preserve">, </w:t>
      </w:r>
      <w:r w:rsidR="004940AF" w:rsidRPr="004403BE">
        <w:t xml:space="preserve">were the two most abundance taxa, accounting for </w:t>
      </w:r>
      <w:r w:rsidR="004940AF">
        <w:t>54</w:t>
      </w:r>
      <w:r w:rsidR="004940AF" w:rsidRPr="004403BE">
        <w:t>% of the community</w:t>
      </w:r>
      <w:r w:rsidR="004940AF">
        <w:t xml:space="preserve">. These dominant organisms are collectors and filterers, respectively, and </w:t>
      </w:r>
      <w:r w:rsidR="004940AF" w:rsidRPr="004403BE">
        <w:t xml:space="preserve">point to a stressor that is eliminating sensitive species and increasing the abundance of a few tolerant species that thrive in </w:t>
      </w:r>
      <w:r w:rsidR="004940AF">
        <w:t xml:space="preserve">environments with </w:t>
      </w:r>
      <w:r w:rsidR="004940AF" w:rsidRPr="004403BE">
        <w:t xml:space="preserve">high suspended </w:t>
      </w:r>
      <w:r w:rsidR="004940AF">
        <w:t xml:space="preserve">and deposited </w:t>
      </w:r>
      <w:r w:rsidR="004940AF" w:rsidRPr="004403BE">
        <w:t>solids</w:t>
      </w:r>
      <w:r w:rsidR="004940AF">
        <w:t>, which provide a food source for collectors and filterers</w:t>
      </w:r>
      <w:r w:rsidR="004940AF" w:rsidRPr="004403BE">
        <w:t>.</w:t>
      </w:r>
      <w:r w:rsidR="0026326B">
        <w:t xml:space="preserve"> </w:t>
      </w:r>
    </w:p>
    <w:p w14:paraId="04B1D4FD" w14:textId="0ED34AFD" w:rsidR="004922CA" w:rsidRDefault="004922CA" w:rsidP="0026326B">
      <w:pPr>
        <w:pStyle w:val="BlockText"/>
        <w:ind w:left="360"/>
      </w:pPr>
      <w:r>
        <w:t xml:space="preserve">At the </w:t>
      </w:r>
      <w:r w:rsidR="004940AF">
        <w:t xml:space="preserve">downstream </w:t>
      </w:r>
      <w:r>
        <w:t xml:space="preserve">impaired Roanoke River station (4AROA198.08), </w:t>
      </w:r>
      <w:r w:rsidR="004940AF">
        <w:t xml:space="preserve">additional benthic metrics were significantly decreased in comparison to the reference. While only two metrics at 4AROA202.20 were significantly lower than the reference, six out of eight of the benthic metrics </w:t>
      </w:r>
      <w:r w:rsidRPr="004403BE">
        <w:t xml:space="preserve">were significantly lower (p&lt;0.05) </w:t>
      </w:r>
      <w:r w:rsidR="004940AF">
        <w:t xml:space="preserve">at 4AROA198.08 </w:t>
      </w:r>
      <w:r w:rsidRPr="004403BE">
        <w:t xml:space="preserve">than </w:t>
      </w:r>
      <w:r w:rsidR="004940AF">
        <w:t xml:space="preserve">in the </w:t>
      </w:r>
      <w:r w:rsidRPr="004403BE">
        <w:t xml:space="preserve">reference. </w:t>
      </w:r>
      <w:r w:rsidR="004940AF">
        <w:t>Station 4AROA198.08</w:t>
      </w:r>
      <w:r>
        <w:t xml:space="preserve"> </w:t>
      </w:r>
      <w:r w:rsidRPr="004403BE">
        <w:t>averaged 1</w:t>
      </w:r>
      <w:r>
        <w:t>2</w:t>
      </w:r>
      <w:r w:rsidRPr="004403BE">
        <w:t xml:space="preserve"> </w:t>
      </w:r>
      <w:r>
        <w:t xml:space="preserve">different taxonomic families </w:t>
      </w:r>
      <w:r w:rsidRPr="004403BE">
        <w:t xml:space="preserve">compared to </w:t>
      </w:r>
      <w:r>
        <w:t>15</w:t>
      </w:r>
      <w:r w:rsidRPr="004403BE">
        <w:t xml:space="preserve"> </w:t>
      </w:r>
      <w:r>
        <w:t xml:space="preserve">at the </w:t>
      </w:r>
      <w:r w:rsidRPr="004403BE">
        <w:t>reference</w:t>
      </w:r>
      <w:r>
        <w:t xml:space="preserve"> station</w:t>
      </w:r>
      <w:r w:rsidRPr="004403BE">
        <w:t xml:space="preserve">. </w:t>
      </w:r>
      <w:r>
        <w:t xml:space="preserve">Only 5 of those families were EPT taxa at the impaired station, while 7 were EPT taxa at the reference station. The % Ephemeroptera accounted for </w:t>
      </w:r>
      <w:r w:rsidR="004940AF">
        <w:t xml:space="preserve">18% </w:t>
      </w:r>
      <w:r>
        <w:t>of the community at the impaired station compared to 28%</w:t>
      </w:r>
      <w:r w:rsidR="003F5E37">
        <w:t xml:space="preserve"> at the reference</w:t>
      </w:r>
      <w:r>
        <w:t xml:space="preserve">. </w:t>
      </w:r>
      <w:proofErr w:type="spellStart"/>
      <w:r w:rsidRPr="005514FF">
        <w:rPr>
          <w:i/>
        </w:rPr>
        <w:t>Chironomidae</w:t>
      </w:r>
      <w:proofErr w:type="spellEnd"/>
      <w:r w:rsidRPr="004403BE">
        <w:t xml:space="preserve"> </w:t>
      </w:r>
      <w:r>
        <w:t xml:space="preserve">represented </w:t>
      </w:r>
      <w:r w:rsidR="0019418D">
        <w:t>29</w:t>
      </w:r>
      <w:r w:rsidRPr="004403BE">
        <w:t xml:space="preserve">% </w:t>
      </w:r>
      <w:r>
        <w:t xml:space="preserve">of the benthic community at the impaired station </w:t>
      </w:r>
      <w:r w:rsidRPr="004403BE">
        <w:t xml:space="preserve">compared to </w:t>
      </w:r>
      <w:r>
        <w:t>1</w:t>
      </w:r>
      <w:r w:rsidR="0019418D">
        <w:t>4</w:t>
      </w:r>
      <w:r>
        <w:t>% at the reference station</w:t>
      </w:r>
      <w:r w:rsidRPr="004403BE">
        <w:t>.</w:t>
      </w:r>
      <w:r>
        <w:t xml:space="preserve"> </w:t>
      </w:r>
      <w:r w:rsidRPr="004403BE">
        <w:t xml:space="preserve">The midge, </w:t>
      </w:r>
      <w:proofErr w:type="spellStart"/>
      <w:r w:rsidRPr="00ED50C4">
        <w:rPr>
          <w:i/>
        </w:rPr>
        <w:t>Chironomidae</w:t>
      </w:r>
      <w:proofErr w:type="spellEnd"/>
      <w:r w:rsidRPr="00ED50C4">
        <w:rPr>
          <w:i/>
        </w:rPr>
        <w:t>,</w:t>
      </w:r>
      <w:r w:rsidRPr="004403BE">
        <w:t xml:space="preserve"> and the </w:t>
      </w:r>
      <w:r w:rsidR="0019418D">
        <w:t xml:space="preserve">snail, </w:t>
      </w:r>
      <w:proofErr w:type="spellStart"/>
      <w:r w:rsidR="0019418D" w:rsidRPr="0019418D">
        <w:rPr>
          <w:i/>
        </w:rPr>
        <w:t>Pleuroceridae</w:t>
      </w:r>
      <w:proofErr w:type="spellEnd"/>
      <w:r w:rsidR="0019418D">
        <w:t xml:space="preserve">, </w:t>
      </w:r>
      <w:r w:rsidRPr="004403BE">
        <w:t>were the two most abundan</w:t>
      </w:r>
      <w:r w:rsidR="009158AC">
        <w:t>t</w:t>
      </w:r>
      <w:r w:rsidRPr="004403BE">
        <w:t xml:space="preserve"> taxa, accounting for 6</w:t>
      </w:r>
      <w:r w:rsidR="0019418D">
        <w:t>0</w:t>
      </w:r>
      <w:r w:rsidRPr="004403BE">
        <w:t xml:space="preserve">% of the community. </w:t>
      </w:r>
      <w:proofErr w:type="spellStart"/>
      <w:r w:rsidR="0019418D" w:rsidRPr="0019418D">
        <w:rPr>
          <w:i/>
        </w:rPr>
        <w:t>Pleuroceridae</w:t>
      </w:r>
      <w:proofErr w:type="spellEnd"/>
      <w:r w:rsidR="0019418D">
        <w:t xml:space="preserve"> are small to medium-sized snails that scrape algae and diatoms from rock surfaces. Their abundance can signal nutrient enrichment, because excess nutrients can spur algal growth and provide scrapers with a readily available food source. </w:t>
      </w:r>
      <w:r w:rsidRPr="004403BE">
        <w:t xml:space="preserve">Overall, benthic metrics in </w:t>
      </w:r>
      <w:r w:rsidR="0019418D">
        <w:t xml:space="preserve">the Roanoke River </w:t>
      </w:r>
      <w:r w:rsidRPr="004403BE">
        <w:t xml:space="preserve">point to </w:t>
      </w:r>
      <w:r>
        <w:t>s</w:t>
      </w:r>
      <w:r w:rsidRPr="004403BE">
        <w:t xml:space="preserve">ediment </w:t>
      </w:r>
      <w:r w:rsidR="0019418D">
        <w:t xml:space="preserve">or nutrient </w:t>
      </w:r>
      <w:r w:rsidRPr="004403BE">
        <w:t xml:space="preserve">enrichment that has reduced sensitive species and allowed </w:t>
      </w:r>
      <w:r w:rsidR="0019418D">
        <w:t xml:space="preserve">organisms that scrape rocks or </w:t>
      </w:r>
      <w:r w:rsidR="00786FD9">
        <w:t xml:space="preserve">feed on deposited sediment </w:t>
      </w:r>
      <w:r w:rsidRPr="004403BE">
        <w:t xml:space="preserve">to thrive. </w:t>
      </w:r>
    </w:p>
    <w:p w14:paraId="2FE49F8D" w14:textId="77777777" w:rsidR="00ED50C4" w:rsidRPr="004403BE" w:rsidRDefault="00ED50C4" w:rsidP="00ED50C4">
      <w:pPr>
        <w:pStyle w:val="BlockText"/>
        <w:ind w:left="360"/>
      </w:pPr>
    </w:p>
    <w:p w14:paraId="47C09CA5" w14:textId="243CE652" w:rsidR="00843487" w:rsidRPr="004403BE" w:rsidRDefault="002F2B1E" w:rsidP="00ED50C4">
      <w:pPr>
        <w:pStyle w:val="BlockText"/>
        <w:ind w:left="360"/>
      </w:pPr>
      <w:r>
        <w:rPr>
          <w:noProof/>
        </w:rPr>
        <w:drawing>
          <wp:inline distT="0" distB="0" distL="0" distR="0" wp14:anchorId="06258373" wp14:editId="1C697F65">
            <wp:extent cx="3975100" cy="7188306"/>
            <wp:effectExtent l="0" t="0" r="6350" b="0"/>
            <wp:docPr id="30" name="Picture 30" descr="Individual metric scores comprising the stream condition index (SCI) in Roanoke River Project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78456" cy="7194375"/>
                    </a:xfrm>
                    <a:prstGeom prst="rect">
                      <a:avLst/>
                    </a:prstGeom>
                    <a:noFill/>
                  </pic:spPr>
                </pic:pic>
              </a:graphicData>
            </a:graphic>
          </wp:inline>
        </w:drawing>
      </w:r>
    </w:p>
    <w:p w14:paraId="2380AA6F" w14:textId="42ABF827" w:rsidR="00C44C62" w:rsidRPr="002C4FC5" w:rsidRDefault="00843487" w:rsidP="00843487">
      <w:pPr>
        <w:pStyle w:val="Caption"/>
      </w:pPr>
      <w:bookmarkStart w:id="46" w:name="_Ref43372686"/>
      <w:bookmarkStart w:id="47" w:name="_Toc162948228"/>
      <w:r w:rsidRPr="004403BE">
        <w:t xml:space="preserve">Figure </w:t>
      </w:r>
      <w:r w:rsidR="00083B7E" w:rsidRPr="004403BE">
        <w:rPr>
          <w:noProof/>
        </w:rPr>
        <w:fldChar w:fldCharType="begin"/>
      </w:r>
      <w:r w:rsidR="00083B7E" w:rsidRPr="004403BE">
        <w:rPr>
          <w:noProof/>
        </w:rPr>
        <w:instrText xml:space="preserve"> SEQ Figure \* ARABIC </w:instrText>
      </w:r>
      <w:r w:rsidR="00083B7E" w:rsidRPr="004403BE">
        <w:rPr>
          <w:noProof/>
        </w:rPr>
        <w:fldChar w:fldCharType="separate"/>
      </w:r>
      <w:r w:rsidR="004A78BF">
        <w:rPr>
          <w:noProof/>
        </w:rPr>
        <w:t>10</w:t>
      </w:r>
      <w:r w:rsidR="00083B7E" w:rsidRPr="004403BE">
        <w:rPr>
          <w:noProof/>
        </w:rPr>
        <w:fldChar w:fldCharType="end"/>
      </w:r>
      <w:bookmarkEnd w:id="46"/>
      <w:r w:rsidRPr="004403BE">
        <w:t xml:space="preserve">. Individual metric scores comprising the stream condition index (SCI) in </w:t>
      </w:r>
      <w:r w:rsidR="00603A00">
        <w:t>Roanoke River Project streams</w:t>
      </w:r>
      <w:r w:rsidRPr="004403BE">
        <w:t xml:space="preserve">. “D” indicates that the metric was significantly </w:t>
      </w:r>
      <w:r w:rsidR="00D841B3">
        <w:t>lower</w:t>
      </w:r>
      <w:r w:rsidRPr="004403BE">
        <w:t xml:space="preserve"> (alpha = 0.05) </w:t>
      </w:r>
      <w:r w:rsidR="00D841B3">
        <w:t>than</w:t>
      </w:r>
      <w:r w:rsidRPr="004403BE">
        <w:t xml:space="preserve"> the benthic reference.</w:t>
      </w:r>
      <w:r w:rsidR="00AD4BD5" w:rsidRPr="004403BE">
        <w:t xml:space="preserve"> </w:t>
      </w:r>
      <w:r w:rsidR="00DE7ACD" w:rsidRPr="004403BE">
        <w:t xml:space="preserve">The benthic reference was </w:t>
      </w:r>
      <w:r w:rsidR="00DE7ACD">
        <w:t>4AROA212.17 for the Roanoke River and 4ATKR014.16 for Wolf Creek and Tinker Creek</w:t>
      </w:r>
      <w:r w:rsidR="00603A00">
        <w:t>.</w:t>
      </w:r>
      <w:bookmarkEnd w:id="47"/>
    </w:p>
    <w:p w14:paraId="04185837" w14:textId="77777777" w:rsidR="00C44C62" w:rsidRPr="002C4FC5" w:rsidRDefault="00C44C62" w:rsidP="00C80905">
      <w:pPr>
        <w:spacing w:before="120" w:after="120" w:line="360" w:lineRule="auto"/>
      </w:pPr>
    </w:p>
    <w:p w14:paraId="58B9E539" w14:textId="4D76578B" w:rsidR="00BA50C9" w:rsidRPr="00263C95" w:rsidRDefault="00BA50C9" w:rsidP="00BA50C9">
      <w:pPr>
        <w:pStyle w:val="Heading3"/>
      </w:pPr>
      <w:bookmarkStart w:id="48" w:name="_Toc162948157"/>
      <w:r w:rsidRPr="00263C95">
        <w:t>Analysis of Community Composition</w:t>
      </w:r>
      <w:bookmarkEnd w:id="48"/>
    </w:p>
    <w:p w14:paraId="37850CA2" w14:textId="3D64D3F7" w:rsidR="00F92B60" w:rsidRPr="00263C95" w:rsidRDefault="00F92B60" w:rsidP="00731FCA">
      <w:pPr>
        <w:spacing w:before="120" w:after="120" w:line="360" w:lineRule="auto"/>
      </w:pPr>
      <w:r w:rsidRPr="00263C95">
        <w:t>The taxonomic composition of the benthic communities w</w:t>
      </w:r>
      <w:r w:rsidR="00AF5969" w:rsidRPr="00263C95">
        <w:t>as</w:t>
      </w:r>
      <w:r w:rsidRPr="00263C95">
        <w:t xml:space="preserve"> analyzed to identify shifts in composition at impaired </w:t>
      </w:r>
      <w:r w:rsidR="00A159BC" w:rsidRPr="00263C95">
        <w:t>stations</w:t>
      </w:r>
      <w:r w:rsidRPr="00263C95">
        <w:t xml:space="preserve"> that might provide clues to sources or mechanism</w:t>
      </w:r>
      <w:r w:rsidR="00AF5969" w:rsidRPr="00263C95">
        <w:t>s</w:t>
      </w:r>
      <w:r w:rsidRPr="00263C95">
        <w:t xml:space="preserve"> of impairment. </w:t>
      </w:r>
      <w:r w:rsidR="00622594" w:rsidRPr="00263C95">
        <w:fldChar w:fldCharType="begin"/>
      </w:r>
      <w:r w:rsidR="00622594" w:rsidRPr="00263C95">
        <w:instrText xml:space="preserve"> REF _Ref45699232 \h </w:instrText>
      </w:r>
      <w:r w:rsidR="00867C44" w:rsidRPr="00263C95">
        <w:instrText xml:space="preserve"> \* MERGEFORMAT </w:instrText>
      </w:r>
      <w:r w:rsidR="00622594" w:rsidRPr="00263C95">
        <w:fldChar w:fldCharType="separate"/>
      </w:r>
      <w:r w:rsidR="004A78BF" w:rsidRPr="00263C95">
        <w:t xml:space="preserve">Figure </w:t>
      </w:r>
      <w:r w:rsidR="004A78BF">
        <w:rPr>
          <w:noProof/>
        </w:rPr>
        <w:t>11</w:t>
      </w:r>
      <w:r w:rsidR="00622594" w:rsidRPr="00263C95">
        <w:fldChar w:fldCharType="end"/>
      </w:r>
      <w:r w:rsidRPr="00263C95">
        <w:t xml:space="preserve"> compares </w:t>
      </w:r>
      <w:r w:rsidR="00731FCA" w:rsidRPr="00263C95">
        <w:t>t</w:t>
      </w:r>
      <w:r w:rsidRPr="00263C95">
        <w:t xml:space="preserve">he taxonomic composition in </w:t>
      </w:r>
      <w:r w:rsidR="00A04792">
        <w:t xml:space="preserve">Wolf </w:t>
      </w:r>
      <w:r w:rsidR="00263C95">
        <w:t xml:space="preserve">Creek and </w:t>
      </w:r>
      <w:r w:rsidR="00A04792">
        <w:t xml:space="preserve">Tinker Creek impaired stations </w:t>
      </w:r>
      <w:r w:rsidR="00731FCA" w:rsidRPr="00263C95">
        <w:t xml:space="preserve">to </w:t>
      </w:r>
      <w:r w:rsidR="00A04792">
        <w:t xml:space="preserve">the upstream unimpaired Tinker Creek </w:t>
      </w:r>
      <w:r w:rsidR="00731FCA" w:rsidRPr="00263C95">
        <w:t>reference</w:t>
      </w:r>
      <w:r w:rsidR="00263C95">
        <w:t xml:space="preserve"> (</w:t>
      </w:r>
      <w:r w:rsidR="00A04792">
        <w:t>4ATKR014.16</w:t>
      </w:r>
      <w:r w:rsidR="00263C95">
        <w:t>)</w:t>
      </w:r>
      <w:r w:rsidR="00731FCA" w:rsidRPr="00263C95">
        <w:t xml:space="preserve">. </w:t>
      </w:r>
      <w:r w:rsidR="00BA1389">
        <w:fldChar w:fldCharType="begin"/>
      </w:r>
      <w:r w:rsidR="00BA1389">
        <w:instrText xml:space="preserve"> REF _Ref135831010 \h </w:instrText>
      </w:r>
      <w:r w:rsidR="00BA1389">
        <w:fldChar w:fldCharType="separate"/>
      </w:r>
      <w:r w:rsidR="004A78BF">
        <w:t xml:space="preserve">Figure </w:t>
      </w:r>
      <w:r w:rsidR="004A78BF">
        <w:rPr>
          <w:noProof/>
        </w:rPr>
        <w:t>12</w:t>
      </w:r>
      <w:r w:rsidR="00BA1389">
        <w:fldChar w:fldCharType="end"/>
      </w:r>
      <w:r w:rsidR="00150FD2">
        <w:t xml:space="preserve"> </w:t>
      </w:r>
      <w:r w:rsidR="00374021">
        <w:t xml:space="preserve">compares the taxonomic composition in the impaired Roanoke River stations to the upstream unimpaired Roanoke River reference (4AROA0212.17). </w:t>
      </w:r>
    </w:p>
    <w:p w14:paraId="06426AB6" w14:textId="7E19D5BC" w:rsidR="00F92B60" w:rsidRPr="00263C95" w:rsidRDefault="00374021" w:rsidP="004F6A77">
      <w:pPr>
        <w:pStyle w:val="BlockText"/>
        <w:numPr>
          <w:ilvl w:val="0"/>
          <w:numId w:val="4"/>
        </w:numPr>
      </w:pPr>
      <w:r>
        <w:rPr>
          <w:u w:val="single"/>
        </w:rPr>
        <w:t>Wolf</w:t>
      </w:r>
      <w:r w:rsidR="00263C95">
        <w:rPr>
          <w:u w:val="single"/>
        </w:rPr>
        <w:t xml:space="preserve"> Creek</w:t>
      </w:r>
      <w:r w:rsidR="00F92B60" w:rsidRPr="00263C95">
        <w:t xml:space="preserve"> – </w:t>
      </w:r>
      <w:r w:rsidR="00E11301">
        <w:t xml:space="preserve">Sensitive Ephemeroptera, </w:t>
      </w:r>
      <w:proofErr w:type="spellStart"/>
      <w:r w:rsidR="00E11301">
        <w:t>Plecoptera</w:t>
      </w:r>
      <w:proofErr w:type="spellEnd"/>
      <w:r w:rsidR="00E11301">
        <w:t xml:space="preserve">, and </w:t>
      </w:r>
      <w:proofErr w:type="spellStart"/>
      <w:r w:rsidR="00E11301">
        <w:t>Trichoptera</w:t>
      </w:r>
      <w:proofErr w:type="spellEnd"/>
      <w:r w:rsidR="00E11301">
        <w:t xml:space="preserve"> (EPT) taxa were present in Wolf Creek, but they represented only 29% of the benthic community compared to 46% in the reference. Community</w:t>
      </w:r>
      <w:r w:rsidR="00F92B60" w:rsidRPr="00263C95">
        <w:t xml:space="preserve"> composition in </w:t>
      </w:r>
      <w:r>
        <w:t xml:space="preserve">Wolf </w:t>
      </w:r>
      <w:r w:rsidR="00263C95">
        <w:t xml:space="preserve">Creek </w:t>
      </w:r>
      <w:r w:rsidR="00731FCA" w:rsidRPr="00263C95">
        <w:t xml:space="preserve">was </w:t>
      </w:r>
      <w:r w:rsidR="005F333B">
        <w:t>dominated by</w:t>
      </w:r>
      <w:r>
        <w:t xml:space="preserve"> </w:t>
      </w:r>
      <w:proofErr w:type="spellStart"/>
      <w:r>
        <w:t>Diptera</w:t>
      </w:r>
      <w:proofErr w:type="spellEnd"/>
      <w:r>
        <w:t xml:space="preserve"> (35%) and </w:t>
      </w:r>
      <w:proofErr w:type="spellStart"/>
      <w:r w:rsidRPr="00263C95">
        <w:rPr>
          <w:i/>
        </w:rPr>
        <w:t>Hydropsychidae</w:t>
      </w:r>
      <w:proofErr w:type="spellEnd"/>
      <w:r w:rsidR="005F333B">
        <w:t xml:space="preserve"> </w:t>
      </w:r>
      <w:r>
        <w:t>(28%).</w:t>
      </w:r>
      <w:r w:rsidR="00E11301">
        <w:t xml:space="preserve"> The </w:t>
      </w:r>
      <w:proofErr w:type="spellStart"/>
      <w:r w:rsidR="00E11301">
        <w:t>Diptera</w:t>
      </w:r>
      <w:proofErr w:type="spellEnd"/>
      <w:r w:rsidR="00E11301">
        <w:t xml:space="preserve"> were primarily comprised of </w:t>
      </w:r>
      <w:r w:rsidR="00E11301" w:rsidRPr="000068DB">
        <w:t>midges (</w:t>
      </w:r>
      <w:proofErr w:type="spellStart"/>
      <w:r w:rsidR="00E11301" w:rsidRPr="000068DB">
        <w:rPr>
          <w:i/>
        </w:rPr>
        <w:t>Chironomidae</w:t>
      </w:r>
      <w:proofErr w:type="spellEnd"/>
      <w:r w:rsidR="00E11301" w:rsidRPr="000068DB">
        <w:t>)</w:t>
      </w:r>
      <w:r w:rsidR="00E11301">
        <w:t xml:space="preserve"> and black fly larvae (</w:t>
      </w:r>
      <w:proofErr w:type="spellStart"/>
      <w:r w:rsidR="00E11301" w:rsidRPr="00E11301">
        <w:rPr>
          <w:i/>
        </w:rPr>
        <w:t>Simulium</w:t>
      </w:r>
      <w:proofErr w:type="spellEnd"/>
      <w:r w:rsidR="00E11301">
        <w:t xml:space="preserve">). </w:t>
      </w:r>
      <w:r w:rsidR="00BF4C83">
        <w:t xml:space="preserve">Each of these predominant taxa could signal excess sediment or </w:t>
      </w:r>
      <w:r w:rsidR="00E11301" w:rsidRPr="000068DB">
        <w:t xml:space="preserve">nutrient </w:t>
      </w:r>
      <w:r w:rsidR="00E11301">
        <w:t>enrichment</w:t>
      </w:r>
      <w:r w:rsidR="00E11301" w:rsidRPr="000068DB">
        <w:t xml:space="preserve">. Lawrence and </w:t>
      </w:r>
      <w:proofErr w:type="spellStart"/>
      <w:r w:rsidR="00E11301" w:rsidRPr="000068DB">
        <w:t>Gressens</w:t>
      </w:r>
      <w:proofErr w:type="spellEnd"/>
      <w:r w:rsidR="00E11301" w:rsidRPr="000068DB">
        <w:t xml:space="preserve"> (2011) showed that </w:t>
      </w:r>
      <w:proofErr w:type="spellStart"/>
      <w:r w:rsidR="00E11301" w:rsidRPr="000068DB">
        <w:t>Chironomid</w:t>
      </w:r>
      <w:proofErr w:type="spellEnd"/>
      <w:r w:rsidR="00E11301" w:rsidRPr="000068DB">
        <w:t xml:space="preserve"> abundance correlated with increased nutrient enrichment in urban and rural streams. </w:t>
      </w:r>
      <w:proofErr w:type="spellStart"/>
      <w:r w:rsidR="00E11301" w:rsidRPr="000068DB">
        <w:t>Bjornn</w:t>
      </w:r>
      <w:proofErr w:type="spellEnd"/>
      <w:r w:rsidR="00E11301" w:rsidRPr="000068DB">
        <w:t xml:space="preserve"> </w:t>
      </w:r>
      <w:r w:rsidR="00E11301" w:rsidRPr="000068DB">
        <w:rPr>
          <w:i/>
        </w:rPr>
        <w:t>et al.</w:t>
      </w:r>
      <w:r w:rsidR="00E11301" w:rsidRPr="000068DB">
        <w:t xml:space="preserve"> (1977) demonstrated in artificial mesocosm experiments that increases in fine sediment significantly reduced EPT taxa but were tolerated by </w:t>
      </w:r>
      <w:proofErr w:type="spellStart"/>
      <w:r w:rsidR="00E11301" w:rsidRPr="000068DB">
        <w:t>Chironomid</w:t>
      </w:r>
      <w:proofErr w:type="spellEnd"/>
      <w:r w:rsidR="00E11301" w:rsidRPr="000068DB">
        <w:t xml:space="preserve"> taxa. </w:t>
      </w:r>
      <w:proofErr w:type="spellStart"/>
      <w:r w:rsidR="005F333B" w:rsidRPr="00263C95">
        <w:rPr>
          <w:i/>
        </w:rPr>
        <w:t>Hydropsychidae</w:t>
      </w:r>
      <w:proofErr w:type="spellEnd"/>
      <w:r w:rsidR="005F333B" w:rsidRPr="00263C95">
        <w:t xml:space="preserve"> are net spinning caddisflies that filter suspended food from the water column, so enriched conditions with more suspended solids and organic matter could cause an increase in this taxon</w:t>
      </w:r>
      <w:r w:rsidR="005F333B">
        <w:t xml:space="preserve">. </w:t>
      </w:r>
      <w:r w:rsidR="00E11301">
        <w:t xml:space="preserve">The black fly larvae, </w:t>
      </w:r>
      <w:proofErr w:type="spellStart"/>
      <w:r w:rsidR="00E11301" w:rsidRPr="00BF07C4">
        <w:rPr>
          <w:i/>
        </w:rPr>
        <w:t>Simulium</w:t>
      </w:r>
      <w:proofErr w:type="spellEnd"/>
      <w:r w:rsidR="00E11301">
        <w:t xml:space="preserve">, can be common in fast flowing water, and </w:t>
      </w:r>
      <w:r w:rsidR="00E11301" w:rsidRPr="00867C44">
        <w:t>due to the</w:t>
      </w:r>
      <w:r w:rsidR="00E11301">
        <w:t>ir</w:t>
      </w:r>
      <w:r w:rsidR="00E11301" w:rsidRPr="00867C44">
        <w:t xml:space="preserve"> filter feeding nature, their presence in high numbers can be an indicator of moderate organic or nutrient enrichment (</w:t>
      </w:r>
      <w:proofErr w:type="spellStart"/>
      <w:r w:rsidR="00E11301" w:rsidRPr="00867C44">
        <w:t>Voshell</w:t>
      </w:r>
      <w:proofErr w:type="spellEnd"/>
      <w:r w:rsidR="00E11301" w:rsidRPr="00867C44">
        <w:t>, 2002).</w:t>
      </w:r>
    </w:p>
    <w:p w14:paraId="3D048303" w14:textId="2F6254F9" w:rsidR="00F92B60" w:rsidRDefault="00CA5B5C" w:rsidP="004F6A77">
      <w:pPr>
        <w:pStyle w:val="BlockText"/>
        <w:numPr>
          <w:ilvl w:val="0"/>
          <w:numId w:val="4"/>
        </w:numPr>
      </w:pPr>
      <w:r>
        <w:rPr>
          <w:u w:val="single"/>
        </w:rPr>
        <w:t>Tinker Creek</w:t>
      </w:r>
      <w:r w:rsidR="00F92B60" w:rsidRPr="00263C95">
        <w:t xml:space="preserve"> – </w:t>
      </w:r>
      <w:r>
        <w:t xml:space="preserve">At the impaired Tinker Creek station, sensitive EPT taxa accounted for only 14% of the benthic community, compared to 46% at the upstream unimpaired reference station. </w:t>
      </w:r>
      <w:r w:rsidR="001E553B">
        <w:t xml:space="preserve">The benthic community at the impaired station was dominated by </w:t>
      </w:r>
      <w:proofErr w:type="spellStart"/>
      <w:r w:rsidR="001E553B">
        <w:t>Diptera</w:t>
      </w:r>
      <w:proofErr w:type="spellEnd"/>
      <w:r w:rsidR="001E553B">
        <w:t xml:space="preserve"> (38%), </w:t>
      </w:r>
      <w:proofErr w:type="spellStart"/>
      <w:r w:rsidR="001E553B" w:rsidRPr="00263C95">
        <w:rPr>
          <w:i/>
        </w:rPr>
        <w:t>Hydropsychidae</w:t>
      </w:r>
      <w:proofErr w:type="spellEnd"/>
      <w:r w:rsidR="001E553B">
        <w:t xml:space="preserve"> (22%) and Coleoptera (17%). The </w:t>
      </w:r>
      <w:proofErr w:type="spellStart"/>
      <w:r w:rsidR="001E553B">
        <w:t>Diptera</w:t>
      </w:r>
      <w:proofErr w:type="spellEnd"/>
      <w:r w:rsidR="001E553B">
        <w:t xml:space="preserve"> were mostly </w:t>
      </w:r>
      <w:proofErr w:type="spellStart"/>
      <w:r w:rsidR="001E553B">
        <w:t>Chironomids</w:t>
      </w:r>
      <w:proofErr w:type="spellEnd"/>
      <w:r w:rsidR="001E553B">
        <w:t xml:space="preserve">, which could signal excess sediment or nutrient and organic enrichment. The abundance of </w:t>
      </w:r>
      <w:proofErr w:type="spellStart"/>
      <w:r w:rsidR="001E553B" w:rsidRPr="00263C95">
        <w:rPr>
          <w:i/>
        </w:rPr>
        <w:t>Hydropsychidae</w:t>
      </w:r>
      <w:proofErr w:type="spellEnd"/>
      <w:r w:rsidR="001E553B">
        <w:t xml:space="preserve"> can likewise signal sediment or nutrient and organic enrichment. Most of the Coleoptera in Tinker Creek were in the </w:t>
      </w:r>
      <w:proofErr w:type="spellStart"/>
      <w:r w:rsidR="001E553B" w:rsidRPr="00896098">
        <w:rPr>
          <w:i/>
        </w:rPr>
        <w:t>Elmidae</w:t>
      </w:r>
      <w:proofErr w:type="spellEnd"/>
      <w:r w:rsidR="001E553B">
        <w:t xml:space="preserve"> family, which have anal gills covered by a moveable operculum that can protect the gills from suspended solids </w:t>
      </w:r>
      <w:r w:rsidR="001E553B" w:rsidRPr="00867C44">
        <w:t>(</w:t>
      </w:r>
      <w:proofErr w:type="spellStart"/>
      <w:r w:rsidR="001E553B" w:rsidRPr="00867C44">
        <w:t>Voshell</w:t>
      </w:r>
      <w:proofErr w:type="spellEnd"/>
      <w:r w:rsidR="001E553B" w:rsidRPr="00867C44">
        <w:t>, 2002)</w:t>
      </w:r>
      <w:r w:rsidR="001E553B">
        <w:t xml:space="preserve">. This characteristic could give the </w:t>
      </w:r>
      <w:proofErr w:type="spellStart"/>
      <w:r w:rsidR="001E553B" w:rsidRPr="00A83812">
        <w:rPr>
          <w:i/>
        </w:rPr>
        <w:t>Elmidae</w:t>
      </w:r>
      <w:proofErr w:type="spellEnd"/>
      <w:r w:rsidR="001E553B">
        <w:t xml:space="preserve"> a competitive advantage in higher suspended solids environments, so their abundance could indicate an early community response to suspended solids as a stressor. </w:t>
      </w:r>
    </w:p>
    <w:p w14:paraId="6A62A48E" w14:textId="5DD3C293" w:rsidR="00B2702F" w:rsidRPr="00263C95" w:rsidRDefault="00B2702F" w:rsidP="004F6A77">
      <w:pPr>
        <w:pStyle w:val="BlockText"/>
        <w:numPr>
          <w:ilvl w:val="0"/>
          <w:numId w:val="4"/>
        </w:numPr>
      </w:pPr>
      <w:r>
        <w:rPr>
          <w:u w:val="single"/>
        </w:rPr>
        <w:t xml:space="preserve">Roanoke River </w:t>
      </w:r>
      <w:r>
        <w:t>– At the impaired Roanoke River stations, sensitive EPT taxa ranged from 20% to 24% of the benthic community, compared to 32% at the upstream reference station. Like Wolf Cree</w:t>
      </w:r>
      <w:r w:rsidR="0093390F">
        <w:t>k</w:t>
      </w:r>
      <w:r>
        <w:t xml:space="preserve"> and Tinker Creek, the Roanoke River benthic community was dominated by </w:t>
      </w:r>
      <w:proofErr w:type="spellStart"/>
      <w:r>
        <w:t>Diptera</w:t>
      </w:r>
      <w:proofErr w:type="spellEnd"/>
      <w:r>
        <w:t xml:space="preserve"> (23 to 33%) and </w:t>
      </w:r>
      <w:proofErr w:type="spellStart"/>
      <w:r w:rsidRPr="00263C95">
        <w:rPr>
          <w:i/>
        </w:rPr>
        <w:t>Hydropsychidae</w:t>
      </w:r>
      <w:proofErr w:type="spellEnd"/>
      <w:r>
        <w:t xml:space="preserve"> (20 to 22%). Ephemeroptera were the third most prevalent taxonomic group. As described above, the dominance of </w:t>
      </w:r>
      <w:proofErr w:type="spellStart"/>
      <w:r w:rsidR="004F4893" w:rsidRPr="00263C95">
        <w:rPr>
          <w:i/>
        </w:rPr>
        <w:t>Hydropsychidae</w:t>
      </w:r>
      <w:proofErr w:type="spellEnd"/>
      <w:r w:rsidR="004F4893">
        <w:t xml:space="preserve"> and </w:t>
      </w:r>
      <w:proofErr w:type="spellStart"/>
      <w:r>
        <w:t>Diptera</w:t>
      </w:r>
      <w:proofErr w:type="spellEnd"/>
      <w:r>
        <w:t xml:space="preserve"> </w:t>
      </w:r>
      <w:r w:rsidR="004F4893">
        <w:t xml:space="preserve">from the </w:t>
      </w:r>
      <w:proofErr w:type="spellStart"/>
      <w:r w:rsidR="004F4893">
        <w:t>Chironomid</w:t>
      </w:r>
      <w:proofErr w:type="spellEnd"/>
      <w:r w:rsidR="004F4893">
        <w:t xml:space="preserve"> group could signal excess sediment or nutrient and organic enrichment as potential stressors.  </w:t>
      </w:r>
      <w:r>
        <w:t xml:space="preserve">  </w:t>
      </w:r>
    </w:p>
    <w:p w14:paraId="798BBA82" w14:textId="13E3AEEA" w:rsidR="00BA50C9" w:rsidRPr="00263C95" w:rsidRDefault="00BA50C9" w:rsidP="00C80905">
      <w:pPr>
        <w:spacing w:before="120" w:after="120" w:line="360" w:lineRule="auto"/>
      </w:pPr>
    </w:p>
    <w:p w14:paraId="5759B91B" w14:textId="72A0BA23" w:rsidR="00F92B60" w:rsidRPr="00263C95" w:rsidRDefault="00A04792" w:rsidP="00F92B60">
      <w:pPr>
        <w:keepNext/>
        <w:spacing w:before="120" w:after="120" w:line="360" w:lineRule="auto"/>
      </w:pPr>
      <w:r>
        <w:rPr>
          <w:noProof/>
        </w:rPr>
        <w:drawing>
          <wp:inline distT="0" distB="0" distL="0" distR="0" wp14:anchorId="3B70CE23" wp14:editId="72532B2E">
            <wp:extent cx="5821680" cy="5532120"/>
            <wp:effectExtent l="0" t="0" r="7620" b="0"/>
            <wp:docPr id="24" name="Picture 24" descr="Taxonomic composition of Wolf Creek and Tinker Creek impaired stations compared to a reference (4ATKR0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1680" cy="5532120"/>
                    </a:xfrm>
                    <a:prstGeom prst="rect">
                      <a:avLst/>
                    </a:prstGeom>
                    <a:noFill/>
                  </pic:spPr>
                </pic:pic>
              </a:graphicData>
            </a:graphic>
          </wp:inline>
        </w:drawing>
      </w:r>
    </w:p>
    <w:p w14:paraId="7ED9E3C6" w14:textId="2410983F" w:rsidR="000B186F" w:rsidRPr="00263C95" w:rsidRDefault="00F92B60" w:rsidP="00F92B60">
      <w:pPr>
        <w:pStyle w:val="Caption"/>
      </w:pPr>
      <w:bookmarkStart w:id="49" w:name="_Ref45699232"/>
      <w:bookmarkStart w:id="50" w:name="_Toc162948229"/>
      <w:r w:rsidRPr="00263C95">
        <w:t xml:space="preserve">Figure </w:t>
      </w:r>
      <w:r w:rsidR="00563518" w:rsidRPr="00263C95">
        <w:rPr>
          <w:noProof/>
        </w:rPr>
        <w:fldChar w:fldCharType="begin"/>
      </w:r>
      <w:r w:rsidR="00563518" w:rsidRPr="00263C95">
        <w:rPr>
          <w:noProof/>
        </w:rPr>
        <w:instrText xml:space="preserve"> SEQ Figure \* ARABIC </w:instrText>
      </w:r>
      <w:r w:rsidR="00563518" w:rsidRPr="00263C95">
        <w:rPr>
          <w:noProof/>
        </w:rPr>
        <w:fldChar w:fldCharType="separate"/>
      </w:r>
      <w:r w:rsidR="004A78BF">
        <w:rPr>
          <w:noProof/>
        </w:rPr>
        <w:t>11</w:t>
      </w:r>
      <w:r w:rsidR="00563518" w:rsidRPr="00263C95">
        <w:rPr>
          <w:noProof/>
        </w:rPr>
        <w:fldChar w:fldCharType="end"/>
      </w:r>
      <w:bookmarkEnd w:id="49"/>
      <w:r w:rsidRPr="00263C95">
        <w:t xml:space="preserve">. Taxonomic composition of </w:t>
      </w:r>
      <w:r w:rsidR="00A04792">
        <w:t xml:space="preserve">Wolf Creek and Tinker Creek impaired stations </w:t>
      </w:r>
      <w:r w:rsidRPr="00263C95">
        <w:t>compared to a reference</w:t>
      </w:r>
      <w:r w:rsidR="00D51088">
        <w:t xml:space="preserve"> (4ATKR014.16).</w:t>
      </w:r>
      <w:bookmarkEnd w:id="50"/>
    </w:p>
    <w:p w14:paraId="60C192BE" w14:textId="0A3BF50B" w:rsidR="00F92B60" w:rsidRDefault="00F92B60" w:rsidP="00C80905">
      <w:pPr>
        <w:spacing w:before="120" w:after="120" w:line="360" w:lineRule="auto"/>
        <w:rPr>
          <w:highlight w:val="yellow"/>
        </w:rPr>
      </w:pPr>
    </w:p>
    <w:p w14:paraId="3EA0409A" w14:textId="77777777" w:rsidR="00A04792" w:rsidRDefault="00A04792" w:rsidP="00A04792">
      <w:pPr>
        <w:keepNext/>
        <w:spacing w:before="120" w:after="120" w:line="360" w:lineRule="auto"/>
      </w:pPr>
      <w:r w:rsidRPr="00A04792">
        <w:rPr>
          <w:noProof/>
        </w:rPr>
        <w:drawing>
          <wp:inline distT="0" distB="0" distL="0" distR="0" wp14:anchorId="32BD09D0" wp14:editId="368522CF">
            <wp:extent cx="5821680" cy="5532120"/>
            <wp:effectExtent l="0" t="0" r="7620" b="0"/>
            <wp:docPr id="25" name="Picture 25" descr="Taxonomic composition of Roanoke River impaired stations compared to a reference (4AROA2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21680" cy="5532120"/>
                    </a:xfrm>
                    <a:prstGeom prst="rect">
                      <a:avLst/>
                    </a:prstGeom>
                    <a:noFill/>
                  </pic:spPr>
                </pic:pic>
              </a:graphicData>
            </a:graphic>
          </wp:inline>
        </w:drawing>
      </w:r>
    </w:p>
    <w:p w14:paraId="39344C24" w14:textId="2DF45574" w:rsidR="00A04792" w:rsidRPr="00A04792" w:rsidRDefault="00A04792" w:rsidP="00A04792">
      <w:pPr>
        <w:pStyle w:val="Caption"/>
      </w:pPr>
      <w:bookmarkStart w:id="51" w:name="_Ref135831010"/>
      <w:bookmarkStart w:id="52" w:name="_Toc162948230"/>
      <w:r>
        <w:t xml:space="preserve">Figure </w:t>
      </w:r>
      <w:r w:rsidR="00D03C3C">
        <w:rPr>
          <w:noProof/>
        </w:rPr>
        <w:fldChar w:fldCharType="begin"/>
      </w:r>
      <w:r w:rsidR="00D03C3C">
        <w:rPr>
          <w:noProof/>
        </w:rPr>
        <w:instrText xml:space="preserve"> SEQ Figure \* ARABIC </w:instrText>
      </w:r>
      <w:r w:rsidR="00D03C3C">
        <w:rPr>
          <w:noProof/>
        </w:rPr>
        <w:fldChar w:fldCharType="separate"/>
      </w:r>
      <w:r w:rsidR="004A78BF">
        <w:rPr>
          <w:noProof/>
        </w:rPr>
        <w:t>12</w:t>
      </w:r>
      <w:r w:rsidR="00D03C3C">
        <w:rPr>
          <w:noProof/>
        </w:rPr>
        <w:fldChar w:fldCharType="end"/>
      </w:r>
      <w:bookmarkEnd w:id="51"/>
      <w:r>
        <w:t xml:space="preserve">. </w:t>
      </w:r>
      <w:r w:rsidRPr="00263C95">
        <w:t xml:space="preserve">Taxonomic composition of </w:t>
      </w:r>
      <w:r>
        <w:t xml:space="preserve">Roanoke River impaired stations </w:t>
      </w:r>
      <w:r w:rsidRPr="00263C95">
        <w:t>compared to a reference</w:t>
      </w:r>
      <w:r w:rsidR="00F65557">
        <w:t xml:space="preserve"> (4AROA212.17).</w:t>
      </w:r>
      <w:bookmarkEnd w:id="52"/>
    </w:p>
    <w:p w14:paraId="61E74F4E" w14:textId="77777777" w:rsidR="00A04792" w:rsidRPr="007A0C83" w:rsidRDefault="00A04792" w:rsidP="00F35736">
      <w:pPr>
        <w:spacing w:line="240" w:lineRule="auto"/>
        <w:rPr>
          <w:highlight w:val="yellow"/>
        </w:rPr>
      </w:pPr>
    </w:p>
    <w:p w14:paraId="4AB8580B" w14:textId="1F318113" w:rsidR="00CB5F12" w:rsidRPr="00D74F5D" w:rsidRDefault="00CB5F12" w:rsidP="00CB5F12">
      <w:pPr>
        <w:pStyle w:val="Heading3"/>
      </w:pPr>
      <w:bookmarkStart w:id="53" w:name="_Toc162948158"/>
      <w:r w:rsidRPr="00D74F5D">
        <w:t xml:space="preserve">Biological Condition Gradient </w:t>
      </w:r>
      <w:r w:rsidR="00271B2F">
        <w:t xml:space="preserve">Attribute </w:t>
      </w:r>
      <w:r w:rsidRPr="00D74F5D">
        <w:t>Analysis</w:t>
      </w:r>
      <w:bookmarkEnd w:id="53"/>
    </w:p>
    <w:p w14:paraId="554ECA6B" w14:textId="46DAD124" w:rsidR="00CB5F12" w:rsidRPr="00D74F5D" w:rsidRDefault="00CB5F12" w:rsidP="00CB5F12">
      <w:pPr>
        <w:spacing w:before="120" w:after="120" w:line="360" w:lineRule="auto"/>
      </w:pPr>
      <w:r w:rsidRPr="00D74F5D">
        <w:t xml:space="preserve">In 2019, Tetra Tech </w:t>
      </w:r>
      <w:r w:rsidR="00271B2F">
        <w:t>began working</w:t>
      </w:r>
      <w:r w:rsidRPr="00D74F5D">
        <w:t xml:space="preserve"> with mid-Atlantic region states (including Virginia) to develop a conceptual model of environmental condition called the Biological Condition Gradient (BCG). The </w:t>
      </w:r>
      <w:r w:rsidR="00271B2F">
        <w:t xml:space="preserve">goal of the </w:t>
      </w:r>
      <w:r w:rsidRPr="00D74F5D">
        <w:t xml:space="preserve">BCG </w:t>
      </w:r>
      <w:r w:rsidR="00271B2F">
        <w:t xml:space="preserve">will be to </w:t>
      </w:r>
      <w:r w:rsidRPr="00D74F5D">
        <w:t xml:space="preserve">describe environmental conditions by analyzing </w:t>
      </w:r>
      <w:r w:rsidR="000007BE" w:rsidRPr="00D74F5D">
        <w:t xml:space="preserve">patterns of pollution tolerance among fish and macroinvertebrates present. </w:t>
      </w:r>
      <w:r w:rsidR="00271B2F">
        <w:t xml:space="preserve">The first step in developing the BCG was to </w:t>
      </w:r>
      <w:r w:rsidR="000007BE" w:rsidRPr="00D74F5D">
        <w:t xml:space="preserve">define </w:t>
      </w:r>
      <w:r w:rsidR="00ED5286" w:rsidRPr="00D74F5D">
        <w:t>six</w:t>
      </w:r>
      <w:r w:rsidR="000007BE" w:rsidRPr="00D74F5D">
        <w:t xml:space="preserve"> attributes related to pollution tolerance and score th</w:t>
      </w:r>
      <w:r w:rsidR="00271B2F">
        <w:t>ose</w:t>
      </w:r>
      <w:r w:rsidR="000007BE" w:rsidRPr="00D74F5D">
        <w:t xml:space="preserve"> attributes across 560 macroinvertebrate taxa for 10 specific stressors</w:t>
      </w:r>
      <w:r w:rsidR="00CC60A2" w:rsidRPr="00CC60A2">
        <w:t xml:space="preserve"> </w:t>
      </w:r>
      <w:r w:rsidR="00CC60A2">
        <w:t>(</w:t>
      </w:r>
      <w:r w:rsidR="00CC60A2" w:rsidRPr="00D74F5D">
        <w:t>Tetra Tech, 2019</w:t>
      </w:r>
      <w:r w:rsidR="00CC60A2">
        <w:t>)</w:t>
      </w:r>
      <w:r w:rsidR="00E56309" w:rsidRPr="00D74F5D">
        <w:t xml:space="preserve"> </w:t>
      </w:r>
      <w:r w:rsidR="00E56309" w:rsidRPr="00D74F5D">
        <w:fldChar w:fldCharType="begin"/>
      </w:r>
      <w:r w:rsidR="00E56309" w:rsidRPr="00D74F5D">
        <w:instrText xml:space="preserve"> REF _Ref48637353 \h </w:instrText>
      </w:r>
      <w:r w:rsidR="00867C44" w:rsidRPr="00D74F5D">
        <w:instrText xml:space="preserve"> \* MERGEFORMAT </w:instrText>
      </w:r>
      <w:r w:rsidR="00E56309" w:rsidRPr="00D74F5D">
        <w:fldChar w:fldCharType="separate"/>
      </w:r>
      <w:r w:rsidR="004A78BF" w:rsidRPr="00D74F5D">
        <w:t xml:space="preserve">Table </w:t>
      </w:r>
      <w:r w:rsidR="004A78BF">
        <w:rPr>
          <w:noProof/>
        </w:rPr>
        <w:t>5</w:t>
      </w:r>
      <w:r w:rsidR="00E56309" w:rsidRPr="00D74F5D">
        <w:fldChar w:fldCharType="end"/>
      </w:r>
      <w:r w:rsidR="00CC60A2">
        <w:t xml:space="preserve"> describes these six attributes and the stressors evaluated</w:t>
      </w:r>
      <w:r w:rsidR="000007BE" w:rsidRPr="00D74F5D">
        <w:t xml:space="preserve">. </w:t>
      </w:r>
      <w:r w:rsidR="00E56309" w:rsidRPr="00D74F5D">
        <w:t xml:space="preserve">Attributes were scored for each taxa and stressor combination based on statistical analysis of regional data and expert consensus. The result is a database </w:t>
      </w:r>
      <w:r w:rsidR="00CC60A2">
        <w:t xml:space="preserve">of taxa tolerance attribution </w:t>
      </w:r>
      <w:r w:rsidR="00E56309" w:rsidRPr="00D74F5D">
        <w:t>that can be useful for stressor analysis.</w:t>
      </w:r>
    </w:p>
    <w:p w14:paraId="7D444B26" w14:textId="38CA6D8B" w:rsidR="00F35736" w:rsidRDefault="00E56309" w:rsidP="00CB5F12">
      <w:pPr>
        <w:spacing w:before="120" w:after="120" w:line="360" w:lineRule="auto"/>
      </w:pPr>
      <w:r w:rsidRPr="00D74F5D">
        <w:t xml:space="preserve">Using </w:t>
      </w:r>
      <w:r w:rsidR="00CC60A2">
        <w:t>BCG attribut</w:t>
      </w:r>
      <w:r w:rsidR="007E2E2D">
        <w:t>e</w:t>
      </w:r>
      <w:r w:rsidR="00CC60A2">
        <w:t xml:space="preserve"> data</w:t>
      </w:r>
      <w:r w:rsidRPr="00D74F5D">
        <w:t xml:space="preserve">, </w:t>
      </w:r>
      <w:r w:rsidR="00CC60A2">
        <w:t xml:space="preserve">the </w:t>
      </w:r>
      <w:r w:rsidRPr="00D74F5D">
        <w:t xml:space="preserve">taxa present at each of the impaired streams were assigned attribute scores for each stressor. The average scores and the scores for predominant species were evaluated for each stressor to identify potential stressors that might be indicative of the pattern of organism tolerance observed. </w:t>
      </w:r>
      <w:r w:rsidR="00491AF4" w:rsidRPr="00D74F5D">
        <w:fldChar w:fldCharType="begin"/>
      </w:r>
      <w:r w:rsidR="00491AF4" w:rsidRPr="00D74F5D">
        <w:instrText xml:space="preserve"> REF _Ref48640986 \h </w:instrText>
      </w:r>
      <w:r w:rsidR="00867C44" w:rsidRPr="00D74F5D">
        <w:instrText xml:space="preserve"> \* MERGEFORMAT </w:instrText>
      </w:r>
      <w:r w:rsidR="00491AF4" w:rsidRPr="00D74F5D">
        <w:fldChar w:fldCharType="separate"/>
      </w:r>
      <w:r w:rsidR="004A78BF" w:rsidRPr="00D74F5D">
        <w:t xml:space="preserve">Table </w:t>
      </w:r>
      <w:r w:rsidR="004A78BF">
        <w:rPr>
          <w:noProof/>
        </w:rPr>
        <w:t>6</w:t>
      </w:r>
      <w:r w:rsidR="00491AF4" w:rsidRPr="00D74F5D">
        <w:fldChar w:fldCharType="end"/>
      </w:r>
      <w:r w:rsidR="00491AF4" w:rsidRPr="00D74F5D">
        <w:t xml:space="preserve"> shows the BCG </w:t>
      </w:r>
      <w:r w:rsidR="007E2E2D">
        <w:t xml:space="preserve">attribute </w:t>
      </w:r>
      <w:r w:rsidR="00491AF4" w:rsidRPr="00D74F5D">
        <w:t xml:space="preserve">scores for the </w:t>
      </w:r>
      <w:r w:rsidR="007D76B3" w:rsidRPr="00D74F5D">
        <w:t xml:space="preserve">three most prevalent taxa at each of the impaired monitoring stations. Attribute scores of 5 indicate tolerant taxa that would be expected to increase in number when the respective stressor is present. Some taxa, like </w:t>
      </w:r>
      <w:proofErr w:type="spellStart"/>
      <w:r w:rsidR="007D76B3" w:rsidRPr="00D74F5D">
        <w:rPr>
          <w:i/>
        </w:rPr>
        <w:t>Chironomidae</w:t>
      </w:r>
      <w:proofErr w:type="spellEnd"/>
      <w:r w:rsidR="007D76B3" w:rsidRPr="00D74F5D">
        <w:t>, are relatively tolerant to a wide range of stressor</w:t>
      </w:r>
      <w:r w:rsidR="00B61A95" w:rsidRPr="00D74F5D">
        <w:t>s</w:t>
      </w:r>
      <w:r w:rsidR="007D76B3" w:rsidRPr="00D74F5D">
        <w:t xml:space="preserve"> and don’t show much differentiation with respect to stressor identification. Others, </w:t>
      </w:r>
      <w:r w:rsidR="00AA2F7E" w:rsidRPr="00D74F5D">
        <w:t>however</w:t>
      </w:r>
      <w:r w:rsidR="007D76B3" w:rsidRPr="00D74F5D">
        <w:t xml:space="preserve">, show better differentiation and can be indicators of specific stressors. </w:t>
      </w:r>
    </w:p>
    <w:p w14:paraId="47375D7D" w14:textId="7F65BE59" w:rsidR="00E65D2E" w:rsidRPr="00D74F5D" w:rsidRDefault="00492014" w:rsidP="00F35736">
      <w:pPr>
        <w:spacing w:line="240" w:lineRule="auto"/>
      </w:pPr>
      <w:r w:rsidRPr="00D74F5D">
        <w:t xml:space="preserve"> </w:t>
      </w:r>
    </w:p>
    <w:p w14:paraId="3FF6EC1E" w14:textId="7F29A57D" w:rsidR="00E65D2E" w:rsidRPr="00D74F5D" w:rsidRDefault="00E65D2E" w:rsidP="00E65D2E">
      <w:pPr>
        <w:pStyle w:val="Caption"/>
      </w:pPr>
      <w:bookmarkStart w:id="54" w:name="_Ref48637353"/>
      <w:bookmarkStart w:id="55" w:name="_Toc162948272"/>
      <w:r w:rsidRPr="00D74F5D">
        <w:t xml:space="preserve">Table </w:t>
      </w:r>
      <w:r w:rsidR="00AE28FC" w:rsidRPr="00D74F5D">
        <w:rPr>
          <w:noProof/>
        </w:rPr>
        <w:fldChar w:fldCharType="begin"/>
      </w:r>
      <w:r w:rsidR="00AE28FC" w:rsidRPr="00D74F5D">
        <w:rPr>
          <w:noProof/>
        </w:rPr>
        <w:instrText xml:space="preserve"> SEQ Table \* ARABIC </w:instrText>
      </w:r>
      <w:r w:rsidR="00AE28FC" w:rsidRPr="00D74F5D">
        <w:rPr>
          <w:noProof/>
        </w:rPr>
        <w:fldChar w:fldCharType="separate"/>
      </w:r>
      <w:r w:rsidR="004A78BF">
        <w:rPr>
          <w:noProof/>
        </w:rPr>
        <w:t>5</w:t>
      </w:r>
      <w:r w:rsidR="00AE28FC" w:rsidRPr="00D74F5D">
        <w:rPr>
          <w:noProof/>
        </w:rPr>
        <w:fldChar w:fldCharType="end"/>
      </w:r>
      <w:bookmarkEnd w:id="54"/>
      <w:r w:rsidRPr="00D74F5D">
        <w:t>. Biological condition gradient attributes and stressors evaluated.</w:t>
      </w:r>
      <w:bookmarkEnd w:id="55"/>
    </w:p>
    <w:tbl>
      <w:tblPr>
        <w:tblW w:w="9393"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1"/>
        <w:gridCol w:w="4912"/>
        <w:gridCol w:w="2610"/>
      </w:tblGrid>
      <w:tr w:rsidR="00E65D2E" w:rsidRPr="00D74F5D" w14:paraId="62851D00" w14:textId="77777777" w:rsidTr="00E65D2E">
        <w:trPr>
          <w:trHeight w:val="732"/>
        </w:trPr>
        <w:tc>
          <w:tcPr>
            <w:tcW w:w="1871" w:type="dxa"/>
            <w:shd w:val="clear" w:color="auto" w:fill="D9D9D9" w:themeFill="background1" w:themeFillShade="D9"/>
            <w:vAlign w:val="center"/>
          </w:tcPr>
          <w:p w14:paraId="461ACD59" w14:textId="30C4B610" w:rsidR="00E65D2E" w:rsidRPr="00D74F5D" w:rsidRDefault="00E65D2E" w:rsidP="00066FB6">
            <w:pPr>
              <w:autoSpaceDE w:val="0"/>
              <w:autoSpaceDN w:val="0"/>
              <w:adjustRightInd w:val="0"/>
              <w:jc w:val="center"/>
              <w:rPr>
                <w:rFonts w:ascii="Arial Narrow" w:hAnsi="Arial Narrow" w:cs="Calibri"/>
                <w:b/>
                <w:bCs/>
                <w:color w:val="000000"/>
                <w:sz w:val="20"/>
                <w:szCs w:val="20"/>
              </w:rPr>
            </w:pPr>
            <w:r w:rsidRPr="00D74F5D">
              <w:rPr>
                <w:rFonts w:ascii="Arial Narrow" w:hAnsi="Arial Narrow" w:cs="Calibri"/>
                <w:b/>
                <w:bCs/>
                <w:color w:val="000000"/>
                <w:sz w:val="20"/>
                <w:szCs w:val="20"/>
              </w:rPr>
              <w:t>Attribute</w:t>
            </w:r>
          </w:p>
        </w:tc>
        <w:tc>
          <w:tcPr>
            <w:tcW w:w="4912" w:type="dxa"/>
            <w:shd w:val="clear" w:color="auto" w:fill="D9D9D9" w:themeFill="background1" w:themeFillShade="D9"/>
            <w:vAlign w:val="center"/>
          </w:tcPr>
          <w:p w14:paraId="0D44A341" w14:textId="483C8186" w:rsidR="00E65D2E" w:rsidRPr="00D74F5D" w:rsidRDefault="00E65D2E" w:rsidP="00066FB6">
            <w:pPr>
              <w:autoSpaceDE w:val="0"/>
              <w:autoSpaceDN w:val="0"/>
              <w:adjustRightInd w:val="0"/>
              <w:jc w:val="center"/>
              <w:rPr>
                <w:rFonts w:ascii="Arial Narrow" w:hAnsi="Arial Narrow" w:cs="Calibri"/>
                <w:b/>
                <w:bCs/>
                <w:color w:val="000000"/>
                <w:sz w:val="20"/>
                <w:szCs w:val="20"/>
              </w:rPr>
            </w:pPr>
            <w:r w:rsidRPr="00D74F5D">
              <w:rPr>
                <w:rFonts w:ascii="Arial Narrow" w:hAnsi="Arial Narrow" w:cs="Calibri"/>
                <w:b/>
                <w:bCs/>
                <w:color w:val="000000"/>
                <w:sz w:val="20"/>
                <w:szCs w:val="20"/>
              </w:rPr>
              <w:t>Explanation</w:t>
            </w:r>
          </w:p>
        </w:tc>
        <w:tc>
          <w:tcPr>
            <w:tcW w:w="2610" w:type="dxa"/>
            <w:tcBorders>
              <w:bottom w:val="single" w:sz="4" w:space="0" w:color="auto"/>
            </w:tcBorders>
            <w:shd w:val="clear" w:color="auto" w:fill="D9D9D9" w:themeFill="background1" w:themeFillShade="D9"/>
            <w:vAlign w:val="center"/>
          </w:tcPr>
          <w:p w14:paraId="1D37B8E0" w14:textId="387A7EE2" w:rsidR="00E65D2E" w:rsidRPr="00D74F5D" w:rsidRDefault="00E65D2E" w:rsidP="00066FB6">
            <w:pPr>
              <w:autoSpaceDE w:val="0"/>
              <w:autoSpaceDN w:val="0"/>
              <w:adjustRightInd w:val="0"/>
              <w:jc w:val="center"/>
              <w:rPr>
                <w:rFonts w:ascii="Arial Narrow" w:hAnsi="Arial Narrow" w:cs="Calibri"/>
                <w:b/>
                <w:bCs/>
                <w:color w:val="000000"/>
                <w:sz w:val="20"/>
                <w:szCs w:val="20"/>
              </w:rPr>
            </w:pPr>
            <w:r w:rsidRPr="00D74F5D">
              <w:rPr>
                <w:rFonts w:ascii="Arial Narrow" w:hAnsi="Arial Narrow" w:cs="Calibri"/>
                <w:b/>
                <w:bCs/>
                <w:color w:val="000000"/>
                <w:sz w:val="20"/>
                <w:szCs w:val="20"/>
              </w:rPr>
              <w:t>Stressors Evaluated</w:t>
            </w:r>
          </w:p>
        </w:tc>
      </w:tr>
      <w:tr w:rsidR="00E65D2E" w:rsidRPr="00D74F5D" w14:paraId="43B8708A" w14:textId="77777777" w:rsidTr="00E65D2E">
        <w:trPr>
          <w:trHeight w:val="290"/>
        </w:trPr>
        <w:tc>
          <w:tcPr>
            <w:tcW w:w="1871" w:type="dxa"/>
            <w:vAlign w:val="center"/>
          </w:tcPr>
          <w:p w14:paraId="27B66B3C" w14:textId="306D0762" w:rsidR="00E65D2E" w:rsidRPr="00D74F5D" w:rsidRDefault="00E65D2E" w:rsidP="00066FB6">
            <w:pPr>
              <w:autoSpaceDE w:val="0"/>
              <w:autoSpaceDN w:val="0"/>
              <w:adjustRightInd w:val="0"/>
              <w:jc w:val="center"/>
              <w:rPr>
                <w:rFonts w:ascii="Arial Narrow" w:hAnsi="Arial Narrow" w:cs="Calibri"/>
                <w:color w:val="000000"/>
                <w:sz w:val="20"/>
                <w:szCs w:val="20"/>
              </w:rPr>
            </w:pPr>
            <w:r w:rsidRPr="00D74F5D">
              <w:rPr>
                <w:rFonts w:ascii="Arial Narrow" w:hAnsi="Arial Narrow" w:cs="Calibri"/>
                <w:color w:val="000000"/>
                <w:sz w:val="20"/>
                <w:szCs w:val="20"/>
              </w:rPr>
              <w:t>I</w:t>
            </w:r>
          </w:p>
        </w:tc>
        <w:tc>
          <w:tcPr>
            <w:tcW w:w="4912" w:type="dxa"/>
          </w:tcPr>
          <w:p w14:paraId="1C3C954C" w14:textId="317DE343" w:rsidR="00E65D2E" w:rsidRPr="00D74F5D" w:rsidRDefault="00E65D2E" w:rsidP="00066FB6">
            <w:pPr>
              <w:autoSpaceDE w:val="0"/>
              <w:autoSpaceDN w:val="0"/>
              <w:adjustRightInd w:val="0"/>
              <w:jc w:val="center"/>
              <w:rPr>
                <w:rFonts w:ascii="Arial Narrow" w:hAnsi="Arial Narrow" w:cs="Calibri"/>
                <w:color w:val="000000"/>
                <w:sz w:val="20"/>
                <w:szCs w:val="20"/>
              </w:rPr>
            </w:pPr>
            <w:r w:rsidRPr="00D74F5D">
              <w:rPr>
                <w:rFonts w:ascii="Arial Narrow" w:hAnsi="Arial Narrow" w:cs="Calibri"/>
                <w:color w:val="000000"/>
                <w:sz w:val="20"/>
                <w:szCs w:val="20"/>
              </w:rPr>
              <w:t>Historically documented, sensitive, long-lived or regionally endemic taxa</w:t>
            </w:r>
          </w:p>
        </w:tc>
        <w:tc>
          <w:tcPr>
            <w:tcW w:w="2610" w:type="dxa"/>
            <w:tcBorders>
              <w:bottom w:val="nil"/>
            </w:tcBorders>
            <w:vAlign w:val="center"/>
          </w:tcPr>
          <w:p w14:paraId="288834FD" w14:textId="77777777" w:rsidR="00E65D2E" w:rsidRPr="00D74F5D" w:rsidRDefault="00E65D2E" w:rsidP="00066FB6">
            <w:pPr>
              <w:autoSpaceDE w:val="0"/>
              <w:autoSpaceDN w:val="0"/>
              <w:adjustRightInd w:val="0"/>
              <w:jc w:val="center"/>
              <w:rPr>
                <w:rFonts w:ascii="Arial Narrow" w:hAnsi="Arial Narrow" w:cs="Arial Narrow"/>
                <w:color w:val="000000"/>
                <w:sz w:val="20"/>
                <w:szCs w:val="20"/>
              </w:rPr>
            </w:pPr>
            <w:r w:rsidRPr="00D74F5D">
              <w:rPr>
                <w:rFonts w:ascii="Arial Narrow" w:hAnsi="Arial Narrow" w:cs="Arial Narrow"/>
                <w:color w:val="000000"/>
                <w:sz w:val="20"/>
                <w:szCs w:val="20"/>
              </w:rPr>
              <w:t>Dissolved oxygen</w:t>
            </w:r>
          </w:p>
          <w:p w14:paraId="5B38366F" w14:textId="7E26A30B" w:rsidR="00E65D2E" w:rsidRPr="00D74F5D" w:rsidRDefault="00E65D2E" w:rsidP="00066FB6">
            <w:pPr>
              <w:autoSpaceDE w:val="0"/>
              <w:autoSpaceDN w:val="0"/>
              <w:adjustRightInd w:val="0"/>
              <w:jc w:val="center"/>
              <w:rPr>
                <w:rFonts w:ascii="Arial Narrow" w:hAnsi="Arial Narrow" w:cs="Calibri"/>
                <w:color w:val="000000"/>
                <w:sz w:val="20"/>
                <w:szCs w:val="20"/>
              </w:rPr>
            </w:pPr>
            <w:r w:rsidRPr="00D74F5D">
              <w:rPr>
                <w:rFonts w:ascii="Arial Narrow" w:hAnsi="Arial Narrow" w:cs="Calibri"/>
                <w:color w:val="000000"/>
                <w:sz w:val="20"/>
                <w:szCs w:val="20"/>
              </w:rPr>
              <w:t>Acidity</w:t>
            </w:r>
          </w:p>
        </w:tc>
      </w:tr>
      <w:tr w:rsidR="00E65D2E" w:rsidRPr="00D74F5D" w14:paraId="1F84B38E" w14:textId="77777777" w:rsidTr="00E65D2E">
        <w:trPr>
          <w:trHeight w:val="290"/>
        </w:trPr>
        <w:tc>
          <w:tcPr>
            <w:tcW w:w="1871" w:type="dxa"/>
            <w:vAlign w:val="center"/>
          </w:tcPr>
          <w:p w14:paraId="15C2496F" w14:textId="613CD4A1" w:rsidR="00E65D2E" w:rsidRPr="00D74F5D" w:rsidRDefault="00E65D2E" w:rsidP="00066FB6">
            <w:pPr>
              <w:autoSpaceDE w:val="0"/>
              <w:autoSpaceDN w:val="0"/>
              <w:adjustRightInd w:val="0"/>
              <w:jc w:val="center"/>
              <w:rPr>
                <w:rFonts w:ascii="Arial Narrow" w:hAnsi="Arial Narrow" w:cs="Calibri"/>
                <w:color w:val="000000"/>
                <w:sz w:val="20"/>
                <w:szCs w:val="20"/>
              </w:rPr>
            </w:pPr>
            <w:r w:rsidRPr="00D74F5D">
              <w:rPr>
                <w:rFonts w:ascii="Arial Narrow" w:hAnsi="Arial Narrow" w:cs="Arial Narrow"/>
                <w:color w:val="000000"/>
                <w:sz w:val="20"/>
                <w:szCs w:val="20"/>
              </w:rPr>
              <w:t>II</w:t>
            </w:r>
          </w:p>
        </w:tc>
        <w:tc>
          <w:tcPr>
            <w:tcW w:w="4912" w:type="dxa"/>
            <w:vAlign w:val="center"/>
          </w:tcPr>
          <w:p w14:paraId="5987DEFF" w14:textId="2DFB1111" w:rsidR="00E65D2E" w:rsidRPr="00D74F5D" w:rsidRDefault="00E65D2E" w:rsidP="00066FB6">
            <w:pPr>
              <w:autoSpaceDE w:val="0"/>
              <w:autoSpaceDN w:val="0"/>
              <w:adjustRightInd w:val="0"/>
              <w:jc w:val="center"/>
              <w:rPr>
                <w:rFonts w:ascii="Arial Narrow" w:hAnsi="Arial Narrow" w:cs="Calibri"/>
                <w:color w:val="000000"/>
                <w:sz w:val="20"/>
                <w:szCs w:val="20"/>
              </w:rPr>
            </w:pPr>
            <w:r w:rsidRPr="00D74F5D">
              <w:rPr>
                <w:rFonts w:ascii="Arial Narrow" w:hAnsi="Arial Narrow" w:cs="Arial Narrow"/>
                <w:color w:val="000000"/>
                <w:sz w:val="20"/>
                <w:szCs w:val="20"/>
              </w:rPr>
              <w:t>Highly sensitive taxa</w:t>
            </w:r>
          </w:p>
        </w:tc>
        <w:tc>
          <w:tcPr>
            <w:tcW w:w="2610" w:type="dxa"/>
            <w:tcBorders>
              <w:top w:val="nil"/>
              <w:bottom w:val="nil"/>
            </w:tcBorders>
            <w:vAlign w:val="center"/>
          </w:tcPr>
          <w:p w14:paraId="4C82B4E7" w14:textId="304C00B5" w:rsidR="00E65D2E" w:rsidRPr="00D74F5D" w:rsidRDefault="00E65D2E" w:rsidP="00066FB6">
            <w:pPr>
              <w:autoSpaceDE w:val="0"/>
              <w:autoSpaceDN w:val="0"/>
              <w:adjustRightInd w:val="0"/>
              <w:jc w:val="center"/>
              <w:rPr>
                <w:rFonts w:ascii="Arial Narrow" w:hAnsi="Arial Narrow" w:cs="Arial Narrow"/>
                <w:color w:val="000000"/>
                <w:sz w:val="20"/>
                <w:szCs w:val="20"/>
              </w:rPr>
            </w:pPr>
            <w:r w:rsidRPr="00D74F5D">
              <w:rPr>
                <w:rFonts w:ascii="Arial Narrow" w:hAnsi="Arial Narrow" w:cs="Arial Narrow"/>
                <w:color w:val="000000"/>
                <w:sz w:val="20"/>
                <w:szCs w:val="20"/>
              </w:rPr>
              <w:t>Alkalinity</w:t>
            </w:r>
          </w:p>
        </w:tc>
      </w:tr>
      <w:tr w:rsidR="00E65D2E" w:rsidRPr="00D74F5D" w14:paraId="6ED40F4B" w14:textId="77777777" w:rsidTr="00E65D2E">
        <w:trPr>
          <w:trHeight w:val="290"/>
        </w:trPr>
        <w:tc>
          <w:tcPr>
            <w:tcW w:w="1871" w:type="dxa"/>
            <w:vAlign w:val="center"/>
          </w:tcPr>
          <w:p w14:paraId="6444A9C4" w14:textId="213858C2" w:rsidR="00E65D2E" w:rsidRPr="00D74F5D" w:rsidRDefault="00E65D2E" w:rsidP="00066FB6">
            <w:pPr>
              <w:autoSpaceDE w:val="0"/>
              <w:autoSpaceDN w:val="0"/>
              <w:adjustRightInd w:val="0"/>
              <w:jc w:val="center"/>
              <w:rPr>
                <w:rFonts w:ascii="Arial Narrow" w:hAnsi="Arial Narrow" w:cs="Arial Narrow"/>
                <w:color w:val="000000"/>
                <w:sz w:val="20"/>
                <w:szCs w:val="20"/>
              </w:rPr>
            </w:pPr>
            <w:r w:rsidRPr="00D74F5D">
              <w:rPr>
                <w:rFonts w:ascii="Arial Narrow" w:hAnsi="Arial Narrow" w:cs="Arial Narrow"/>
                <w:color w:val="000000"/>
                <w:sz w:val="20"/>
                <w:szCs w:val="20"/>
              </w:rPr>
              <w:t>III</w:t>
            </w:r>
          </w:p>
        </w:tc>
        <w:tc>
          <w:tcPr>
            <w:tcW w:w="4912" w:type="dxa"/>
            <w:vAlign w:val="center"/>
          </w:tcPr>
          <w:p w14:paraId="3931A2FD" w14:textId="4C36C719" w:rsidR="00E65D2E" w:rsidRPr="00D74F5D" w:rsidRDefault="00E65D2E" w:rsidP="00066FB6">
            <w:pPr>
              <w:autoSpaceDE w:val="0"/>
              <w:autoSpaceDN w:val="0"/>
              <w:adjustRightInd w:val="0"/>
              <w:jc w:val="center"/>
              <w:rPr>
                <w:rFonts w:ascii="Arial Narrow" w:hAnsi="Arial Narrow" w:cs="Arial Narrow"/>
                <w:color w:val="000000"/>
                <w:sz w:val="20"/>
                <w:szCs w:val="20"/>
              </w:rPr>
            </w:pPr>
            <w:r w:rsidRPr="00D74F5D">
              <w:rPr>
                <w:rFonts w:ascii="Arial Narrow" w:hAnsi="Arial Narrow" w:cs="Arial Narrow"/>
                <w:color w:val="000000"/>
                <w:sz w:val="20"/>
                <w:szCs w:val="20"/>
              </w:rPr>
              <w:t>Intermediate sensitive taxa</w:t>
            </w:r>
          </w:p>
        </w:tc>
        <w:tc>
          <w:tcPr>
            <w:tcW w:w="2610" w:type="dxa"/>
            <w:tcBorders>
              <w:top w:val="nil"/>
              <w:bottom w:val="nil"/>
            </w:tcBorders>
            <w:vAlign w:val="center"/>
          </w:tcPr>
          <w:p w14:paraId="40469522" w14:textId="3B587367" w:rsidR="00E65D2E" w:rsidRPr="00D74F5D" w:rsidRDefault="00E65D2E" w:rsidP="00066FB6">
            <w:pPr>
              <w:autoSpaceDE w:val="0"/>
              <w:autoSpaceDN w:val="0"/>
              <w:adjustRightInd w:val="0"/>
              <w:jc w:val="center"/>
              <w:rPr>
                <w:rFonts w:ascii="Arial Narrow" w:hAnsi="Arial Narrow" w:cs="Arial Narrow"/>
                <w:color w:val="000000"/>
                <w:sz w:val="20"/>
                <w:szCs w:val="20"/>
              </w:rPr>
            </w:pPr>
            <w:r w:rsidRPr="00D74F5D">
              <w:rPr>
                <w:rFonts w:ascii="Arial Narrow" w:hAnsi="Arial Narrow" w:cs="Arial Narrow"/>
                <w:color w:val="000000"/>
                <w:sz w:val="20"/>
                <w:szCs w:val="20"/>
              </w:rPr>
              <w:t>Specific Conductivity</w:t>
            </w:r>
          </w:p>
        </w:tc>
      </w:tr>
      <w:tr w:rsidR="00E65D2E" w:rsidRPr="00D74F5D" w14:paraId="463A6436" w14:textId="77777777" w:rsidTr="00E65D2E">
        <w:trPr>
          <w:trHeight w:val="290"/>
        </w:trPr>
        <w:tc>
          <w:tcPr>
            <w:tcW w:w="1871" w:type="dxa"/>
            <w:vAlign w:val="center"/>
          </w:tcPr>
          <w:p w14:paraId="265F453D" w14:textId="687D1310" w:rsidR="00E65D2E" w:rsidRPr="00D74F5D" w:rsidRDefault="00E65D2E" w:rsidP="00066FB6">
            <w:pPr>
              <w:autoSpaceDE w:val="0"/>
              <w:autoSpaceDN w:val="0"/>
              <w:adjustRightInd w:val="0"/>
              <w:jc w:val="center"/>
              <w:rPr>
                <w:rFonts w:ascii="Arial Narrow" w:hAnsi="Arial Narrow" w:cs="Arial Narrow"/>
                <w:color w:val="000000"/>
                <w:sz w:val="20"/>
                <w:szCs w:val="20"/>
              </w:rPr>
            </w:pPr>
            <w:r w:rsidRPr="00D74F5D">
              <w:rPr>
                <w:rFonts w:ascii="Arial Narrow" w:hAnsi="Arial Narrow" w:cs="Arial Narrow"/>
                <w:color w:val="000000"/>
                <w:sz w:val="20"/>
                <w:szCs w:val="20"/>
              </w:rPr>
              <w:t>IV</w:t>
            </w:r>
          </w:p>
        </w:tc>
        <w:tc>
          <w:tcPr>
            <w:tcW w:w="4912" w:type="dxa"/>
            <w:vAlign w:val="center"/>
          </w:tcPr>
          <w:p w14:paraId="2FF00110" w14:textId="45CC6104" w:rsidR="00E65D2E" w:rsidRPr="00D74F5D" w:rsidRDefault="00E65D2E" w:rsidP="00066FB6">
            <w:pPr>
              <w:autoSpaceDE w:val="0"/>
              <w:autoSpaceDN w:val="0"/>
              <w:adjustRightInd w:val="0"/>
              <w:jc w:val="center"/>
              <w:rPr>
                <w:rFonts w:ascii="Arial Narrow" w:hAnsi="Arial Narrow" w:cs="Arial Narrow"/>
                <w:color w:val="000000"/>
                <w:sz w:val="20"/>
                <w:szCs w:val="20"/>
              </w:rPr>
            </w:pPr>
            <w:r w:rsidRPr="00D74F5D">
              <w:rPr>
                <w:rFonts w:ascii="Arial Narrow" w:hAnsi="Arial Narrow" w:cs="Arial Narrow"/>
                <w:color w:val="000000"/>
                <w:sz w:val="20"/>
                <w:szCs w:val="20"/>
              </w:rPr>
              <w:t>Intermediate tolerant taxa</w:t>
            </w:r>
          </w:p>
        </w:tc>
        <w:tc>
          <w:tcPr>
            <w:tcW w:w="2610" w:type="dxa"/>
            <w:tcBorders>
              <w:top w:val="nil"/>
              <w:bottom w:val="nil"/>
            </w:tcBorders>
            <w:vAlign w:val="center"/>
          </w:tcPr>
          <w:p w14:paraId="25659CBA" w14:textId="6C801832" w:rsidR="00E65D2E" w:rsidRPr="00D74F5D" w:rsidRDefault="00E65D2E" w:rsidP="00066FB6">
            <w:pPr>
              <w:autoSpaceDE w:val="0"/>
              <w:autoSpaceDN w:val="0"/>
              <w:adjustRightInd w:val="0"/>
              <w:jc w:val="center"/>
              <w:rPr>
                <w:rFonts w:ascii="Arial Narrow" w:hAnsi="Arial Narrow" w:cs="Arial Narrow"/>
                <w:color w:val="000000"/>
                <w:sz w:val="20"/>
                <w:szCs w:val="20"/>
              </w:rPr>
            </w:pPr>
            <w:r w:rsidRPr="00D74F5D">
              <w:rPr>
                <w:rFonts w:ascii="Arial Narrow" w:hAnsi="Arial Narrow" w:cs="Arial Narrow"/>
                <w:color w:val="000000"/>
                <w:sz w:val="20"/>
                <w:szCs w:val="20"/>
              </w:rPr>
              <w:t>Chloride</w:t>
            </w:r>
          </w:p>
        </w:tc>
      </w:tr>
      <w:tr w:rsidR="00E65D2E" w:rsidRPr="00D74F5D" w14:paraId="325E696A" w14:textId="77777777" w:rsidTr="00E65D2E">
        <w:trPr>
          <w:trHeight w:val="290"/>
        </w:trPr>
        <w:tc>
          <w:tcPr>
            <w:tcW w:w="1871" w:type="dxa"/>
            <w:vAlign w:val="center"/>
          </w:tcPr>
          <w:p w14:paraId="242D3D08" w14:textId="6AFEDDAC" w:rsidR="00E65D2E" w:rsidRPr="00D74F5D" w:rsidRDefault="00E65D2E" w:rsidP="00066FB6">
            <w:pPr>
              <w:autoSpaceDE w:val="0"/>
              <w:autoSpaceDN w:val="0"/>
              <w:adjustRightInd w:val="0"/>
              <w:jc w:val="center"/>
              <w:rPr>
                <w:rFonts w:ascii="Arial Narrow" w:hAnsi="Arial Narrow" w:cs="Arial Narrow"/>
                <w:color w:val="000000"/>
                <w:sz w:val="20"/>
                <w:szCs w:val="20"/>
              </w:rPr>
            </w:pPr>
            <w:r w:rsidRPr="00D74F5D">
              <w:rPr>
                <w:rFonts w:ascii="Arial Narrow" w:hAnsi="Arial Narrow" w:cs="Arial Narrow"/>
                <w:color w:val="000000"/>
                <w:sz w:val="20"/>
                <w:szCs w:val="20"/>
              </w:rPr>
              <w:t>V</w:t>
            </w:r>
          </w:p>
        </w:tc>
        <w:tc>
          <w:tcPr>
            <w:tcW w:w="4912" w:type="dxa"/>
            <w:vAlign w:val="center"/>
          </w:tcPr>
          <w:p w14:paraId="768B173F" w14:textId="1C51202F" w:rsidR="00E65D2E" w:rsidRPr="00D74F5D" w:rsidRDefault="00E65D2E" w:rsidP="00066FB6">
            <w:pPr>
              <w:autoSpaceDE w:val="0"/>
              <w:autoSpaceDN w:val="0"/>
              <w:adjustRightInd w:val="0"/>
              <w:jc w:val="center"/>
              <w:rPr>
                <w:rFonts w:ascii="Arial Narrow" w:hAnsi="Arial Narrow" w:cs="Arial Narrow"/>
                <w:color w:val="000000"/>
                <w:sz w:val="20"/>
                <w:szCs w:val="20"/>
              </w:rPr>
            </w:pPr>
            <w:r w:rsidRPr="00D74F5D">
              <w:rPr>
                <w:rFonts w:ascii="Arial Narrow" w:hAnsi="Arial Narrow" w:cs="Arial Narrow"/>
                <w:color w:val="000000"/>
                <w:sz w:val="20"/>
                <w:szCs w:val="20"/>
              </w:rPr>
              <w:t>Tolerant taxa</w:t>
            </w:r>
          </w:p>
        </w:tc>
        <w:tc>
          <w:tcPr>
            <w:tcW w:w="2610" w:type="dxa"/>
            <w:tcBorders>
              <w:top w:val="nil"/>
              <w:bottom w:val="nil"/>
            </w:tcBorders>
            <w:vAlign w:val="center"/>
          </w:tcPr>
          <w:p w14:paraId="5107C6B2" w14:textId="62ECD0EF" w:rsidR="00E65D2E" w:rsidRPr="00D74F5D" w:rsidRDefault="00E65D2E" w:rsidP="00066FB6">
            <w:pPr>
              <w:autoSpaceDE w:val="0"/>
              <w:autoSpaceDN w:val="0"/>
              <w:adjustRightInd w:val="0"/>
              <w:jc w:val="center"/>
              <w:rPr>
                <w:rFonts w:ascii="Arial Narrow" w:hAnsi="Arial Narrow" w:cs="Arial Narrow"/>
                <w:color w:val="000000"/>
                <w:sz w:val="20"/>
                <w:szCs w:val="20"/>
              </w:rPr>
            </w:pPr>
            <w:r w:rsidRPr="00D74F5D">
              <w:rPr>
                <w:rFonts w:ascii="Arial Narrow" w:hAnsi="Arial Narrow" w:cs="Arial Narrow"/>
                <w:color w:val="000000"/>
                <w:sz w:val="20"/>
                <w:szCs w:val="20"/>
              </w:rPr>
              <w:t>Sulfate</w:t>
            </w:r>
          </w:p>
        </w:tc>
      </w:tr>
      <w:tr w:rsidR="00E65D2E" w:rsidRPr="00D74F5D" w14:paraId="20494A62" w14:textId="77777777" w:rsidTr="00E65D2E">
        <w:trPr>
          <w:trHeight w:val="290"/>
        </w:trPr>
        <w:tc>
          <w:tcPr>
            <w:tcW w:w="1871" w:type="dxa"/>
            <w:tcBorders>
              <w:bottom w:val="single" w:sz="4" w:space="0" w:color="auto"/>
            </w:tcBorders>
            <w:vAlign w:val="center"/>
          </w:tcPr>
          <w:p w14:paraId="6032482B" w14:textId="32EFBEC3" w:rsidR="00E65D2E" w:rsidRPr="00D74F5D" w:rsidRDefault="00E65D2E" w:rsidP="00066FB6">
            <w:pPr>
              <w:autoSpaceDE w:val="0"/>
              <w:autoSpaceDN w:val="0"/>
              <w:adjustRightInd w:val="0"/>
              <w:jc w:val="center"/>
              <w:rPr>
                <w:rFonts w:ascii="Arial Narrow" w:hAnsi="Arial Narrow" w:cs="Arial Narrow"/>
                <w:color w:val="000000"/>
                <w:sz w:val="20"/>
                <w:szCs w:val="20"/>
              </w:rPr>
            </w:pPr>
            <w:r w:rsidRPr="00D74F5D">
              <w:rPr>
                <w:rFonts w:ascii="Arial Narrow" w:hAnsi="Arial Narrow" w:cs="Arial Narrow"/>
                <w:color w:val="000000"/>
                <w:sz w:val="20"/>
                <w:szCs w:val="20"/>
              </w:rPr>
              <w:t>VI</w:t>
            </w:r>
          </w:p>
        </w:tc>
        <w:tc>
          <w:tcPr>
            <w:tcW w:w="4912" w:type="dxa"/>
            <w:tcBorders>
              <w:bottom w:val="single" w:sz="4" w:space="0" w:color="auto"/>
            </w:tcBorders>
            <w:vAlign w:val="center"/>
          </w:tcPr>
          <w:p w14:paraId="04077231" w14:textId="467735CA" w:rsidR="00E65D2E" w:rsidRPr="00D74F5D" w:rsidRDefault="00E65D2E" w:rsidP="00066FB6">
            <w:pPr>
              <w:autoSpaceDE w:val="0"/>
              <w:autoSpaceDN w:val="0"/>
              <w:adjustRightInd w:val="0"/>
              <w:jc w:val="center"/>
              <w:rPr>
                <w:rFonts w:ascii="Arial Narrow" w:hAnsi="Arial Narrow" w:cs="Arial Narrow"/>
                <w:color w:val="000000"/>
                <w:sz w:val="20"/>
                <w:szCs w:val="20"/>
              </w:rPr>
            </w:pPr>
            <w:r w:rsidRPr="00D74F5D">
              <w:rPr>
                <w:rFonts w:ascii="Arial Narrow" w:hAnsi="Arial Narrow" w:cs="Arial Narrow"/>
                <w:color w:val="000000"/>
                <w:sz w:val="20"/>
                <w:szCs w:val="20"/>
              </w:rPr>
              <w:t>Non-native taxa</w:t>
            </w:r>
          </w:p>
        </w:tc>
        <w:tc>
          <w:tcPr>
            <w:tcW w:w="2610" w:type="dxa"/>
            <w:tcBorders>
              <w:top w:val="nil"/>
              <w:bottom w:val="nil"/>
            </w:tcBorders>
            <w:vAlign w:val="center"/>
          </w:tcPr>
          <w:p w14:paraId="2CB469BD" w14:textId="44C48BB8" w:rsidR="00E65D2E" w:rsidRPr="00D74F5D" w:rsidRDefault="00E65D2E" w:rsidP="00066FB6">
            <w:pPr>
              <w:autoSpaceDE w:val="0"/>
              <w:autoSpaceDN w:val="0"/>
              <w:adjustRightInd w:val="0"/>
              <w:jc w:val="center"/>
              <w:rPr>
                <w:rFonts w:ascii="Arial Narrow" w:hAnsi="Arial Narrow" w:cs="Arial Narrow"/>
                <w:color w:val="000000"/>
                <w:sz w:val="20"/>
                <w:szCs w:val="20"/>
              </w:rPr>
            </w:pPr>
            <w:r w:rsidRPr="00D74F5D">
              <w:rPr>
                <w:rFonts w:ascii="Arial Narrow" w:hAnsi="Arial Narrow" w:cs="Arial Narrow"/>
                <w:color w:val="000000"/>
                <w:sz w:val="20"/>
                <w:szCs w:val="20"/>
              </w:rPr>
              <w:t>Total Nitrogen and Phosphorus</w:t>
            </w:r>
          </w:p>
        </w:tc>
      </w:tr>
      <w:tr w:rsidR="00E65D2E" w:rsidRPr="00D74F5D" w14:paraId="660A0032" w14:textId="77777777" w:rsidTr="00E65D2E">
        <w:trPr>
          <w:trHeight w:val="290"/>
        </w:trPr>
        <w:tc>
          <w:tcPr>
            <w:tcW w:w="1871" w:type="dxa"/>
            <w:tcBorders>
              <w:bottom w:val="nil"/>
              <w:right w:val="nil"/>
            </w:tcBorders>
            <w:vAlign w:val="center"/>
          </w:tcPr>
          <w:p w14:paraId="25F36317" w14:textId="77777777" w:rsidR="00E65D2E" w:rsidRPr="00D74F5D" w:rsidRDefault="00E65D2E" w:rsidP="00066FB6">
            <w:pPr>
              <w:autoSpaceDE w:val="0"/>
              <w:autoSpaceDN w:val="0"/>
              <w:adjustRightInd w:val="0"/>
              <w:jc w:val="center"/>
              <w:rPr>
                <w:rFonts w:ascii="Arial Narrow" w:hAnsi="Arial Narrow" w:cs="Arial Narrow"/>
                <w:color w:val="000000"/>
                <w:sz w:val="20"/>
                <w:szCs w:val="20"/>
              </w:rPr>
            </w:pPr>
          </w:p>
        </w:tc>
        <w:tc>
          <w:tcPr>
            <w:tcW w:w="4912" w:type="dxa"/>
            <w:tcBorders>
              <w:left w:val="nil"/>
              <w:bottom w:val="nil"/>
            </w:tcBorders>
            <w:vAlign w:val="center"/>
          </w:tcPr>
          <w:p w14:paraId="052D29CC" w14:textId="77777777" w:rsidR="00E65D2E" w:rsidRPr="00D74F5D" w:rsidRDefault="00E65D2E" w:rsidP="00066FB6">
            <w:pPr>
              <w:autoSpaceDE w:val="0"/>
              <w:autoSpaceDN w:val="0"/>
              <w:adjustRightInd w:val="0"/>
              <w:jc w:val="center"/>
              <w:rPr>
                <w:rFonts w:ascii="Arial Narrow" w:hAnsi="Arial Narrow" w:cs="Arial Narrow"/>
                <w:color w:val="000000"/>
                <w:sz w:val="20"/>
                <w:szCs w:val="20"/>
              </w:rPr>
            </w:pPr>
          </w:p>
        </w:tc>
        <w:tc>
          <w:tcPr>
            <w:tcW w:w="2610" w:type="dxa"/>
            <w:tcBorders>
              <w:top w:val="nil"/>
              <w:bottom w:val="nil"/>
            </w:tcBorders>
            <w:vAlign w:val="center"/>
          </w:tcPr>
          <w:p w14:paraId="30A932AE" w14:textId="20F8BF50" w:rsidR="00E65D2E" w:rsidRPr="00D74F5D" w:rsidRDefault="00E65D2E" w:rsidP="00066FB6">
            <w:pPr>
              <w:autoSpaceDE w:val="0"/>
              <w:autoSpaceDN w:val="0"/>
              <w:adjustRightInd w:val="0"/>
              <w:jc w:val="center"/>
              <w:rPr>
                <w:rFonts w:ascii="Arial Narrow" w:hAnsi="Arial Narrow" w:cs="Arial Narrow"/>
                <w:color w:val="000000"/>
                <w:sz w:val="20"/>
                <w:szCs w:val="20"/>
              </w:rPr>
            </w:pPr>
            <w:r w:rsidRPr="00D74F5D">
              <w:rPr>
                <w:rFonts w:ascii="Arial Narrow" w:hAnsi="Arial Narrow" w:cs="Arial Narrow"/>
                <w:color w:val="000000"/>
                <w:sz w:val="20"/>
                <w:szCs w:val="20"/>
              </w:rPr>
              <w:t>Total Habitat</w:t>
            </w:r>
          </w:p>
        </w:tc>
      </w:tr>
      <w:tr w:rsidR="00E65D2E" w:rsidRPr="00D74F5D" w14:paraId="4EB949EA" w14:textId="77777777" w:rsidTr="00E65D2E">
        <w:trPr>
          <w:trHeight w:val="290"/>
        </w:trPr>
        <w:tc>
          <w:tcPr>
            <w:tcW w:w="1871" w:type="dxa"/>
            <w:tcBorders>
              <w:top w:val="nil"/>
              <w:bottom w:val="nil"/>
              <w:right w:val="nil"/>
            </w:tcBorders>
            <w:vAlign w:val="center"/>
          </w:tcPr>
          <w:p w14:paraId="710BB9DD" w14:textId="77777777" w:rsidR="00E65D2E" w:rsidRPr="00D74F5D" w:rsidRDefault="00E65D2E" w:rsidP="00066FB6">
            <w:pPr>
              <w:autoSpaceDE w:val="0"/>
              <w:autoSpaceDN w:val="0"/>
              <w:adjustRightInd w:val="0"/>
              <w:jc w:val="center"/>
              <w:rPr>
                <w:rFonts w:ascii="Arial Narrow" w:hAnsi="Arial Narrow" w:cs="Arial Narrow"/>
                <w:color w:val="000000"/>
                <w:sz w:val="20"/>
                <w:szCs w:val="20"/>
              </w:rPr>
            </w:pPr>
          </w:p>
        </w:tc>
        <w:tc>
          <w:tcPr>
            <w:tcW w:w="4912" w:type="dxa"/>
            <w:tcBorders>
              <w:top w:val="nil"/>
              <w:left w:val="nil"/>
              <w:bottom w:val="nil"/>
            </w:tcBorders>
            <w:vAlign w:val="center"/>
          </w:tcPr>
          <w:p w14:paraId="69E64673" w14:textId="77777777" w:rsidR="00E65D2E" w:rsidRPr="00D74F5D" w:rsidRDefault="00E65D2E" w:rsidP="00066FB6">
            <w:pPr>
              <w:autoSpaceDE w:val="0"/>
              <w:autoSpaceDN w:val="0"/>
              <w:adjustRightInd w:val="0"/>
              <w:jc w:val="center"/>
              <w:rPr>
                <w:rFonts w:ascii="Arial Narrow" w:hAnsi="Arial Narrow" w:cs="Arial Narrow"/>
                <w:color w:val="000000"/>
                <w:sz w:val="20"/>
                <w:szCs w:val="20"/>
              </w:rPr>
            </w:pPr>
          </w:p>
        </w:tc>
        <w:tc>
          <w:tcPr>
            <w:tcW w:w="2610" w:type="dxa"/>
            <w:tcBorders>
              <w:top w:val="nil"/>
              <w:bottom w:val="nil"/>
            </w:tcBorders>
            <w:vAlign w:val="center"/>
          </w:tcPr>
          <w:p w14:paraId="42298AA9" w14:textId="296676DB" w:rsidR="00E65D2E" w:rsidRPr="00D74F5D" w:rsidRDefault="00E65D2E" w:rsidP="00066FB6">
            <w:pPr>
              <w:autoSpaceDE w:val="0"/>
              <w:autoSpaceDN w:val="0"/>
              <w:adjustRightInd w:val="0"/>
              <w:jc w:val="center"/>
              <w:rPr>
                <w:rFonts w:ascii="Arial Narrow" w:hAnsi="Arial Narrow" w:cs="Arial Narrow"/>
                <w:color w:val="000000"/>
                <w:sz w:val="20"/>
                <w:szCs w:val="20"/>
              </w:rPr>
            </w:pPr>
            <w:r w:rsidRPr="00D74F5D">
              <w:rPr>
                <w:rFonts w:ascii="Arial Narrow" w:hAnsi="Arial Narrow" w:cs="Arial Narrow"/>
                <w:color w:val="000000"/>
                <w:sz w:val="20"/>
                <w:szCs w:val="20"/>
              </w:rPr>
              <w:t>Relative Bed Stability</w:t>
            </w:r>
          </w:p>
        </w:tc>
      </w:tr>
      <w:tr w:rsidR="00E65D2E" w:rsidRPr="00D74F5D" w14:paraId="103F94FC" w14:textId="77777777" w:rsidTr="00E65D2E">
        <w:trPr>
          <w:trHeight w:val="290"/>
        </w:trPr>
        <w:tc>
          <w:tcPr>
            <w:tcW w:w="1871" w:type="dxa"/>
            <w:tcBorders>
              <w:top w:val="nil"/>
              <w:bottom w:val="single" w:sz="4" w:space="0" w:color="auto"/>
              <w:right w:val="nil"/>
            </w:tcBorders>
            <w:vAlign w:val="center"/>
          </w:tcPr>
          <w:p w14:paraId="03730CD4" w14:textId="77777777" w:rsidR="00E65D2E" w:rsidRPr="00D74F5D" w:rsidRDefault="00E65D2E" w:rsidP="00066FB6">
            <w:pPr>
              <w:autoSpaceDE w:val="0"/>
              <w:autoSpaceDN w:val="0"/>
              <w:adjustRightInd w:val="0"/>
              <w:jc w:val="center"/>
              <w:rPr>
                <w:rFonts w:ascii="Arial Narrow" w:hAnsi="Arial Narrow" w:cs="Arial Narrow"/>
                <w:color w:val="000000"/>
                <w:sz w:val="20"/>
                <w:szCs w:val="20"/>
              </w:rPr>
            </w:pPr>
          </w:p>
        </w:tc>
        <w:tc>
          <w:tcPr>
            <w:tcW w:w="4912" w:type="dxa"/>
            <w:tcBorders>
              <w:top w:val="nil"/>
              <w:left w:val="nil"/>
              <w:bottom w:val="single" w:sz="4" w:space="0" w:color="auto"/>
            </w:tcBorders>
            <w:vAlign w:val="center"/>
          </w:tcPr>
          <w:p w14:paraId="6FBFC607" w14:textId="77777777" w:rsidR="00E65D2E" w:rsidRPr="00D74F5D" w:rsidRDefault="00E65D2E" w:rsidP="00066FB6">
            <w:pPr>
              <w:autoSpaceDE w:val="0"/>
              <w:autoSpaceDN w:val="0"/>
              <w:adjustRightInd w:val="0"/>
              <w:jc w:val="center"/>
              <w:rPr>
                <w:rFonts w:ascii="Arial Narrow" w:hAnsi="Arial Narrow" w:cs="Arial Narrow"/>
                <w:color w:val="000000"/>
                <w:sz w:val="20"/>
                <w:szCs w:val="20"/>
              </w:rPr>
            </w:pPr>
          </w:p>
        </w:tc>
        <w:tc>
          <w:tcPr>
            <w:tcW w:w="2610" w:type="dxa"/>
            <w:tcBorders>
              <w:top w:val="nil"/>
            </w:tcBorders>
            <w:vAlign w:val="center"/>
          </w:tcPr>
          <w:p w14:paraId="2B1CF068" w14:textId="017F083F" w:rsidR="00E65D2E" w:rsidRPr="00D74F5D" w:rsidRDefault="00E65D2E" w:rsidP="00066FB6">
            <w:pPr>
              <w:autoSpaceDE w:val="0"/>
              <w:autoSpaceDN w:val="0"/>
              <w:adjustRightInd w:val="0"/>
              <w:jc w:val="center"/>
              <w:rPr>
                <w:rFonts w:ascii="Arial Narrow" w:hAnsi="Arial Narrow" w:cs="Arial Narrow"/>
                <w:color w:val="000000"/>
                <w:sz w:val="20"/>
                <w:szCs w:val="20"/>
              </w:rPr>
            </w:pPr>
            <w:r w:rsidRPr="00D74F5D">
              <w:rPr>
                <w:rFonts w:ascii="Arial Narrow" w:hAnsi="Arial Narrow" w:cs="Arial Narrow"/>
                <w:color w:val="000000"/>
                <w:sz w:val="20"/>
                <w:szCs w:val="20"/>
              </w:rPr>
              <w:t>%Imperviousness</w:t>
            </w:r>
          </w:p>
        </w:tc>
      </w:tr>
    </w:tbl>
    <w:p w14:paraId="7BB63D7D" w14:textId="77777777" w:rsidR="00D51088" w:rsidRDefault="00D51088" w:rsidP="00F30A15">
      <w:pPr>
        <w:spacing w:before="120" w:after="120" w:line="360" w:lineRule="auto"/>
      </w:pPr>
    </w:p>
    <w:p w14:paraId="0B830D6F" w14:textId="2A7D5546" w:rsidR="00F30A15" w:rsidRPr="00D74F5D" w:rsidRDefault="00CD57C8" w:rsidP="00F30A15">
      <w:pPr>
        <w:spacing w:before="120" w:after="120" w:line="360" w:lineRule="auto"/>
      </w:pPr>
      <w:r>
        <w:t xml:space="preserve">The three most </w:t>
      </w:r>
      <w:r w:rsidR="00CA3959">
        <w:t xml:space="preserve">predominant taxa in </w:t>
      </w:r>
      <w:r>
        <w:t>Wolf Creek indicated that conductivity, sulfate, nutrients, and imperviousness could be potential stressors. In Tinker Creek, the predominant taxa indicated that conductivity, nutrients, habitat, and imperviousness could be potential stressors. In the Roanoke River, n</w:t>
      </w:r>
      <w:r w:rsidR="00CA3959">
        <w:t xml:space="preserve">o BCG </w:t>
      </w:r>
      <w:r w:rsidR="00CC60A2">
        <w:t>attribut</w:t>
      </w:r>
      <w:r w:rsidR="007E2E2D">
        <w:t>e</w:t>
      </w:r>
      <w:r w:rsidR="00CC60A2">
        <w:t xml:space="preserve"> </w:t>
      </w:r>
      <w:r w:rsidR="00CA3959">
        <w:t xml:space="preserve">scores of 5 were present for </w:t>
      </w:r>
      <w:r>
        <w:t xml:space="preserve">the top three </w:t>
      </w:r>
      <w:r w:rsidR="00CA3959">
        <w:t xml:space="preserve">predominant </w:t>
      </w:r>
      <w:r>
        <w:t xml:space="preserve">taxa. </w:t>
      </w:r>
      <w:r w:rsidR="00CA3959">
        <w:t xml:space="preserve">This means that these species are not expected to increase in abundance in response to a particular stressor, but may be responding to multiple stressors. </w:t>
      </w:r>
    </w:p>
    <w:p w14:paraId="73D95E95" w14:textId="62049D5A" w:rsidR="00E65D2E" w:rsidRDefault="00F30A15" w:rsidP="00F30A15">
      <w:pPr>
        <w:spacing w:before="120" w:after="120" w:line="360" w:lineRule="auto"/>
      </w:pPr>
      <w:r w:rsidRPr="00D74F5D">
        <w:t>In addition to analyzing the BCG attribute scores for the top three dominant taxa in each impaired stream, BCG attribute scores of all present taxa were averaged to calculate mean scores for each stressor in each stream. Those scores were then ranked to identify the stressors with the highest scores (</w:t>
      </w:r>
      <w:r w:rsidRPr="00D74F5D">
        <w:fldChar w:fldCharType="begin"/>
      </w:r>
      <w:r w:rsidRPr="00D74F5D">
        <w:instrText xml:space="preserve"> REF _Ref48644075 \h </w:instrText>
      </w:r>
      <w:r w:rsidR="00867C44" w:rsidRPr="00D74F5D">
        <w:instrText xml:space="preserve"> \* MERGEFORMAT </w:instrText>
      </w:r>
      <w:r w:rsidRPr="00D74F5D">
        <w:fldChar w:fldCharType="separate"/>
      </w:r>
      <w:r w:rsidR="004A78BF" w:rsidRPr="00D74F5D">
        <w:t xml:space="preserve">Table </w:t>
      </w:r>
      <w:r w:rsidR="004A78BF">
        <w:rPr>
          <w:noProof/>
        </w:rPr>
        <w:t>7</w:t>
      </w:r>
      <w:r w:rsidRPr="00D74F5D">
        <w:fldChar w:fldCharType="end"/>
      </w:r>
      <w:r w:rsidRPr="00D74F5D">
        <w:t xml:space="preserve">). These represent the stressors that have the greatest likelihood of impact on each stream based on the taxa present and BCG attribute scores for those taxa. For </w:t>
      </w:r>
      <w:r w:rsidR="00107B9E">
        <w:t xml:space="preserve">Wolf </w:t>
      </w:r>
      <w:r w:rsidR="00CA3959">
        <w:t xml:space="preserve">Creek, </w:t>
      </w:r>
      <w:r w:rsidR="00107B9E">
        <w:t xml:space="preserve">sulfate was </w:t>
      </w:r>
      <w:r w:rsidR="00CA3959">
        <w:t xml:space="preserve">ranked as the top stressor from BCG </w:t>
      </w:r>
      <w:r w:rsidR="00CC60A2">
        <w:t xml:space="preserve">attribute </w:t>
      </w:r>
      <w:r w:rsidR="00CA3959">
        <w:t xml:space="preserve">analysis. For </w:t>
      </w:r>
      <w:r w:rsidR="00107B9E">
        <w:t>Tinker Creek and the Roanoke River, nutrients (nitrogen and phosphorus) were ranked as the top stressor. Other impaired Roanoke River tributaries were also included in the analysis because sources of impairment in these tributaries could provide insights into the source of impairment in the Roanoke River. Across Roanoke River tributaries, a number of different stressors were ranked as the top stressor from BCG</w:t>
      </w:r>
      <w:r w:rsidR="00CC60A2">
        <w:t xml:space="preserve"> attribute</w:t>
      </w:r>
      <w:r w:rsidR="00107B9E">
        <w:t xml:space="preserve"> analysis. </w:t>
      </w:r>
      <w:r w:rsidR="00CF7E4B">
        <w:t xml:space="preserve">Nutrients, conductivity, and sediment-related parameters (RBS and % imperviousness) were ranked as the top stressors in various Roanoke River tributaries. </w:t>
      </w:r>
    </w:p>
    <w:p w14:paraId="52A22BD9" w14:textId="77777777" w:rsidR="00F35736" w:rsidRPr="00D74F5D" w:rsidRDefault="00F35736" w:rsidP="00F35736">
      <w:pPr>
        <w:spacing w:line="240" w:lineRule="auto"/>
      </w:pPr>
    </w:p>
    <w:p w14:paraId="2C734490" w14:textId="0AE454E0" w:rsidR="00066FB6" w:rsidRPr="00D74F5D" w:rsidRDefault="00066FB6" w:rsidP="00066FB6">
      <w:pPr>
        <w:pStyle w:val="Caption"/>
      </w:pPr>
      <w:bookmarkStart w:id="56" w:name="_Ref48640986"/>
      <w:bookmarkStart w:id="57" w:name="_Toc162948273"/>
      <w:r w:rsidRPr="00D74F5D">
        <w:t xml:space="preserve">Table </w:t>
      </w:r>
      <w:r w:rsidR="00AE28FC" w:rsidRPr="00D74F5D">
        <w:rPr>
          <w:noProof/>
        </w:rPr>
        <w:fldChar w:fldCharType="begin"/>
      </w:r>
      <w:r w:rsidR="00AE28FC" w:rsidRPr="00D74F5D">
        <w:rPr>
          <w:noProof/>
        </w:rPr>
        <w:instrText xml:space="preserve"> SEQ Table \* ARABIC </w:instrText>
      </w:r>
      <w:r w:rsidR="00AE28FC" w:rsidRPr="00D74F5D">
        <w:rPr>
          <w:noProof/>
        </w:rPr>
        <w:fldChar w:fldCharType="separate"/>
      </w:r>
      <w:r w:rsidR="004A78BF">
        <w:rPr>
          <w:noProof/>
        </w:rPr>
        <w:t>6</w:t>
      </w:r>
      <w:r w:rsidR="00AE28FC" w:rsidRPr="00D74F5D">
        <w:rPr>
          <w:noProof/>
        </w:rPr>
        <w:fldChar w:fldCharType="end"/>
      </w:r>
      <w:bookmarkEnd w:id="56"/>
      <w:r w:rsidRPr="00D74F5D">
        <w:t xml:space="preserve">. Biological condition gradient </w:t>
      </w:r>
      <w:r w:rsidR="00CC60A2">
        <w:t>attribut</w:t>
      </w:r>
      <w:r w:rsidR="007E2E2D">
        <w:t>e</w:t>
      </w:r>
      <w:r w:rsidR="00CC60A2">
        <w:t xml:space="preserve"> </w:t>
      </w:r>
      <w:r w:rsidRPr="00D74F5D">
        <w:t xml:space="preserve">scores for </w:t>
      </w:r>
      <w:r w:rsidR="00CC60A2">
        <w:t xml:space="preserve">the </w:t>
      </w:r>
      <w:r w:rsidRPr="00D74F5D">
        <w:t>three most prevalent taxa at each station.</w:t>
      </w:r>
      <w:bookmarkEnd w:id="57"/>
    </w:p>
    <w:tbl>
      <w:tblPr>
        <w:tblW w:w="9393"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3"/>
        <w:gridCol w:w="1350"/>
        <w:gridCol w:w="1530"/>
        <w:gridCol w:w="513"/>
        <w:gridCol w:w="513"/>
        <w:gridCol w:w="513"/>
        <w:gridCol w:w="513"/>
        <w:gridCol w:w="513"/>
        <w:gridCol w:w="513"/>
        <w:gridCol w:w="513"/>
        <w:gridCol w:w="513"/>
        <w:gridCol w:w="513"/>
        <w:gridCol w:w="513"/>
      </w:tblGrid>
      <w:tr w:rsidR="002672BD" w:rsidRPr="00D74F5D" w14:paraId="3084C6C2" w14:textId="77777777" w:rsidTr="009D15F1">
        <w:trPr>
          <w:cantSplit/>
          <w:trHeight w:val="1286"/>
        </w:trPr>
        <w:tc>
          <w:tcPr>
            <w:tcW w:w="1383" w:type="dxa"/>
            <w:tcBorders>
              <w:bottom w:val="single" w:sz="4" w:space="0" w:color="auto"/>
            </w:tcBorders>
            <w:shd w:val="clear" w:color="auto" w:fill="D9D9D9" w:themeFill="background1" w:themeFillShade="D9"/>
            <w:vAlign w:val="center"/>
          </w:tcPr>
          <w:p w14:paraId="46333E79" w14:textId="57E61B82" w:rsidR="002672BD" w:rsidRPr="00D74F5D" w:rsidRDefault="002672BD" w:rsidP="00066FB6">
            <w:pPr>
              <w:autoSpaceDE w:val="0"/>
              <w:autoSpaceDN w:val="0"/>
              <w:adjustRightInd w:val="0"/>
              <w:jc w:val="center"/>
              <w:rPr>
                <w:rFonts w:ascii="Arial Narrow" w:hAnsi="Arial Narrow" w:cs="Calibri"/>
                <w:b/>
                <w:bCs/>
                <w:color w:val="000000"/>
                <w:sz w:val="20"/>
                <w:szCs w:val="20"/>
              </w:rPr>
            </w:pPr>
            <w:r w:rsidRPr="00D74F5D">
              <w:rPr>
                <w:rFonts w:ascii="Arial Narrow" w:hAnsi="Arial Narrow" w:cs="Calibri"/>
                <w:b/>
                <w:bCs/>
                <w:color w:val="000000"/>
                <w:sz w:val="20"/>
                <w:szCs w:val="20"/>
              </w:rPr>
              <w:t>Stream</w:t>
            </w:r>
          </w:p>
        </w:tc>
        <w:tc>
          <w:tcPr>
            <w:tcW w:w="1350" w:type="dxa"/>
            <w:tcBorders>
              <w:bottom w:val="single" w:sz="4" w:space="0" w:color="auto"/>
            </w:tcBorders>
            <w:shd w:val="clear" w:color="auto" w:fill="D9D9D9" w:themeFill="background1" w:themeFillShade="D9"/>
            <w:vAlign w:val="center"/>
          </w:tcPr>
          <w:p w14:paraId="36F07044" w14:textId="688DFC45" w:rsidR="002672BD" w:rsidRPr="00D74F5D" w:rsidRDefault="002672BD" w:rsidP="00066FB6">
            <w:pPr>
              <w:autoSpaceDE w:val="0"/>
              <w:autoSpaceDN w:val="0"/>
              <w:adjustRightInd w:val="0"/>
              <w:jc w:val="center"/>
              <w:rPr>
                <w:rFonts w:ascii="Arial Narrow" w:hAnsi="Arial Narrow" w:cs="Calibri"/>
                <w:b/>
                <w:bCs/>
                <w:color w:val="000000"/>
                <w:sz w:val="20"/>
                <w:szCs w:val="20"/>
              </w:rPr>
            </w:pPr>
            <w:r w:rsidRPr="00D74F5D">
              <w:rPr>
                <w:rFonts w:ascii="Arial Narrow" w:hAnsi="Arial Narrow" w:cs="Calibri"/>
                <w:b/>
                <w:bCs/>
                <w:color w:val="000000"/>
                <w:sz w:val="20"/>
                <w:szCs w:val="20"/>
              </w:rPr>
              <w:t>Station</w:t>
            </w:r>
          </w:p>
        </w:tc>
        <w:tc>
          <w:tcPr>
            <w:tcW w:w="1530" w:type="dxa"/>
            <w:shd w:val="clear" w:color="auto" w:fill="D9D9D9" w:themeFill="background1" w:themeFillShade="D9"/>
            <w:vAlign w:val="center"/>
          </w:tcPr>
          <w:p w14:paraId="410F9F0B" w14:textId="0A42919C" w:rsidR="002672BD" w:rsidRPr="00D74F5D" w:rsidRDefault="002672BD" w:rsidP="00066FB6">
            <w:pPr>
              <w:autoSpaceDE w:val="0"/>
              <w:autoSpaceDN w:val="0"/>
              <w:adjustRightInd w:val="0"/>
              <w:jc w:val="center"/>
              <w:rPr>
                <w:rFonts w:ascii="Arial Narrow" w:hAnsi="Arial Narrow" w:cs="Calibri"/>
                <w:b/>
                <w:bCs/>
                <w:color w:val="000000"/>
                <w:sz w:val="20"/>
                <w:szCs w:val="20"/>
              </w:rPr>
            </w:pPr>
            <w:r w:rsidRPr="00D74F5D">
              <w:rPr>
                <w:rFonts w:ascii="Arial Narrow" w:hAnsi="Arial Narrow" w:cs="Calibri"/>
                <w:b/>
                <w:bCs/>
                <w:color w:val="000000"/>
                <w:sz w:val="20"/>
                <w:szCs w:val="20"/>
              </w:rPr>
              <w:t>Predominant Taxa</w:t>
            </w:r>
          </w:p>
        </w:tc>
        <w:tc>
          <w:tcPr>
            <w:tcW w:w="513" w:type="dxa"/>
            <w:shd w:val="clear" w:color="auto" w:fill="D9D9D9" w:themeFill="background1" w:themeFillShade="D9"/>
            <w:textDirection w:val="btLr"/>
          </w:tcPr>
          <w:p w14:paraId="1757171D" w14:textId="61CD2415" w:rsidR="002672BD" w:rsidRPr="00D74F5D" w:rsidRDefault="002672BD" w:rsidP="00066FB6">
            <w:pPr>
              <w:autoSpaceDE w:val="0"/>
              <w:autoSpaceDN w:val="0"/>
              <w:adjustRightInd w:val="0"/>
              <w:ind w:left="113" w:right="113"/>
              <w:jc w:val="center"/>
              <w:rPr>
                <w:rFonts w:ascii="Arial Narrow" w:hAnsi="Arial Narrow" w:cs="Calibri"/>
                <w:b/>
                <w:bCs/>
                <w:color w:val="000000"/>
                <w:sz w:val="20"/>
                <w:szCs w:val="20"/>
              </w:rPr>
            </w:pPr>
            <w:r w:rsidRPr="00D74F5D">
              <w:rPr>
                <w:rFonts w:ascii="Arial Narrow" w:hAnsi="Arial Narrow"/>
                <w:b/>
                <w:sz w:val="20"/>
                <w:szCs w:val="20"/>
              </w:rPr>
              <w:t>Diss. Oxy.</w:t>
            </w:r>
          </w:p>
        </w:tc>
        <w:tc>
          <w:tcPr>
            <w:tcW w:w="513" w:type="dxa"/>
            <w:shd w:val="clear" w:color="auto" w:fill="D9D9D9" w:themeFill="background1" w:themeFillShade="D9"/>
            <w:textDirection w:val="btLr"/>
          </w:tcPr>
          <w:p w14:paraId="5381FFB0" w14:textId="6DE5C0CB" w:rsidR="002672BD" w:rsidRPr="00D74F5D" w:rsidRDefault="002672BD" w:rsidP="00066FB6">
            <w:pPr>
              <w:autoSpaceDE w:val="0"/>
              <w:autoSpaceDN w:val="0"/>
              <w:adjustRightInd w:val="0"/>
              <w:ind w:left="113" w:right="113"/>
              <w:jc w:val="center"/>
              <w:rPr>
                <w:rFonts w:ascii="Arial Narrow" w:hAnsi="Arial Narrow" w:cs="Calibri"/>
                <w:b/>
                <w:bCs/>
                <w:color w:val="000000"/>
                <w:sz w:val="20"/>
                <w:szCs w:val="20"/>
              </w:rPr>
            </w:pPr>
            <w:r w:rsidRPr="00D74F5D">
              <w:rPr>
                <w:rFonts w:ascii="Arial Narrow" w:hAnsi="Arial Narrow"/>
                <w:b/>
                <w:sz w:val="20"/>
                <w:szCs w:val="20"/>
              </w:rPr>
              <w:t>Acidity</w:t>
            </w:r>
          </w:p>
        </w:tc>
        <w:tc>
          <w:tcPr>
            <w:tcW w:w="513" w:type="dxa"/>
            <w:shd w:val="clear" w:color="auto" w:fill="D9D9D9" w:themeFill="background1" w:themeFillShade="D9"/>
            <w:textDirection w:val="btLr"/>
          </w:tcPr>
          <w:p w14:paraId="27B2DC25" w14:textId="0F960DB9" w:rsidR="002672BD" w:rsidRPr="00D74F5D" w:rsidRDefault="002672BD" w:rsidP="00066FB6">
            <w:pPr>
              <w:autoSpaceDE w:val="0"/>
              <w:autoSpaceDN w:val="0"/>
              <w:adjustRightInd w:val="0"/>
              <w:ind w:left="113" w:right="113"/>
              <w:jc w:val="center"/>
              <w:rPr>
                <w:rFonts w:ascii="Arial Narrow" w:hAnsi="Arial Narrow" w:cs="Calibri"/>
                <w:b/>
                <w:bCs/>
                <w:color w:val="000000"/>
                <w:sz w:val="20"/>
                <w:szCs w:val="20"/>
              </w:rPr>
            </w:pPr>
            <w:r w:rsidRPr="00D74F5D">
              <w:rPr>
                <w:rFonts w:ascii="Arial Narrow" w:hAnsi="Arial Narrow"/>
                <w:b/>
                <w:sz w:val="20"/>
                <w:szCs w:val="20"/>
              </w:rPr>
              <w:t>Alkalinity</w:t>
            </w:r>
          </w:p>
        </w:tc>
        <w:tc>
          <w:tcPr>
            <w:tcW w:w="513" w:type="dxa"/>
            <w:shd w:val="clear" w:color="auto" w:fill="D9D9D9" w:themeFill="background1" w:themeFillShade="D9"/>
            <w:textDirection w:val="btLr"/>
          </w:tcPr>
          <w:p w14:paraId="2C94EEF7" w14:textId="31E289C1" w:rsidR="002672BD" w:rsidRPr="00D74F5D" w:rsidRDefault="002672BD" w:rsidP="00066FB6">
            <w:pPr>
              <w:autoSpaceDE w:val="0"/>
              <w:autoSpaceDN w:val="0"/>
              <w:adjustRightInd w:val="0"/>
              <w:ind w:left="113" w:right="113"/>
              <w:jc w:val="center"/>
              <w:rPr>
                <w:rFonts w:ascii="Arial Narrow" w:hAnsi="Arial Narrow" w:cs="Calibri"/>
                <w:b/>
                <w:bCs/>
                <w:color w:val="000000"/>
                <w:sz w:val="20"/>
                <w:szCs w:val="20"/>
              </w:rPr>
            </w:pPr>
            <w:r w:rsidRPr="00D74F5D">
              <w:rPr>
                <w:rFonts w:ascii="Arial Narrow" w:hAnsi="Arial Narrow"/>
                <w:b/>
                <w:sz w:val="20"/>
                <w:szCs w:val="20"/>
              </w:rPr>
              <w:t>Spec. Cond.</w:t>
            </w:r>
          </w:p>
        </w:tc>
        <w:tc>
          <w:tcPr>
            <w:tcW w:w="513" w:type="dxa"/>
            <w:shd w:val="clear" w:color="auto" w:fill="D9D9D9" w:themeFill="background1" w:themeFillShade="D9"/>
            <w:textDirection w:val="btLr"/>
          </w:tcPr>
          <w:p w14:paraId="549B6CFF" w14:textId="646F0CE7" w:rsidR="002672BD" w:rsidRPr="00D74F5D" w:rsidRDefault="002672BD" w:rsidP="00066FB6">
            <w:pPr>
              <w:autoSpaceDE w:val="0"/>
              <w:autoSpaceDN w:val="0"/>
              <w:adjustRightInd w:val="0"/>
              <w:ind w:left="113" w:right="113"/>
              <w:jc w:val="center"/>
              <w:rPr>
                <w:rFonts w:ascii="Arial Narrow" w:hAnsi="Arial Narrow" w:cs="Calibri"/>
                <w:b/>
                <w:bCs/>
                <w:color w:val="000000"/>
                <w:sz w:val="20"/>
                <w:szCs w:val="20"/>
              </w:rPr>
            </w:pPr>
            <w:r w:rsidRPr="00D74F5D">
              <w:rPr>
                <w:rFonts w:ascii="Arial Narrow" w:hAnsi="Arial Narrow"/>
                <w:b/>
                <w:sz w:val="20"/>
                <w:szCs w:val="20"/>
              </w:rPr>
              <w:t>Chloride</w:t>
            </w:r>
          </w:p>
        </w:tc>
        <w:tc>
          <w:tcPr>
            <w:tcW w:w="513" w:type="dxa"/>
            <w:shd w:val="clear" w:color="auto" w:fill="D9D9D9" w:themeFill="background1" w:themeFillShade="D9"/>
            <w:textDirection w:val="btLr"/>
          </w:tcPr>
          <w:p w14:paraId="4BD6A87B" w14:textId="134ED363" w:rsidR="002672BD" w:rsidRPr="00D74F5D" w:rsidRDefault="002672BD" w:rsidP="00066FB6">
            <w:pPr>
              <w:autoSpaceDE w:val="0"/>
              <w:autoSpaceDN w:val="0"/>
              <w:adjustRightInd w:val="0"/>
              <w:ind w:left="113" w:right="113"/>
              <w:jc w:val="center"/>
              <w:rPr>
                <w:rFonts w:ascii="Arial Narrow" w:hAnsi="Arial Narrow" w:cs="Calibri"/>
                <w:b/>
                <w:bCs/>
                <w:color w:val="000000"/>
                <w:sz w:val="20"/>
                <w:szCs w:val="20"/>
              </w:rPr>
            </w:pPr>
            <w:r w:rsidRPr="00D74F5D">
              <w:rPr>
                <w:rFonts w:ascii="Arial Narrow" w:hAnsi="Arial Narrow"/>
                <w:b/>
                <w:sz w:val="20"/>
                <w:szCs w:val="20"/>
              </w:rPr>
              <w:t>Sulfate</w:t>
            </w:r>
          </w:p>
        </w:tc>
        <w:tc>
          <w:tcPr>
            <w:tcW w:w="513" w:type="dxa"/>
            <w:shd w:val="clear" w:color="auto" w:fill="D9D9D9" w:themeFill="background1" w:themeFillShade="D9"/>
            <w:textDirection w:val="btLr"/>
          </w:tcPr>
          <w:p w14:paraId="05C25C24" w14:textId="23CCCF38" w:rsidR="002672BD" w:rsidRPr="00D74F5D" w:rsidRDefault="002672BD" w:rsidP="00066FB6">
            <w:pPr>
              <w:autoSpaceDE w:val="0"/>
              <w:autoSpaceDN w:val="0"/>
              <w:adjustRightInd w:val="0"/>
              <w:ind w:left="113" w:right="113"/>
              <w:jc w:val="center"/>
              <w:rPr>
                <w:rFonts w:ascii="Arial Narrow" w:hAnsi="Arial Narrow" w:cs="Calibri"/>
                <w:b/>
                <w:bCs/>
                <w:color w:val="000000"/>
                <w:sz w:val="20"/>
                <w:szCs w:val="20"/>
              </w:rPr>
            </w:pPr>
            <w:r w:rsidRPr="00D74F5D">
              <w:rPr>
                <w:rFonts w:ascii="Arial Narrow" w:hAnsi="Arial Narrow"/>
                <w:b/>
                <w:sz w:val="20"/>
                <w:szCs w:val="20"/>
              </w:rPr>
              <w:t>TN/TP</w:t>
            </w:r>
          </w:p>
        </w:tc>
        <w:tc>
          <w:tcPr>
            <w:tcW w:w="513" w:type="dxa"/>
            <w:shd w:val="clear" w:color="auto" w:fill="D9D9D9" w:themeFill="background1" w:themeFillShade="D9"/>
            <w:textDirection w:val="btLr"/>
          </w:tcPr>
          <w:p w14:paraId="10EB7051" w14:textId="6CBDB1D8" w:rsidR="002672BD" w:rsidRPr="00D74F5D" w:rsidRDefault="002672BD" w:rsidP="00066FB6">
            <w:pPr>
              <w:autoSpaceDE w:val="0"/>
              <w:autoSpaceDN w:val="0"/>
              <w:adjustRightInd w:val="0"/>
              <w:ind w:left="113" w:right="113"/>
              <w:jc w:val="center"/>
              <w:rPr>
                <w:rFonts w:ascii="Arial Narrow" w:hAnsi="Arial Narrow" w:cs="Calibri"/>
                <w:b/>
                <w:bCs/>
                <w:color w:val="000000"/>
                <w:sz w:val="20"/>
                <w:szCs w:val="20"/>
              </w:rPr>
            </w:pPr>
            <w:r w:rsidRPr="00D74F5D">
              <w:rPr>
                <w:rFonts w:ascii="Arial Narrow" w:hAnsi="Arial Narrow"/>
                <w:b/>
                <w:sz w:val="20"/>
                <w:szCs w:val="20"/>
              </w:rPr>
              <w:t>Total Habitat</w:t>
            </w:r>
          </w:p>
        </w:tc>
        <w:tc>
          <w:tcPr>
            <w:tcW w:w="513" w:type="dxa"/>
            <w:shd w:val="clear" w:color="auto" w:fill="D9D9D9" w:themeFill="background1" w:themeFillShade="D9"/>
            <w:textDirection w:val="btLr"/>
          </w:tcPr>
          <w:p w14:paraId="39E023CB" w14:textId="5C8F5D60" w:rsidR="002672BD" w:rsidRPr="00D74F5D" w:rsidRDefault="002672BD" w:rsidP="00066FB6">
            <w:pPr>
              <w:autoSpaceDE w:val="0"/>
              <w:autoSpaceDN w:val="0"/>
              <w:adjustRightInd w:val="0"/>
              <w:ind w:left="113" w:right="113"/>
              <w:jc w:val="center"/>
              <w:rPr>
                <w:rFonts w:ascii="Arial Narrow" w:hAnsi="Arial Narrow" w:cs="Calibri"/>
                <w:b/>
                <w:bCs/>
                <w:color w:val="000000"/>
                <w:sz w:val="20"/>
                <w:szCs w:val="20"/>
              </w:rPr>
            </w:pPr>
            <w:r w:rsidRPr="00D74F5D">
              <w:rPr>
                <w:rFonts w:ascii="Arial Narrow" w:hAnsi="Arial Narrow"/>
                <w:b/>
                <w:sz w:val="20"/>
                <w:szCs w:val="20"/>
              </w:rPr>
              <w:t>RBS</w:t>
            </w:r>
          </w:p>
        </w:tc>
        <w:tc>
          <w:tcPr>
            <w:tcW w:w="513" w:type="dxa"/>
            <w:shd w:val="clear" w:color="auto" w:fill="D9D9D9" w:themeFill="background1" w:themeFillShade="D9"/>
            <w:textDirection w:val="btLr"/>
          </w:tcPr>
          <w:p w14:paraId="55A9D523" w14:textId="60A17E07" w:rsidR="002672BD" w:rsidRPr="00D74F5D" w:rsidRDefault="002672BD" w:rsidP="00066FB6">
            <w:pPr>
              <w:autoSpaceDE w:val="0"/>
              <w:autoSpaceDN w:val="0"/>
              <w:adjustRightInd w:val="0"/>
              <w:ind w:left="113" w:right="113"/>
              <w:jc w:val="center"/>
              <w:rPr>
                <w:rFonts w:ascii="Arial Narrow" w:hAnsi="Arial Narrow" w:cs="Calibri"/>
                <w:b/>
                <w:bCs/>
                <w:color w:val="000000"/>
                <w:sz w:val="20"/>
                <w:szCs w:val="20"/>
              </w:rPr>
            </w:pPr>
            <w:r w:rsidRPr="00D74F5D">
              <w:rPr>
                <w:rFonts w:ascii="Arial Narrow" w:hAnsi="Arial Narrow"/>
                <w:b/>
                <w:sz w:val="20"/>
                <w:szCs w:val="20"/>
              </w:rPr>
              <w:t>% Imp.</w:t>
            </w:r>
          </w:p>
        </w:tc>
      </w:tr>
      <w:tr w:rsidR="004A1165" w:rsidRPr="00D74F5D" w14:paraId="5F96C450" w14:textId="77777777" w:rsidTr="009D15F1">
        <w:trPr>
          <w:trHeight w:val="290"/>
        </w:trPr>
        <w:tc>
          <w:tcPr>
            <w:tcW w:w="1383" w:type="dxa"/>
            <w:tcBorders>
              <w:bottom w:val="nil"/>
            </w:tcBorders>
            <w:vAlign w:val="bottom"/>
          </w:tcPr>
          <w:p w14:paraId="6DBD0DCB" w14:textId="7073FC71"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Wolf Creek</w:t>
            </w:r>
          </w:p>
        </w:tc>
        <w:tc>
          <w:tcPr>
            <w:tcW w:w="1350" w:type="dxa"/>
            <w:tcBorders>
              <w:bottom w:val="nil"/>
            </w:tcBorders>
            <w:vAlign w:val="bottom"/>
          </w:tcPr>
          <w:p w14:paraId="08C70389" w14:textId="52996BE2"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4AWOR000.34</w:t>
            </w:r>
          </w:p>
        </w:tc>
        <w:tc>
          <w:tcPr>
            <w:tcW w:w="1530" w:type="dxa"/>
            <w:vAlign w:val="bottom"/>
          </w:tcPr>
          <w:p w14:paraId="55DF49B4" w14:textId="5DAD8E63" w:rsidR="004A1165" w:rsidRPr="004A1165" w:rsidRDefault="004A1165" w:rsidP="004A1165">
            <w:pPr>
              <w:autoSpaceDE w:val="0"/>
              <w:autoSpaceDN w:val="0"/>
              <w:adjustRightInd w:val="0"/>
              <w:jc w:val="center"/>
              <w:rPr>
                <w:rFonts w:ascii="Arial Narrow" w:hAnsi="Arial Narrow" w:cs="Arial Narrow"/>
                <w:i/>
                <w:color w:val="000000"/>
                <w:sz w:val="20"/>
                <w:szCs w:val="20"/>
              </w:rPr>
            </w:pPr>
            <w:proofErr w:type="spellStart"/>
            <w:r w:rsidRPr="004A1165">
              <w:rPr>
                <w:rFonts w:ascii="Arial Narrow" w:hAnsi="Arial Narrow" w:cs="Calibri"/>
                <w:i/>
                <w:color w:val="000000"/>
                <w:sz w:val="20"/>
                <w:szCs w:val="20"/>
              </w:rPr>
              <w:t>Chironomidae</w:t>
            </w:r>
            <w:proofErr w:type="spellEnd"/>
          </w:p>
        </w:tc>
        <w:tc>
          <w:tcPr>
            <w:tcW w:w="513" w:type="dxa"/>
            <w:shd w:val="clear" w:color="auto" w:fill="auto"/>
            <w:vAlign w:val="bottom"/>
          </w:tcPr>
          <w:p w14:paraId="1E8A7BCE" w14:textId="310CA47C"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41BC57CA" w14:textId="50D253F6"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7180C4EF" w14:textId="053FD9DF"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740FFBE2" w14:textId="7D03F012"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243EFF12" w14:textId="629C3B45"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1FCC13A8" w14:textId="31E8FFEC"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731ADDC2" w14:textId="16CDC48E"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68BA517D" w14:textId="0FC9A088"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4ED5058C" w14:textId="7DFBA665"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5D429D3B" w14:textId="2C77B6E4"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4</w:t>
            </w:r>
          </w:p>
        </w:tc>
      </w:tr>
      <w:tr w:rsidR="004A1165" w:rsidRPr="00D74F5D" w14:paraId="591003DD" w14:textId="77777777" w:rsidTr="009D15F1">
        <w:trPr>
          <w:trHeight w:val="290"/>
        </w:trPr>
        <w:tc>
          <w:tcPr>
            <w:tcW w:w="1383" w:type="dxa"/>
            <w:tcBorders>
              <w:top w:val="nil"/>
              <w:bottom w:val="nil"/>
            </w:tcBorders>
            <w:vAlign w:val="bottom"/>
          </w:tcPr>
          <w:p w14:paraId="76EE511B" w14:textId="77777777" w:rsidR="004A1165" w:rsidRPr="004A1165" w:rsidRDefault="004A1165" w:rsidP="004A1165">
            <w:pPr>
              <w:autoSpaceDE w:val="0"/>
              <w:autoSpaceDN w:val="0"/>
              <w:adjustRightInd w:val="0"/>
              <w:jc w:val="center"/>
              <w:rPr>
                <w:rFonts w:ascii="Arial Narrow" w:hAnsi="Arial Narrow" w:cs="Calibri"/>
                <w:color w:val="000000"/>
                <w:sz w:val="20"/>
                <w:szCs w:val="20"/>
              </w:rPr>
            </w:pPr>
          </w:p>
        </w:tc>
        <w:tc>
          <w:tcPr>
            <w:tcW w:w="1350" w:type="dxa"/>
            <w:tcBorders>
              <w:top w:val="nil"/>
              <w:bottom w:val="nil"/>
            </w:tcBorders>
            <w:vAlign w:val="bottom"/>
          </w:tcPr>
          <w:p w14:paraId="2FAA6B4D" w14:textId="77777777" w:rsidR="004A1165" w:rsidRPr="004A1165" w:rsidRDefault="004A1165" w:rsidP="004A1165">
            <w:pPr>
              <w:autoSpaceDE w:val="0"/>
              <w:autoSpaceDN w:val="0"/>
              <w:adjustRightInd w:val="0"/>
              <w:jc w:val="center"/>
              <w:rPr>
                <w:rFonts w:ascii="Arial Narrow" w:hAnsi="Arial Narrow" w:cs="Calibri"/>
                <w:color w:val="000000"/>
                <w:sz w:val="20"/>
                <w:szCs w:val="20"/>
              </w:rPr>
            </w:pPr>
          </w:p>
        </w:tc>
        <w:tc>
          <w:tcPr>
            <w:tcW w:w="1530" w:type="dxa"/>
            <w:vAlign w:val="bottom"/>
          </w:tcPr>
          <w:p w14:paraId="37E3316E" w14:textId="0B5FA999" w:rsidR="004A1165" w:rsidRPr="004A1165" w:rsidRDefault="004A1165" w:rsidP="004A1165">
            <w:pPr>
              <w:autoSpaceDE w:val="0"/>
              <w:autoSpaceDN w:val="0"/>
              <w:adjustRightInd w:val="0"/>
              <w:jc w:val="center"/>
              <w:rPr>
                <w:rFonts w:ascii="Arial Narrow" w:hAnsi="Arial Narrow" w:cs="Arial Narrow"/>
                <w:i/>
                <w:color w:val="000000"/>
                <w:sz w:val="20"/>
                <w:szCs w:val="20"/>
              </w:rPr>
            </w:pPr>
            <w:proofErr w:type="spellStart"/>
            <w:r w:rsidRPr="004A1165">
              <w:rPr>
                <w:rFonts w:ascii="Arial Narrow" w:hAnsi="Arial Narrow" w:cs="Calibri"/>
                <w:i/>
                <w:color w:val="000000"/>
                <w:sz w:val="20"/>
                <w:szCs w:val="20"/>
              </w:rPr>
              <w:t>Cheumatopsyche</w:t>
            </w:r>
            <w:proofErr w:type="spellEnd"/>
          </w:p>
        </w:tc>
        <w:tc>
          <w:tcPr>
            <w:tcW w:w="513" w:type="dxa"/>
            <w:shd w:val="clear" w:color="auto" w:fill="auto"/>
            <w:vAlign w:val="bottom"/>
          </w:tcPr>
          <w:p w14:paraId="78F79B8D" w14:textId="66B5D463"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4E175A9F" w14:textId="1EE8F299"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3</w:t>
            </w:r>
          </w:p>
        </w:tc>
        <w:tc>
          <w:tcPr>
            <w:tcW w:w="513" w:type="dxa"/>
            <w:shd w:val="clear" w:color="auto" w:fill="auto"/>
            <w:vAlign w:val="bottom"/>
          </w:tcPr>
          <w:p w14:paraId="70FC5CE7" w14:textId="0DEC9655"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4</w:t>
            </w:r>
          </w:p>
        </w:tc>
        <w:tc>
          <w:tcPr>
            <w:tcW w:w="513" w:type="dxa"/>
            <w:shd w:val="clear" w:color="auto" w:fill="FFCCCC"/>
            <w:vAlign w:val="bottom"/>
          </w:tcPr>
          <w:p w14:paraId="1C84ED46" w14:textId="3E4CA129"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5</w:t>
            </w:r>
          </w:p>
        </w:tc>
        <w:tc>
          <w:tcPr>
            <w:tcW w:w="513" w:type="dxa"/>
            <w:shd w:val="clear" w:color="auto" w:fill="auto"/>
            <w:vAlign w:val="bottom"/>
          </w:tcPr>
          <w:p w14:paraId="328F6AE0" w14:textId="5F042A61"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4</w:t>
            </w:r>
          </w:p>
        </w:tc>
        <w:tc>
          <w:tcPr>
            <w:tcW w:w="513" w:type="dxa"/>
            <w:vAlign w:val="bottom"/>
          </w:tcPr>
          <w:p w14:paraId="4303E20D" w14:textId="0CCFCA55"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4</w:t>
            </w:r>
          </w:p>
        </w:tc>
        <w:tc>
          <w:tcPr>
            <w:tcW w:w="513" w:type="dxa"/>
            <w:shd w:val="clear" w:color="auto" w:fill="FFCCCC"/>
            <w:vAlign w:val="bottom"/>
          </w:tcPr>
          <w:p w14:paraId="0703DBED" w14:textId="6614CC2E"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5</w:t>
            </w:r>
          </w:p>
        </w:tc>
        <w:tc>
          <w:tcPr>
            <w:tcW w:w="513" w:type="dxa"/>
            <w:shd w:val="clear" w:color="auto" w:fill="auto"/>
            <w:vAlign w:val="bottom"/>
          </w:tcPr>
          <w:p w14:paraId="3A18C659" w14:textId="155DDA4B"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637E2776" w14:textId="382558FB"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4</w:t>
            </w:r>
          </w:p>
        </w:tc>
        <w:tc>
          <w:tcPr>
            <w:tcW w:w="513" w:type="dxa"/>
            <w:shd w:val="clear" w:color="auto" w:fill="FFCCCC"/>
            <w:vAlign w:val="bottom"/>
          </w:tcPr>
          <w:p w14:paraId="79BCBF9E" w14:textId="49F243DE"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5</w:t>
            </w:r>
          </w:p>
        </w:tc>
      </w:tr>
      <w:tr w:rsidR="004A1165" w:rsidRPr="00D74F5D" w14:paraId="01BF7885" w14:textId="77777777" w:rsidTr="009D15F1">
        <w:trPr>
          <w:trHeight w:val="290"/>
        </w:trPr>
        <w:tc>
          <w:tcPr>
            <w:tcW w:w="1383" w:type="dxa"/>
            <w:tcBorders>
              <w:top w:val="nil"/>
              <w:bottom w:val="single" w:sz="4" w:space="0" w:color="auto"/>
            </w:tcBorders>
            <w:vAlign w:val="bottom"/>
          </w:tcPr>
          <w:p w14:paraId="1A47D6BE" w14:textId="77777777" w:rsidR="004A1165" w:rsidRPr="004A1165" w:rsidRDefault="004A1165" w:rsidP="004A1165">
            <w:pPr>
              <w:autoSpaceDE w:val="0"/>
              <w:autoSpaceDN w:val="0"/>
              <w:adjustRightInd w:val="0"/>
              <w:jc w:val="center"/>
              <w:rPr>
                <w:rFonts w:ascii="Arial Narrow" w:hAnsi="Arial Narrow" w:cs="Calibri"/>
                <w:color w:val="000000"/>
                <w:sz w:val="20"/>
                <w:szCs w:val="20"/>
              </w:rPr>
            </w:pPr>
          </w:p>
        </w:tc>
        <w:tc>
          <w:tcPr>
            <w:tcW w:w="1350" w:type="dxa"/>
            <w:tcBorders>
              <w:top w:val="nil"/>
              <w:bottom w:val="single" w:sz="4" w:space="0" w:color="auto"/>
            </w:tcBorders>
            <w:vAlign w:val="bottom"/>
          </w:tcPr>
          <w:p w14:paraId="5105F19E" w14:textId="77777777" w:rsidR="004A1165" w:rsidRPr="004A1165" w:rsidRDefault="004A1165" w:rsidP="004A1165">
            <w:pPr>
              <w:autoSpaceDE w:val="0"/>
              <w:autoSpaceDN w:val="0"/>
              <w:adjustRightInd w:val="0"/>
              <w:jc w:val="center"/>
              <w:rPr>
                <w:rFonts w:ascii="Arial Narrow" w:hAnsi="Arial Narrow" w:cs="Calibri"/>
                <w:color w:val="000000"/>
                <w:sz w:val="20"/>
                <w:szCs w:val="20"/>
              </w:rPr>
            </w:pPr>
          </w:p>
        </w:tc>
        <w:tc>
          <w:tcPr>
            <w:tcW w:w="1530" w:type="dxa"/>
            <w:vAlign w:val="bottom"/>
          </w:tcPr>
          <w:p w14:paraId="6C1315E2" w14:textId="3C1601AB" w:rsidR="004A1165" w:rsidRPr="004A1165" w:rsidRDefault="004A1165" w:rsidP="004A1165">
            <w:pPr>
              <w:autoSpaceDE w:val="0"/>
              <w:autoSpaceDN w:val="0"/>
              <w:adjustRightInd w:val="0"/>
              <w:jc w:val="center"/>
              <w:rPr>
                <w:rFonts w:ascii="Arial Narrow" w:hAnsi="Arial Narrow" w:cs="Arial Narrow"/>
                <w:i/>
                <w:color w:val="000000"/>
                <w:sz w:val="20"/>
                <w:szCs w:val="20"/>
              </w:rPr>
            </w:pPr>
            <w:proofErr w:type="spellStart"/>
            <w:r w:rsidRPr="004A1165">
              <w:rPr>
                <w:rFonts w:ascii="Arial Narrow" w:hAnsi="Arial Narrow" w:cs="Calibri"/>
                <w:i/>
                <w:color w:val="000000"/>
                <w:sz w:val="20"/>
                <w:szCs w:val="20"/>
              </w:rPr>
              <w:t>Simulium</w:t>
            </w:r>
            <w:proofErr w:type="spellEnd"/>
          </w:p>
        </w:tc>
        <w:tc>
          <w:tcPr>
            <w:tcW w:w="513" w:type="dxa"/>
            <w:shd w:val="clear" w:color="auto" w:fill="auto"/>
            <w:vAlign w:val="bottom"/>
          </w:tcPr>
          <w:p w14:paraId="0B50935E" w14:textId="574E023F"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2D322D41" w14:textId="66723D26"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78FEE19D" w14:textId="7F32C216"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65223D6B" w14:textId="725EF245"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6D9B1599" w14:textId="59D4C6B7"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3</w:t>
            </w:r>
          </w:p>
        </w:tc>
        <w:tc>
          <w:tcPr>
            <w:tcW w:w="513" w:type="dxa"/>
            <w:shd w:val="clear" w:color="auto" w:fill="FFCCCC"/>
            <w:vAlign w:val="bottom"/>
          </w:tcPr>
          <w:p w14:paraId="719885B7" w14:textId="4D8C863E"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5</w:t>
            </w:r>
          </w:p>
        </w:tc>
        <w:tc>
          <w:tcPr>
            <w:tcW w:w="513" w:type="dxa"/>
            <w:shd w:val="clear" w:color="auto" w:fill="FFCCCC"/>
            <w:vAlign w:val="bottom"/>
          </w:tcPr>
          <w:p w14:paraId="034EB67E" w14:textId="57FD68BD"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5</w:t>
            </w:r>
          </w:p>
        </w:tc>
        <w:tc>
          <w:tcPr>
            <w:tcW w:w="513" w:type="dxa"/>
            <w:shd w:val="clear" w:color="auto" w:fill="auto"/>
            <w:vAlign w:val="bottom"/>
          </w:tcPr>
          <w:p w14:paraId="7DBBC0BC" w14:textId="5D9193AC"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26DDD8A6" w14:textId="55C27E23"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27CD1586" w14:textId="1033516C"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4</w:t>
            </w:r>
          </w:p>
        </w:tc>
      </w:tr>
      <w:tr w:rsidR="004A1165" w:rsidRPr="00D74F5D" w14:paraId="1A75B04D" w14:textId="77777777" w:rsidTr="009D15F1">
        <w:trPr>
          <w:trHeight w:val="290"/>
        </w:trPr>
        <w:tc>
          <w:tcPr>
            <w:tcW w:w="1383" w:type="dxa"/>
            <w:tcBorders>
              <w:bottom w:val="nil"/>
            </w:tcBorders>
            <w:vAlign w:val="bottom"/>
          </w:tcPr>
          <w:p w14:paraId="1178D4AD" w14:textId="4B210A12"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Tinker Creek</w:t>
            </w:r>
          </w:p>
        </w:tc>
        <w:tc>
          <w:tcPr>
            <w:tcW w:w="1350" w:type="dxa"/>
            <w:tcBorders>
              <w:bottom w:val="nil"/>
            </w:tcBorders>
            <w:vAlign w:val="bottom"/>
          </w:tcPr>
          <w:p w14:paraId="6383AF43" w14:textId="14C53D75"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4ATKR000.69</w:t>
            </w:r>
          </w:p>
        </w:tc>
        <w:tc>
          <w:tcPr>
            <w:tcW w:w="1530" w:type="dxa"/>
            <w:vAlign w:val="bottom"/>
          </w:tcPr>
          <w:p w14:paraId="4DE782F1" w14:textId="642E87D3" w:rsidR="004A1165" w:rsidRPr="004A1165" w:rsidRDefault="004A1165" w:rsidP="004A1165">
            <w:pPr>
              <w:autoSpaceDE w:val="0"/>
              <w:autoSpaceDN w:val="0"/>
              <w:adjustRightInd w:val="0"/>
              <w:jc w:val="center"/>
              <w:rPr>
                <w:rFonts w:ascii="Arial Narrow" w:hAnsi="Arial Narrow" w:cs="Arial Narrow"/>
                <w:i/>
                <w:color w:val="000000"/>
                <w:sz w:val="20"/>
                <w:szCs w:val="20"/>
              </w:rPr>
            </w:pPr>
            <w:proofErr w:type="spellStart"/>
            <w:r w:rsidRPr="004A1165">
              <w:rPr>
                <w:rFonts w:ascii="Arial Narrow" w:hAnsi="Arial Narrow" w:cs="Calibri"/>
                <w:i/>
                <w:color w:val="000000"/>
                <w:sz w:val="20"/>
                <w:szCs w:val="20"/>
              </w:rPr>
              <w:t>Chironomidae</w:t>
            </w:r>
            <w:proofErr w:type="spellEnd"/>
          </w:p>
        </w:tc>
        <w:tc>
          <w:tcPr>
            <w:tcW w:w="513" w:type="dxa"/>
            <w:shd w:val="clear" w:color="auto" w:fill="auto"/>
            <w:vAlign w:val="bottom"/>
          </w:tcPr>
          <w:p w14:paraId="560F06D3" w14:textId="5263A6C0"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1985AF56" w14:textId="449BB506"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38A43230" w14:textId="59235AD4"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0E261AE8" w14:textId="59D64784"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66E2E3FC" w14:textId="067CCC6B"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4</w:t>
            </w:r>
          </w:p>
        </w:tc>
        <w:tc>
          <w:tcPr>
            <w:tcW w:w="513" w:type="dxa"/>
            <w:vAlign w:val="bottom"/>
          </w:tcPr>
          <w:p w14:paraId="2951331C" w14:textId="24C5FA21"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2B22769D" w14:textId="21FCB462"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642D3CC6" w14:textId="1204D04D"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36816CAB" w14:textId="7128F13D"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1E32B5D0" w14:textId="19F2782D"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4</w:t>
            </w:r>
          </w:p>
        </w:tc>
      </w:tr>
      <w:tr w:rsidR="004A1165" w:rsidRPr="00D74F5D" w14:paraId="7DCED3D4" w14:textId="77777777" w:rsidTr="009D15F1">
        <w:trPr>
          <w:trHeight w:val="290"/>
        </w:trPr>
        <w:tc>
          <w:tcPr>
            <w:tcW w:w="1383" w:type="dxa"/>
            <w:tcBorders>
              <w:top w:val="nil"/>
              <w:bottom w:val="nil"/>
            </w:tcBorders>
            <w:vAlign w:val="bottom"/>
          </w:tcPr>
          <w:p w14:paraId="1E38D76E" w14:textId="77777777" w:rsidR="004A1165" w:rsidRPr="004A1165" w:rsidRDefault="004A1165" w:rsidP="004A1165">
            <w:pPr>
              <w:autoSpaceDE w:val="0"/>
              <w:autoSpaceDN w:val="0"/>
              <w:adjustRightInd w:val="0"/>
              <w:jc w:val="center"/>
              <w:rPr>
                <w:rFonts w:ascii="Arial Narrow" w:hAnsi="Arial Narrow" w:cs="Calibri"/>
                <w:color w:val="000000"/>
                <w:sz w:val="20"/>
                <w:szCs w:val="20"/>
              </w:rPr>
            </w:pPr>
          </w:p>
        </w:tc>
        <w:tc>
          <w:tcPr>
            <w:tcW w:w="1350" w:type="dxa"/>
            <w:tcBorders>
              <w:top w:val="nil"/>
              <w:bottom w:val="nil"/>
            </w:tcBorders>
            <w:vAlign w:val="bottom"/>
          </w:tcPr>
          <w:p w14:paraId="05AD69D6" w14:textId="77777777" w:rsidR="004A1165" w:rsidRPr="004A1165" w:rsidRDefault="004A1165" w:rsidP="004A1165">
            <w:pPr>
              <w:autoSpaceDE w:val="0"/>
              <w:autoSpaceDN w:val="0"/>
              <w:adjustRightInd w:val="0"/>
              <w:jc w:val="center"/>
              <w:rPr>
                <w:rFonts w:ascii="Arial Narrow" w:hAnsi="Arial Narrow" w:cs="Calibri"/>
                <w:color w:val="000000"/>
                <w:sz w:val="20"/>
                <w:szCs w:val="20"/>
              </w:rPr>
            </w:pPr>
          </w:p>
        </w:tc>
        <w:tc>
          <w:tcPr>
            <w:tcW w:w="1530" w:type="dxa"/>
            <w:vAlign w:val="bottom"/>
          </w:tcPr>
          <w:p w14:paraId="68C1E62B" w14:textId="4258E304" w:rsidR="004A1165" w:rsidRPr="004A1165" w:rsidRDefault="004A1165" w:rsidP="004A1165">
            <w:pPr>
              <w:autoSpaceDE w:val="0"/>
              <w:autoSpaceDN w:val="0"/>
              <w:adjustRightInd w:val="0"/>
              <w:jc w:val="center"/>
              <w:rPr>
                <w:rFonts w:ascii="Arial Narrow" w:hAnsi="Arial Narrow" w:cs="Arial Narrow"/>
                <w:i/>
                <w:color w:val="000000"/>
                <w:sz w:val="20"/>
                <w:szCs w:val="20"/>
              </w:rPr>
            </w:pPr>
            <w:proofErr w:type="spellStart"/>
            <w:r w:rsidRPr="004A1165">
              <w:rPr>
                <w:rFonts w:ascii="Arial Narrow" w:hAnsi="Arial Narrow" w:cs="Calibri"/>
                <w:i/>
                <w:color w:val="000000"/>
                <w:sz w:val="20"/>
                <w:szCs w:val="20"/>
              </w:rPr>
              <w:t>Stenelmis</w:t>
            </w:r>
            <w:proofErr w:type="spellEnd"/>
          </w:p>
        </w:tc>
        <w:tc>
          <w:tcPr>
            <w:tcW w:w="513" w:type="dxa"/>
            <w:shd w:val="clear" w:color="auto" w:fill="auto"/>
            <w:vAlign w:val="bottom"/>
          </w:tcPr>
          <w:p w14:paraId="54EE74BF" w14:textId="0396239A"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5B01A3D1" w14:textId="0BEEABF4"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68F6805C" w14:textId="74B7DBCC"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4</w:t>
            </w:r>
          </w:p>
        </w:tc>
        <w:tc>
          <w:tcPr>
            <w:tcW w:w="513" w:type="dxa"/>
            <w:shd w:val="clear" w:color="auto" w:fill="FFCCCC"/>
            <w:vAlign w:val="bottom"/>
          </w:tcPr>
          <w:p w14:paraId="53A737CA" w14:textId="38DC1DA3"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5</w:t>
            </w:r>
          </w:p>
        </w:tc>
        <w:tc>
          <w:tcPr>
            <w:tcW w:w="513" w:type="dxa"/>
            <w:shd w:val="clear" w:color="auto" w:fill="auto"/>
            <w:vAlign w:val="bottom"/>
          </w:tcPr>
          <w:p w14:paraId="51142F93" w14:textId="4AFA8844"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4</w:t>
            </w:r>
          </w:p>
        </w:tc>
        <w:tc>
          <w:tcPr>
            <w:tcW w:w="513" w:type="dxa"/>
            <w:vAlign w:val="bottom"/>
          </w:tcPr>
          <w:p w14:paraId="0E720986" w14:textId="28F6E8BE"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47E41B77" w14:textId="230B89CB"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4</w:t>
            </w:r>
          </w:p>
        </w:tc>
        <w:tc>
          <w:tcPr>
            <w:tcW w:w="513" w:type="dxa"/>
            <w:shd w:val="clear" w:color="auto" w:fill="FFCCCC"/>
            <w:vAlign w:val="bottom"/>
          </w:tcPr>
          <w:p w14:paraId="14FE9081" w14:textId="1FFA6B77"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5</w:t>
            </w:r>
          </w:p>
        </w:tc>
        <w:tc>
          <w:tcPr>
            <w:tcW w:w="513" w:type="dxa"/>
            <w:shd w:val="clear" w:color="auto" w:fill="auto"/>
            <w:vAlign w:val="bottom"/>
          </w:tcPr>
          <w:p w14:paraId="04FA6A67" w14:textId="5442206B"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4</w:t>
            </w:r>
          </w:p>
        </w:tc>
        <w:tc>
          <w:tcPr>
            <w:tcW w:w="513" w:type="dxa"/>
            <w:shd w:val="clear" w:color="auto" w:fill="FFCCCC"/>
            <w:vAlign w:val="bottom"/>
          </w:tcPr>
          <w:p w14:paraId="15D0941D" w14:textId="18920839"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5</w:t>
            </w:r>
          </w:p>
        </w:tc>
      </w:tr>
      <w:tr w:rsidR="004A1165" w:rsidRPr="00D74F5D" w14:paraId="1E14FDDA" w14:textId="77777777" w:rsidTr="009D15F1">
        <w:trPr>
          <w:trHeight w:val="290"/>
        </w:trPr>
        <w:tc>
          <w:tcPr>
            <w:tcW w:w="1383" w:type="dxa"/>
            <w:tcBorders>
              <w:top w:val="nil"/>
              <w:bottom w:val="single" w:sz="4" w:space="0" w:color="auto"/>
            </w:tcBorders>
            <w:vAlign w:val="bottom"/>
          </w:tcPr>
          <w:p w14:paraId="063E5851" w14:textId="77777777" w:rsidR="004A1165" w:rsidRPr="004A1165" w:rsidRDefault="004A1165" w:rsidP="004A1165">
            <w:pPr>
              <w:autoSpaceDE w:val="0"/>
              <w:autoSpaceDN w:val="0"/>
              <w:adjustRightInd w:val="0"/>
              <w:jc w:val="center"/>
              <w:rPr>
                <w:rFonts w:ascii="Arial Narrow" w:hAnsi="Arial Narrow" w:cs="Calibri"/>
                <w:color w:val="000000"/>
                <w:sz w:val="20"/>
                <w:szCs w:val="20"/>
              </w:rPr>
            </w:pPr>
          </w:p>
        </w:tc>
        <w:tc>
          <w:tcPr>
            <w:tcW w:w="1350" w:type="dxa"/>
            <w:tcBorders>
              <w:top w:val="nil"/>
              <w:bottom w:val="single" w:sz="4" w:space="0" w:color="auto"/>
            </w:tcBorders>
            <w:vAlign w:val="bottom"/>
          </w:tcPr>
          <w:p w14:paraId="20CED067" w14:textId="77777777" w:rsidR="004A1165" w:rsidRPr="004A1165" w:rsidRDefault="004A1165" w:rsidP="004A1165">
            <w:pPr>
              <w:autoSpaceDE w:val="0"/>
              <w:autoSpaceDN w:val="0"/>
              <w:adjustRightInd w:val="0"/>
              <w:jc w:val="center"/>
              <w:rPr>
                <w:rFonts w:ascii="Arial Narrow" w:hAnsi="Arial Narrow" w:cs="Calibri"/>
                <w:color w:val="000000"/>
                <w:sz w:val="20"/>
                <w:szCs w:val="20"/>
              </w:rPr>
            </w:pPr>
          </w:p>
        </w:tc>
        <w:tc>
          <w:tcPr>
            <w:tcW w:w="1530" w:type="dxa"/>
            <w:vAlign w:val="bottom"/>
          </w:tcPr>
          <w:p w14:paraId="391DC301" w14:textId="2BC92829" w:rsidR="004A1165" w:rsidRPr="004A1165" w:rsidRDefault="004A1165" w:rsidP="004A1165">
            <w:pPr>
              <w:autoSpaceDE w:val="0"/>
              <w:autoSpaceDN w:val="0"/>
              <w:adjustRightInd w:val="0"/>
              <w:jc w:val="center"/>
              <w:rPr>
                <w:rFonts w:ascii="Arial Narrow" w:hAnsi="Arial Narrow" w:cs="Arial Narrow"/>
                <w:i/>
                <w:color w:val="000000"/>
                <w:sz w:val="20"/>
                <w:szCs w:val="20"/>
              </w:rPr>
            </w:pPr>
            <w:proofErr w:type="spellStart"/>
            <w:r w:rsidRPr="004A1165">
              <w:rPr>
                <w:rFonts w:ascii="Arial Narrow" w:hAnsi="Arial Narrow" w:cs="Calibri"/>
                <w:i/>
                <w:color w:val="000000"/>
                <w:sz w:val="20"/>
                <w:szCs w:val="20"/>
              </w:rPr>
              <w:t>Cheumatopsyche</w:t>
            </w:r>
            <w:proofErr w:type="spellEnd"/>
          </w:p>
        </w:tc>
        <w:tc>
          <w:tcPr>
            <w:tcW w:w="513" w:type="dxa"/>
            <w:shd w:val="clear" w:color="auto" w:fill="auto"/>
            <w:vAlign w:val="bottom"/>
          </w:tcPr>
          <w:p w14:paraId="2A37022B" w14:textId="7D4FF692"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1B5AFDAC" w14:textId="19630CB9"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3</w:t>
            </w:r>
          </w:p>
        </w:tc>
        <w:tc>
          <w:tcPr>
            <w:tcW w:w="513" w:type="dxa"/>
            <w:shd w:val="clear" w:color="auto" w:fill="auto"/>
            <w:vAlign w:val="bottom"/>
          </w:tcPr>
          <w:p w14:paraId="0CC25EFE" w14:textId="7D789C7B"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4</w:t>
            </w:r>
          </w:p>
        </w:tc>
        <w:tc>
          <w:tcPr>
            <w:tcW w:w="513" w:type="dxa"/>
            <w:shd w:val="clear" w:color="auto" w:fill="FFCCCC"/>
            <w:vAlign w:val="bottom"/>
          </w:tcPr>
          <w:p w14:paraId="17C2EFE5" w14:textId="134502C8"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5</w:t>
            </w:r>
          </w:p>
        </w:tc>
        <w:tc>
          <w:tcPr>
            <w:tcW w:w="513" w:type="dxa"/>
            <w:shd w:val="clear" w:color="auto" w:fill="auto"/>
            <w:vAlign w:val="bottom"/>
          </w:tcPr>
          <w:p w14:paraId="2C79F1D2" w14:textId="648BAC70"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4</w:t>
            </w:r>
          </w:p>
        </w:tc>
        <w:tc>
          <w:tcPr>
            <w:tcW w:w="513" w:type="dxa"/>
            <w:vAlign w:val="bottom"/>
          </w:tcPr>
          <w:p w14:paraId="5D3EBFA8" w14:textId="431D5E99"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4</w:t>
            </w:r>
          </w:p>
        </w:tc>
        <w:tc>
          <w:tcPr>
            <w:tcW w:w="513" w:type="dxa"/>
            <w:shd w:val="clear" w:color="auto" w:fill="FFCCCC"/>
            <w:vAlign w:val="bottom"/>
          </w:tcPr>
          <w:p w14:paraId="4B4B7CFA" w14:textId="475D8DF4"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5</w:t>
            </w:r>
          </w:p>
        </w:tc>
        <w:tc>
          <w:tcPr>
            <w:tcW w:w="513" w:type="dxa"/>
            <w:shd w:val="clear" w:color="auto" w:fill="auto"/>
            <w:vAlign w:val="bottom"/>
          </w:tcPr>
          <w:p w14:paraId="2A0660B5" w14:textId="1C47AF49"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51B8CA15" w14:textId="25AD6F5D"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4</w:t>
            </w:r>
          </w:p>
        </w:tc>
        <w:tc>
          <w:tcPr>
            <w:tcW w:w="513" w:type="dxa"/>
            <w:shd w:val="clear" w:color="auto" w:fill="FFCCCC"/>
            <w:vAlign w:val="bottom"/>
          </w:tcPr>
          <w:p w14:paraId="392D68A9" w14:textId="5C009863" w:rsidR="004A1165" w:rsidRPr="004A1165" w:rsidRDefault="004A1165" w:rsidP="004A1165">
            <w:pPr>
              <w:autoSpaceDE w:val="0"/>
              <w:autoSpaceDN w:val="0"/>
              <w:adjustRightInd w:val="0"/>
              <w:jc w:val="center"/>
              <w:rPr>
                <w:rFonts w:ascii="Arial Narrow" w:hAnsi="Arial Narrow" w:cs="Arial Narrow"/>
                <w:color w:val="000000"/>
                <w:sz w:val="20"/>
                <w:szCs w:val="20"/>
              </w:rPr>
            </w:pPr>
            <w:r w:rsidRPr="004A1165">
              <w:rPr>
                <w:rFonts w:ascii="Arial Narrow" w:hAnsi="Arial Narrow" w:cs="Calibri"/>
                <w:color w:val="000000"/>
                <w:sz w:val="20"/>
                <w:szCs w:val="20"/>
              </w:rPr>
              <w:t>5</w:t>
            </w:r>
          </w:p>
        </w:tc>
      </w:tr>
      <w:tr w:rsidR="004A1165" w:rsidRPr="00D74F5D" w14:paraId="055AECFE" w14:textId="77777777" w:rsidTr="009D15F1">
        <w:trPr>
          <w:trHeight w:val="290"/>
        </w:trPr>
        <w:tc>
          <w:tcPr>
            <w:tcW w:w="1383" w:type="dxa"/>
            <w:tcBorders>
              <w:bottom w:val="nil"/>
            </w:tcBorders>
            <w:vAlign w:val="bottom"/>
          </w:tcPr>
          <w:p w14:paraId="71DCC2D9" w14:textId="1DE2EA0E"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Roanoke River</w:t>
            </w:r>
          </w:p>
        </w:tc>
        <w:tc>
          <w:tcPr>
            <w:tcW w:w="1350" w:type="dxa"/>
            <w:tcBorders>
              <w:bottom w:val="nil"/>
            </w:tcBorders>
            <w:vAlign w:val="bottom"/>
          </w:tcPr>
          <w:p w14:paraId="3D2BF512" w14:textId="2539D7A1"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4AROA202.20</w:t>
            </w:r>
          </w:p>
        </w:tc>
        <w:tc>
          <w:tcPr>
            <w:tcW w:w="1530" w:type="dxa"/>
            <w:vAlign w:val="bottom"/>
          </w:tcPr>
          <w:p w14:paraId="5A657F4A" w14:textId="37120C56" w:rsidR="004A1165" w:rsidRPr="004A1165" w:rsidRDefault="004A1165" w:rsidP="004A1165">
            <w:pPr>
              <w:autoSpaceDE w:val="0"/>
              <w:autoSpaceDN w:val="0"/>
              <w:adjustRightInd w:val="0"/>
              <w:jc w:val="center"/>
              <w:rPr>
                <w:rFonts w:ascii="Arial Narrow" w:hAnsi="Arial Narrow" w:cs="Calibri"/>
                <w:i/>
                <w:color w:val="000000"/>
                <w:sz w:val="20"/>
                <w:szCs w:val="20"/>
              </w:rPr>
            </w:pPr>
            <w:proofErr w:type="spellStart"/>
            <w:r w:rsidRPr="004A1165">
              <w:rPr>
                <w:rFonts w:ascii="Arial Narrow" w:hAnsi="Arial Narrow" w:cs="Calibri"/>
                <w:i/>
                <w:color w:val="000000"/>
                <w:sz w:val="20"/>
                <w:szCs w:val="20"/>
              </w:rPr>
              <w:t>Chironomidae</w:t>
            </w:r>
            <w:proofErr w:type="spellEnd"/>
          </w:p>
        </w:tc>
        <w:tc>
          <w:tcPr>
            <w:tcW w:w="513" w:type="dxa"/>
            <w:shd w:val="clear" w:color="auto" w:fill="auto"/>
            <w:vAlign w:val="bottom"/>
          </w:tcPr>
          <w:p w14:paraId="02D12C3A" w14:textId="4A7018B5"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2D9A6797" w14:textId="4970ACF2"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1784E061" w14:textId="02A7ADEA"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5FA0AF85" w14:textId="75C78FFE"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327A69B1" w14:textId="03EC0701"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4</w:t>
            </w:r>
          </w:p>
        </w:tc>
        <w:tc>
          <w:tcPr>
            <w:tcW w:w="513" w:type="dxa"/>
            <w:vAlign w:val="bottom"/>
          </w:tcPr>
          <w:p w14:paraId="1D35861E" w14:textId="10D561FF"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2966E612" w14:textId="651D22B1"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6B950AB7" w14:textId="29C8BCD7"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4FC907F0" w14:textId="15014419"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6E426CF5" w14:textId="6C9E2B33"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4</w:t>
            </w:r>
          </w:p>
        </w:tc>
      </w:tr>
      <w:tr w:rsidR="004A1165" w:rsidRPr="00D74F5D" w14:paraId="2E036863" w14:textId="77777777" w:rsidTr="009D15F1">
        <w:trPr>
          <w:trHeight w:val="290"/>
        </w:trPr>
        <w:tc>
          <w:tcPr>
            <w:tcW w:w="1383" w:type="dxa"/>
            <w:tcBorders>
              <w:top w:val="nil"/>
              <w:bottom w:val="nil"/>
            </w:tcBorders>
            <w:vAlign w:val="bottom"/>
          </w:tcPr>
          <w:p w14:paraId="01A87161" w14:textId="77777777" w:rsidR="004A1165" w:rsidRPr="004A1165" w:rsidRDefault="004A1165" w:rsidP="004A1165">
            <w:pPr>
              <w:autoSpaceDE w:val="0"/>
              <w:autoSpaceDN w:val="0"/>
              <w:adjustRightInd w:val="0"/>
              <w:jc w:val="center"/>
              <w:rPr>
                <w:rFonts w:ascii="Arial Narrow" w:hAnsi="Arial Narrow" w:cs="Calibri"/>
                <w:color w:val="000000"/>
                <w:sz w:val="20"/>
                <w:szCs w:val="20"/>
              </w:rPr>
            </w:pPr>
          </w:p>
        </w:tc>
        <w:tc>
          <w:tcPr>
            <w:tcW w:w="1350" w:type="dxa"/>
            <w:tcBorders>
              <w:top w:val="nil"/>
              <w:bottom w:val="nil"/>
            </w:tcBorders>
            <w:vAlign w:val="bottom"/>
          </w:tcPr>
          <w:p w14:paraId="36123915" w14:textId="77777777" w:rsidR="004A1165" w:rsidRPr="004A1165" w:rsidRDefault="004A1165" w:rsidP="004A1165">
            <w:pPr>
              <w:autoSpaceDE w:val="0"/>
              <w:autoSpaceDN w:val="0"/>
              <w:adjustRightInd w:val="0"/>
              <w:jc w:val="center"/>
              <w:rPr>
                <w:rFonts w:ascii="Arial Narrow" w:hAnsi="Arial Narrow" w:cs="Calibri"/>
                <w:color w:val="000000"/>
                <w:sz w:val="20"/>
                <w:szCs w:val="20"/>
              </w:rPr>
            </w:pPr>
          </w:p>
        </w:tc>
        <w:tc>
          <w:tcPr>
            <w:tcW w:w="1530" w:type="dxa"/>
            <w:vAlign w:val="bottom"/>
          </w:tcPr>
          <w:p w14:paraId="74249FDC" w14:textId="0AEC459B" w:rsidR="004A1165" w:rsidRPr="004A1165" w:rsidRDefault="004A1165" w:rsidP="004A1165">
            <w:pPr>
              <w:autoSpaceDE w:val="0"/>
              <w:autoSpaceDN w:val="0"/>
              <w:adjustRightInd w:val="0"/>
              <w:jc w:val="center"/>
              <w:rPr>
                <w:rFonts w:ascii="Arial Narrow" w:hAnsi="Arial Narrow" w:cs="Calibri"/>
                <w:i/>
                <w:color w:val="000000"/>
                <w:sz w:val="20"/>
                <w:szCs w:val="20"/>
              </w:rPr>
            </w:pPr>
            <w:proofErr w:type="spellStart"/>
            <w:r w:rsidRPr="004A1165">
              <w:rPr>
                <w:rFonts w:ascii="Arial Narrow" w:hAnsi="Arial Narrow" w:cs="Calibri"/>
                <w:i/>
                <w:color w:val="000000"/>
                <w:sz w:val="20"/>
                <w:szCs w:val="20"/>
              </w:rPr>
              <w:t>Hydropsychidae</w:t>
            </w:r>
            <w:proofErr w:type="spellEnd"/>
          </w:p>
        </w:tc>
        <w:tc>
          <w:tcPr>
            <w:tcW w:w="513" w:type="dxa"/>
            <w:shd w:val="clear" w:color="auto" w:fill="auto"/>
            <w:vAlign w:val="bottom"/>
          </w:tcPr>
          <w:p w14:paraId="3C15C04B" w14:textId="25370B60"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3</w:t>
            </w:r>
          </w:p>
        </w:tc>
        <w:tc>
          <w:tcPr>
            <w:tcW w:w="513" w:type="dxa"/>
            <w:shd w:val="clear" w:color="auto" w:fill="auto"/>
            <w:vAlign w:val="bottom"/>
          </w:tcPr>
          <w:p w14:paraId="297EE360" w14:textId="4BBC20F7"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3</w:t>
            </w:r>
          </w:p>
        </w:tc>
        <w:tc>
          <w:tcPr>
            <w:tcW w:w="513" w:type="dxa"/>
            <w:shd w:val="clear" w:color="auto" w:fill="auto"/>
            <w:vAlign w:val="bottom"/>
          </w:tcPr>
          <w:p w14:paraId="03E5A375" w14:textId="0B497B53"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1BBC8138" w14:textId="1D0CDF98"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29B60049" w14:textId="11EA85CA"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3</w:t>
            </w:r>
          </w:p>
        </w:tc>
        <w:tc>
          <w:tcPr>
            <w:tcW w:w="513" w:type="dxa"/>
            <w:vAlign w:val="bottom"/>
          </w:tcPr>
          <w:p w14:paraId="4635BA2D" w14:textId="6D1B595E"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16341908" w14:textId="4D4053D3"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67B102B9" w14:textId="37DC960D"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0CC2639A" w14:textId="247546BE"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1873D01B" w14:textId="4227AE95"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4</w:t>
            </w:r>
          </w:p>
        </w:tc>
      </w:tr>
      <w:tr w:rsidR="004A1165" w:rsidRPr="00D74F5D" w14:paraId="4B49DBBD" w14:textId="77777777" w:rsidTr="009D15F1">
        <w:trPr>
          <w:trHeight w:val="290"/>
        </w:trPr>
        <w:tc>
          <w:tcPr>
            <w:tcW w:w="1383" w:type="dxa"/>
            <w:tcBorders>
              <w:top w:val="nil"/>
              <w:bottom w:val="single" w:sz="4" w:space="0" w:color="auto"/>
            </w:tcBorders>
            <w:vAlign w:val="bottom"/>
          </w:tcPr>
          <w:p w14:paraId="0B9D6928" w14:textId="77777777" w:rsidR="004A1165" w:rsidRPr="004A1165" w:rsidRDefault="004A1165" w:rsidP="004A1165">
            <w:pPr>
              <w:autoSpaceDE w:val="0"/>
              <w:autoSpaceDN w:val="0"/>
              <w:adjustRightInd w:val="0"/>
              <w:jc w:val="center"/>
              <w:rPr>
                <w:rFonts w:ascii="Arial Narrow" w:hAnsi="Arial Narrow" w:cs="Calibri"/>
                <w:color w:val="000000"/>
                <w:sz w:val="20"/>
                <w:szCs w:val="20"/>
              </w:rPr>
            </w:pPr>
          </w:p>
        </w:tc>
        <w:tc>
          <w:tcPr>
            <w:tcW w:w="1350" w:type="dxa"/>
            <w:tcBorders>
              <w:top w:val="nil"/>
              <w:bottom w:val="single" w:sz="4" w:space="0" w:color="auto"/>
            </w:tcBorders>
            <w:vAlign w:val="bottom"/>
          </w:tcPr>
          <w:p w14:paraId="30D7C793" w14:textId="77777777" w:rsidR="004A1165" w:rsidRPr="004A1165" w:rsidRDefault="004A1165" w:rsidP="004A1165">
            <w:pPr>
              <w:autoSpaceDE w:val="0"/>
              <w:autoSpaceDN w:val="0"/>
              <w:adjustRightInd w:val="0"/>
              <w:jc w:val="center"/>
              <w:rPr>
                <w:rFonts w:ascii="Arial Narrow" w:hAnsi="Arial Narrow" w:cs="Calibri"/>
                <w:color w:val="000000"/>
                <w:sz w:val="20"/>
                <w:szCs w:val="20"/>
              </w:rPr>
            </w:pPr>
          </w:p>
        </w:tc>
        <w:tc>
          <w:tcPr>
            <w:tcW w:w="1530" w:type="dxa"/>
            <w:vAlign w:val="bottom"/>
          </w:tcPr>
          <w:p w14:paraId="6110140A" w14:textId="07614F84" w:rsidR="004A1165" w:rsidRPr="004A1165" w:rsidRDefault="004A1165" w:rsidP="004A1165">
            <w:pPr>
              <w:autoSpaceDE w:val="0"/>
              <w:autoSpaceDN w:val="0"/>
              <w:adjustRightInd w:val="0"/>
              <w:jc w:val="center"/>
              <w:rPr>
                <w:rFonts w:ascii="Arial Narrow" w:hAnsi="Arial Narrow" w:cs="Calibri"/>
                <w:i/>
                <w:color w:val="000000"/>
                <w:sz w:val="20"/>
                <w:szCs w:val="20"/>
              </w:rPr>
            </w:pPr>
            <w:proofErr w:type="spellStart"/>
            <w:r w:rsidRPr="004A1165">
              <w:rPr>
                <w:rFonts w:ascii="Arial Narrow" w:hAnsi="Arial Narrow" w:cs="Calibri"/>
                <w:i/>
                <w:color w:val="000000"/>
                <w:sz w:val="20"/>
                <w:szCs w:val="20"/>
              </w:rPr>
              <w:t>Pleuroceridae</w:t>
            </w:r>
            <w:proofErr w:type="spellEnd"/>
          </w:p>
        </w:tc>
        <w:tc>
          <w:tcPr>
            <w:tcW w:w="513" w:type="dxa"/>
            <w:shd w:val="clear" w:color="auto" w:fill="auto"/>
            <w:vAlign w:val="bottom"/>
          </w:tcPr>
          <w:p w14:paraId="40DDA1F8" w14:textId="3B343612"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3</w:t>
            </w:r>
          </w:p>
        </w:tc>
        <w:tc>
          <w:tcPr>
            <w:tcW w:w="513" w:type="dxa"/>
            <w:shd w:val="clear" w:color="auto" w:fill="auto"/>
            <w:vAlign w:val="bottom"/>
          </w:tcPr>
          <w:p w14:paraId="119B74DF" w14:textId="5D0B3671"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2</w:t>
            </w:r>
          </w:p>
        </w:tc>
        <w:tc>
          <w:tcPr>
            <w:tcW w:w="513" w:type="dxa"/>
            <w:shd w:val="clear" w:color="auto" w:fill="auto"/>
            <w:vAlign w:val="bottom"/>
          </w:tcPr>
          <w:p w14:paraId="13DF5752" w14:textId="12346817"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7A25A320" w14:textId="7F8A086D"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3</w:t>
            </w:r>
          </w:p>
        </w:tc>
        <w:tc>
          <w:tcPr>
            <w:tcW w:w="513" w:type="dxa"/>
            <w:shd w:val="clear" w:color="auto" w:fill="auto"/>
            <w:vAlign w:val="bottom"/>
          </w:tcPr>
          <w:p w14:paraId="10F007A0" w14:textId="6D724823"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3</w:t>
            </w:r>
          </w:p>
        </w:tc>
        <w:tc>
          <w:tcPr>
            <w:tcW w:w="513" w:type="dxa"/>
            <w:vAlign w:val="bottom"/>
          </w:tcPr>
          <w:p w14:paraId="6361487C" w14:textId="5446615F"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3</w:t>
            </w:r>
          </w:p>
        </w:tc>
        <w:tc>
          <w:tcPr>
            <w:tcW w:w="513" w:type="dxa"/>
            <w:shd w:val="clear" w:color="auto" w:fill="auto"/>
            <w:vAlign w:val="bottom"/>
          </w:tcPr>
          <w:p w14:paraId="2626A234" w14:textId="2B1260B1"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3329609C" w14:textId="7B141E58"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3</w:t>
            </w:r>
          </w:p>
        </w:tc>
        <w:tc>
          <w:tcPr>
            <w:tcW w:w="513" w:type="dxa"/>
            <w:shd w:val="clear" w:color="auto" w:fill="auto"/>
            <w:vAlign w:val="bottom"/>
          </w:tcPr>
          <w:p w14:paraId="556C1198" w14:textId="4DDD1113"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3</w:t>
            </w:r>
          </w:p>
        </w:tc>
        <w:tc>
          <w:tcPr>
            <w:tcW w:w="513" w:type="dxa"/>
            <w:shd w:val="clear" w:color="auto" w:fill="auto"/>
            <w:vAlign w:val="bottom"/>
          </w:tcPr>
          <w:p w14:paraId="2DEBD4A7" w14:textId="34E4F087"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4</w:t>
            </w:r>
          </w:p>
        </w:tc>
      </w:tr>
      <w:tr w:rsidR="004A1165" w:rsidRPr="00D74F5D" w14:paraId="6D548A97" w14:textId="77777777" w:rsidTr="009D15F1">
        <w:trPr>
          <w:trHeight w:val="290"/>
        </w:trPr>
        <w:tc>
          <w:tcPr>
            <w:tcW w:w="1383" w:type="dxa"/>
            <w:tcBorders>
              <w:bottom w:val="nil"/>
            </w:tcBorders>
            <w:vAlign w:val="bottom"/>
          </w:tcPr>
          <w:p w14:paraId="2B254977" w14:textId="4DEC30BA"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Roanoke River</w:t>
            </w:r>
          </w:p>
        </w:tc>
        <w:tc>
          <w:tcPr>
            <w:tcW w:w="1350" w:type="dxa"/>
            <w:tcBorders>
              <w:bottom w:val="nil"/>
            </w:tcBorders>
            <w:vAlign w:val="bottom"/>
          </w:tcPr>
          <w:p w14:paraId="50802ED3" w14:textId="7916268F"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4AROA198.08</w:t>
            </w:r>
          </w:p>
        </w:tc>
        <w:tc>
          <w:tcPr>
            <w:tcW w:w="1530" w:type="dxa"/>
            <w:vAlign w:val="bottom"/>
          </w:tcPr>
          <w:p w14:paraId="60913143" w14:textId="61D237BB" w:rsidR="004A1165" w:rsidRPr="004A1165" w:rsidRDefault="004A1165" w:rsidP="004A1165">
            <w:pPr>
              <w:autoSpaceDE w:val="0"/>
              <w:autoSpaceDN w:val="0"/>
              <w:adjustRightInd w:val="0"/>
              <w:jc w:val="center"/>
              <w:rPr>
                <w:rFonts w:ascii="Arial Narrow" w:hAnsi="Arial Narrow" w:cs="Calibri"/>
                <w:i/>
                <w:color w:val="000000"/>
                <w:sz w:val="20"/>
                <w:szCs w:val="20"/>
              </w:rPr>
            </w:pPr>
            <w:proofErr w:type="spellStart"/>
            <w:r w:rsidRPr="004A1165">
              <w:rPr>
                <w:rFonts w:ascii="Arial Narrow" w:hAnsi="Arial Narrow" w:cs="Calibri"/>
                <w:i/>
                <w:color w:val="000000"/>
                <w:sz w:val="20"/>
                <w:szCs w:val="20"/>
              </w:rPr>
              <w:t>Chironomidae</w:t>
            </w:r>
            <w:proofErr w:type="spellEnd"/>
          </w:p>
        </w:tc>
        <w:tc>
          <w:tcPr>
            <w:tcW w:w="513" w:type="dxa"/>
            <w:shd w:val="clear" w:color="auto" w:fill="auto"/>
            <w:vAlign w:val="bottom"/>
          </w:tcPr>
          <w:p w14:paraId="3D1BC4A9" w14:textId="58B0DD78"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6D5461C1" w14:textId="142D2AF3"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59372B90" w14:textId="23D56467"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348F164B" w14:textId="4C7978C4"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7057130F" w14:textId="6B1ADDA1"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4</w:t>
            </w:r>
          </w:p>
        </w:tc>
        <w:tc>
          <w:tcPr>
            <w:tcW w:w="513" w:type="dxa"/>
            <w:vAlign w:val="bottom"/>
          </w:tcPr>
          <w:p w14:paraId="57832228" w14:textId="00B54EF2"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5CC22E2C" w14:textId="46A24B4B"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20723F6E" w14:textId="5B2F4A9F"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59F81296" w14:textId="404E9AEA"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1CEDE41A" w14:textId="2299E517"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4</w:t>
            </w:r>
          </w:p>
        </w:tc>
      </w:tr>
      <w:tr w:rsidR="004A1165" w:rsidRPr="00D74F5D" w14:paraId="7CB2C682" w14:textId="77777777" w:rsidTr="009D15F1">
        <w:trPr>
          <w:trHeight w:val="290"/>
        </w:trPr>
        <w:tc>
          <w:tcPr>
            <w:tcW w:w="1383" w:type="dxa"/>
            <w:tcBorders>
              <w:top w:val="nil"/>
              <w:bottom w:val="nil"/>
            </w:tcBorders>
            <w:vAlign w:val="bottom"/>
          </w:tcPr>
          <w:p w14:paraId="022EB7A6" w14:textId="77777777" w:rsidR="004A1165" w:rsidRPr="004A1165" w:rsidRDefault="004A1165" w:rsidP="004A1165">
            <w:pPr>
              <w:autoSpaceDE w:val="0"/>
              <w:autoSpaceDN w:val="0"/>
              <w:adjustRightInd w:val="0"/>
              <w:jc w:val="center"/>
              <w:rPr>
                <w:rFonts w:ascii="Arial Narrow" w:hAnsi="Arial Narrow" w:cs="Calibri"/>
                <w:color w:val="000000"/>
                <w:sz w:val="20"/>
                <w:szCs w:val="20"/>
              </w:rPr>
            </w:pPr>
          </w:p>
        </w:tc>
        <w:tc>
          <w:tcPr>
            <w:tcW w:w="1350" w:type="dxa"/>
            <w:tcBorders>
              <w:top w:val="nil"/>
              <w:bottom w:val="nil"/>
            </w:tcBorders>
            <w:vAlign w:val="bottom"/>
          </w:tcPr>
          <w:p w14:paraId="55480616" w14:textId="77777777" w:rsidR="004A1165" w:rsidRPr="004A1165" w:rsidRDefault="004A1165" w:rsidP="004A1165">
            <w:pPr>
              <w:autoSpaceDE w:val="0"/>
              <w:autoSpaceDN w:val="0"/>
              <w:adjustRightInd w:val="0"/>
              <w:jc w:val="center"/>
              <w:rPr>
                <w:rFonts w:ascii="Arial Narrow" w:hAnsi="Arial Narrow" w:cs="Calibri"/>
                <w:color w:val="000000"/>
                <w:sz w:val="20"/>
                <w:szCs w:val="20"/>
              </w:rPr>
            </w:pPr>
          </w:p>
        </w:tc>
        <w:tc>
          <w:tcPr>
            <w:tcW w:w="1530" w:type="dxa"/>
            <w:vAlign w:val="bottom"/>
          </w:tcPr>
          <w:p w14:paraId="471E6F55" w14:textId="04F67448" w:rsidR="004A1165" w:rsidRPr="004A1165" w:rsidRDefault="004A1165" w:rsidP="004A1165">
            <w:pPr>
              <w:autoSpaceDE w:val="0"/>
              <w:autoSpaceDN w:val="0"/>
              <w:adjustRightInd w:val="0"/>
              <w:jc w:val="center"/>
              <w:rPr>
                <w:rFonts w:ascii="Arial Narrow" w:hAnsi="Arial Narrow" w:cs="Calibri"/>
                <w:i/>
                <w:color w:val="000000"/>
                <w:sz w:val="20"/>
                <w:szCs w:val="20"/>
              </w:rPr>
            </w:pPr>
            <w:proofErr w:type="spellStart"/>
            <w:r w:rsidRPr="004A1165">
              <w:rPr>
                <w:rFonts w:ascii="Arial Narrow" w:hAnsi="Arial Narrow" w:cs="Calibri"/>
                <w:i/>
                <w:color w:val="000000"/>
                <w:sz w:val="20"/>
                <w:szCs w:val="20"/>
              </w:rPr>
              <w:t>Pleuroceridae</w:t>
            </w:r>
            <w:proofErr w:type="spellEnd"/>
          </w:p>
        </w:tc>
        <w:tc>
          <w:tcPr>
            <w:tcW w:w="513" w:type="dxa"/>
            <w:shd w:val="clear" w:color="auto" w:fill="auto"/>
            <w:vAlign w:val="bottom"/>
          </w:tcPr>
          <w:p w14:paraId="75A1EB97" w14:textId="7DD7A839"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3</w:t>
            </w:r>
          </w:p>
        </w:tc>
        <w:tc>
          <w:tcPr>
            <w:tcW w:w="513" w:type="dxa"/>
            <w:shd w:val="clear" w:color="auto" w:fill="auto"/>
            <w:vAlign w:val="bottom"/>
          </w:tcPr>
          <w:p w14:paraId="5FD7E648" w14:textId="555D8A24"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2</w:t>
            </w:r>
          </w:p>
        </w:tc>
        <w:tc>
          <w:tcPr>
            <w:tcW w:w="513" w:type="dxa"/>
            <w:shd w:val="clear" w:color="auto" w:fill="auto"/>
            <w:vAlign w:val="bottom"/>
          </w:tcPr>
          <w:p w14:paraId="78AA3DAE" w14:textId="0089759A"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360D4122" w14:textId="3471455A"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3</w:t>
            </w:r>
          </w:p>
        </w:tc>
        <w:tc>
          <w:tcPr>
            <w:tcW w:w="513" w:type="dxa"/>
            <w:shd w:val="clear" w:color="auto" w:fill="auto"/>
            <w:vAlign w:val="bottom"/>
          </w:tcPr>
          <w:p w14:paraId="3588982F" w14:textId="787E4E35"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3</w:t>
            </w:r>
          </w:p>
        </w:tc>
        <w:tc>
          <w:tcPr>
            <w:tcW w:w="513" w:type="dxa"/>
            <w:vAlign w:val="bottom"/>
          </w:tcPr>
          <w:p w14:paraId="54430CF4" w14:textId="208B3BA8"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3</w:t>
            </w:r>
          </w:p>
        </w:tc>
        <w:tc>
          <w:tcPr>
            <w:tcW w:w="513" w:type="dxa"/>
            <w:shd w:val="clear" w:color="auto" w:fill="auto"/>
            <w:vAlign w:val="bottom"/>
          </w:tcPr>
          <w:p w14:paraId="2B54CA3A" w14:textId="187C6996"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6EDEE7E3" w14:textId="77EB52E4"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3</w:t>
            </w:r>
          </w:p>
        </w:tc>
        <w:tc>
          <w:tcPr>
            <w:tcW w:w="513" w:type="dxa"/>
            <w:shd w:val="clear" w:color="auto" w:fill="auto"/>
            <w:vAlign w:val="bottom"/>
          </w:tcPr>
          <w:p w14:paraId="7872E0FA" w14:textId="19D7E5E6"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3</w:t>
            </w:r>
          </w:p>
        </w:tc>
        <w:tc>
          <w:tcPr>
            <w:tcW w:w="513" w:type="dxa"/>
            <w:shd w:val="clear" w:color="auto" w:fill="auto"/>
            <w:vAlign w:val="bottom"/>
          </w:tcPr>
          <w:p w14:paraId="6A2DDE37" w14:textId="0A9B5FC8"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4</w:t>
            </w:r>
          </w:p>
        </w:tc>
      </w:tr>
      <w:tr w:rsidR="004A1165" w:rsidRPr="00D74F5D" w14:paraId="4883F757" w14:textId="77777777" w:rsidTr="009D15F1">
        <w:trPr>
          <w:trHeight w:val="290"/>
        </w:trPr>
        <w:tc>
          <w:tcPr>
            <w:tcW w:w="1383" w:type="dxa"/>
            <w:tcBorders>
              <w:top w:val="nil"/>
            </w:tcBorders>
            <w:vAlign w:val="bottom"/>
          </w:tcPr>
          <w:p w14:paraId="20B69F50" w14:textId="77777777" w:rsidR="004A1165" w:rsidRPr="004A1165" w:rsidRDefault="004A1165" w:rsidP="004A1165">
            <w:pPr>
              <w:autoSpaceDE w:val="0"/>
              <w:autoSpaceDN w:val="0"/>
              <w:adjustRightInd w:val="0"/>
              <w:jc w:val="center"/>
              <w:rPr>
                <w:rFonts w:ascii="Arial Narrow" w:hAnsi="Arial Narrow" w:cs="Calibri"/>
                <w:color w:val="000000"/>
                <w:sz w:val="20"/>
                <w:szCs w:val="20"/>
              </w:rPr>
            </w:pPr>
          </w:p>
        </w:tc>
        <w:tc>
          <w:tcPr>
            <w:tcW w:w="1350" w:type="dxa"/>
            <w:tcBorders>
              <w:top w:val="nil"/>
            </w:tcBorders>
            <w:vAlign w:val="bottom"/>
          </w:tcPr>
          <w:p w14:paraId="190A93E9" w14:textId="77777777" w:rsidR="004A1165" w:rsidRPr="004A1165" w:rsidRDefault="004A1165" w:rsidP="004A1165">
            <w:pPr>
              <w:autoSpaceDE w:val="0"/>
              <w:autoSpaceDN w:val="0"/>
              <w:adjustRightInd w:val="0"/>
              <w:jc w:val="center"/>
              <w:rPr>
                <w:rFonts w:ascii="Arial Narrow" w:hAnsi="Arial Narrow" w:cs="Calibri"/>
                <w:color w:val="000000"/>
                <w:sz w:val="20"/>
                <w:szCs w:val="20"/>
              </w:rPr>
            </w:pPr>
          </w:p>
        </w:tc>
        <w:tc>
          <w:tcPr>
            <w:tcW w:w="1530" w:type="dxa"/>
            <w:vAlign w:val="bottom"/>
          </w:tcPr>
          <w:p w14:paraId="45D90EF0" w14:textId="05B62A1E" w:rsidR="004A1165" w:rsidRPr="004A1165" w:rsidRDefault="004A1165" w:rsidP="004A1165">
            <w:pPr>
              <w:autoSpaceDE w:val="0"/>
              <w:autoSpaceDN w:val="0"/>
              <w:adjustRightInd w:val="0"/>
              <w:jc w:val="center"/>
              <w:rPr>
                <w:rFonts w:ascii="Arial Narrow" w:hAnsi="Arial Narrow" w:cs="Calibri"/>
                <w:i/>
                <w:color w:val="000000"/>
                <w:sz w:val="20"/>
                <w:szCs w:val="20"/>
              </w:rPr>
            </w:pPr>
            <w:proofErr w:type="spellStart"/>
            <w:r w:rsidRPr="004A1165">
              <w:rPr>
                <w:rFonts w:ascii="Arial Narrow" w:hAnsi="Arial Narrow" w:cs="Calibri"/>
                <w:i/>
                <w:color w:val="000000"/>
                <w:sz w:val="20"/>
                <w:szCs w:val="20"/>
              </w:rPr>
              <w:t>Hydropsychidae</w:t>
            </w:r>
            <w:proofErr w:type="spellEnd"/>
          </w:p>
        </w:tc>
        <w:tc>
          <w:tcPr>
            <w:tcW w:w="513" w:type="dxa"/>
            <w:shd w:val="clear" w:color="auto" w:fill="auto"/>
            <w:vAlign w:val="bottom"/>
          </w:tcPr>
          <w:p w14:paraId="331ED6FE" w14:textId="387A65B0"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3</w:t>
            </w:r>
          </w:p>
        </w:tc>
        <w:tc>
          <w:tcPr>
            <w:tcW w:w="513" w:type="dxa"/>
            <w:shd w:val="clear" w:color="auto" w:fill="auto"/>
            <w:vAlign w:val="bottom"/>
          </w:tcPr>
          <w:p w14:paraId="412AA4E4" w14:textId="4A9BF1E5"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3</w:t>
            </w:r>
          </w:p>
        </w:tc>
        <w:tc>
          <w:tcPr>
            <w:tcW w:w="513" w:type="dxa"/>
            <w:shd w:val="clear" w:color="auto" w:fill="auto"/>
            <w:vAlign w:val="bottom"/>
          </w:tcPr>
          <w:p w14:paraId="1C0497C5" w14:textId="5B9BB9AD"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773F2B58" w14:textId="002F19BD"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4D6EB372" w14:textId="29FB0CC0"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3</w:t>
            </w:r>
          </w:p>
        </w:tc>
        <w:tc>
          <w:tcPr>
            <w:tcW w:w="513" w:type="dxa"/>
            <w:vAlign w:val="bottom"/>
          </w:tcPr>
          <w:p w14:paraId="2AE70C95" w14:textId="1F24F839"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7CDA86BE" w14:textId="685355BB"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66702653" w14:textId="600CDB85"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777B2F5E" w14:textId="684E6F6E"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4</w:t>
            </w:r>
          </w:p>
        </w:tc>
        <w:tc>
          <w:tcPr>
            <w:tcW w:w="513" w:type="dxa"/>
            <w:shd w:val="clear" w:color="auto" w:fill="auto"/>
            <w:vAlign w:val="bottom"/>
          </w:tcPr>
          <w:p w14:paraId="4BD51498" w14:textId="2415C14E" w:rsidR="004A1165" w:rsidRPr="004A1165" w:rsidRDefault="004A1165" w:rsidP="004A1165">
            <w:pPr>
              <w:autoSpaceDE w:val="0"/>
              <w:autoSpaceDN w:val="0"/>
              <w:adjustRightInd w:val="0"/>
              <w:jc w:val="center"/>
              <w:rPr>
                <w:rFonts w:ascii="Arial Narrow" w:hAnsi="Arial Narrow" w:cs="Calibri"/>
                <w:color w:val="000000"/>
                <w:sz w:val="20"/>
                <w:szCs w:val="20"/>
              </w:rPr>
            </w:pPr>
            <w:r w:rsidRPr="004A1165">
              <w:rPr>
                <w:rFonts w:ascii="Arial Narrow" w:hAnsi="Arial Narrow" w:cs="Calibri"/>
                <w:color w:val="000000"/>
                <w:sz w:val="20"/>
                <w:szCs w:val="20"/>
              </w:rPr>
              <w:t>4</w:t>
            </w:r>
          </w:p>
        </w:tc>
      </w:tr>
    </w:tbl>
    <w:p w14:paraId="521DDE20" w14:textId="7800444F" w:rsidR="00F85253" w:rsidRDefault="00F85253" w:rsidP="00CB5F12">
      <w:pPr>
        <w:spacing w:before="120" w:after="120" w:line="360" w:lineRule="auto"/>
      </w:pPr>
    </w:p>
    <w:p w14:paraId="3D49825C" w14:textId="77777777" w:rsidR="00F35736" w:rsidRPr="00D74F5D" w:rsidRDefault="00F35736" w:rsidP="00CB5F12">
      <w:pPr>
        <w:spacing w:before="120" w:after="120" w:line="360" w:lineRule="auto"/>
      </w:pPr>
    </w:p>
    <w:p w14:paraId="2A31ECF2" w14:textId="3F80623A" w:rsidR="00491AF4" w:rsidRPr="00D74F5D" w:rsidRDefault="00491AF4" w:rsidP="00491AF4">
      <w:pPr>
        <w:pStyle w:val="Caption"/>
      </w:pPr>
      <w:bookmarkStart w:id="58" w:name="_Ref48644075"/>
      <w:bookmarkStart w:id="59" w:name="_Toc162948274"/>
      <w:r w:rsidRPr="00D74F5D">
        <w:t xml:space="preserve">Table </w:t>
      </w:r>
      <w:r w:rsidR="00AE28FC" w:rsidRPr="00D74F5D">
        <w:rPr>
          <w:noProof/>
        </w:rPr>
        <w:fldChar w:fldCharType="begin"/>
      </w:r>
      <w:r w:rsidR="00AE28FC" w:rsidRPr="00D74F5D">
        <w:rPr>
          <w:noProof/>
        </w:rPr>
        <w:instrText xml:space="preserve"> SEQ Table \* ARABIC </w:instrText>
      </w:r>
      <w:r w:rsidR="00AE28FC" w:rsidRPr="00D74F5D">
        <w:rPr>
          <w:noProof/>
        </w:rPr>
        <w:fldChar w:fldCharType="separate"/>
      </w:r>
      <w:r w:rsidR="004A78BF">
        <w:rPr>
          <w:noProof/>
        </w:rPr>
        <w:t>7</w:t>
      </w:r>
      <w:r w:rsidR="00AE28FC" w:rsidRPr="00D74F5D">
        <w:rPr>
          <w:noProof/>
        </w:rPr>
        <w:fldChar w:fldCharType="end"/>
      </w:r>
      <w:bookmarkEnd w:id="58"/>
      <w:r w:rsidRPr="00D74F5D">
        <w:t xml:space="preserve">. Rank of average biological condition gradient </w:t>
      </w:r>
      <w:r w:rsidR="00CC60A2">
        <w:t>attribut</w:t>
      </w:r>
      <w:r w:rsidR="007E2E2D">
        <w:t>e</w:t>
      </w:r>
      <w:r w:rsidR="00CC60A2">
        <w:t xml:space="preserve"> </w:t>
      </w:r>
      <w:r w:rsidRPr="00D74F5D">
        <w:t>scores for each stressor in each impaired stream.</w:t>
      </w:r>
      <w:bookmarkEnd w:id="59"/>
    </w:p>
    <w:tbl>
      <w:tblPr>
        <w:tblW w:w="7773"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3"/>
        <w:gridCol w:w="1350"/>
        <w:gridCol w:w="504"/>
        <w:gridCol w:w="504"/>
        <w:gridCol w:w="504"/>
        <w:gridCol w:w="504"/>
        <w:gridCol w:w="504"/>
        <w:gridCol w:w="504"/>
        <w:gridCol w:w="504"/>
        <w:gridCol w:w="504"/>
        <w:gridCol w:w="504"/>
        <w:gridCol w:w="504"/>
      </w:tblGrid>
      <w:tr w:rsidR="00491AF4" w:rsidRPr="00D74F5D" w14:paraId="391DFF02" w14:textId="77777777" w:rsidTr="00327628">
        <w:trPr>
          <w:cantSplit/>
          <w:trHeight w:val="1286"/>
        </w:trPr>
        <w:tc>
          <w:tcPr>
            <w:tcW w:w="1383" w:type="dxa"/>
            <w:shd w:val="clear" w:color="auto" w:fill="D9D9D9" w:themeFill="background1" w:themeFillShade="D9"/>
            <w:vAlign w:val="center"/>
          </w:tcPr>
          <w:p w14:paraId="06699CE8" w14:textId="77777777" w:rsidR="00491AF4" w:rsidRPr="00D74F5D" w:rsidRDefault="00491AF4" w:rsidP="00066FB6">
            <w:pPr>
              <w:autoSpaceDE w:val="0"/>
              <w:autoSpaceDN w:val="0"/>
              <w:adjustRightInd w:val="0"/>
              <w:jc w:val="center"/>
              <w:rPr>
                <w:rFonts w:ascii="Arial Narrow" w:hAnsi="Arial Narrow" w:cs="Calibri"/>
                <w:b/>
                <w:bCs/>
                <w:color w:val="000000"/>
                <w:sz w:val="20"/>
                <w:szCs w:val="20"/>
              </w:rPr>
            </w:pPr>
            <w:r w:rsidRPr="00D74F5D">
              <w:rPr>
                <w:rFonts w:ascii="Arial Narrow" w:hAnsi="Arial Narrow" w:cs="Calibri"/>
                <w:b/>
                <w:bCs/>
                <w:color w:val="000000"/>
                <w:sz w:val="20"/>
                <w:szCs w:val="20"/>
              </w:rPr>
              <w:t>Stream</w:t>
            </w:r>
          </w:p>
        </w:tc>
        <w:tc>
          <w:tcPr>
            <w:tcW w:w="1350" w:type="dxa"/>
            <w:shd w:val="clear" w:color="auto" w:fill="D9D9D9" w:themeFill="background1" w:themeFillShade="D9"/>
            <w:vAlign w:val="center"/>
          </w:tcPr>
          <w:p w14:paraId="1CB526FB" w14:textId="77777777" w:rsidR="00491AF4" w:rsidRPr="00D74F5D" w:rsidRDefault="00491AF4" w:rsidP="00066FB6">
            <w:pPr>
              <w:autoSpaceDE w:val="0"/>
              <w:autoSpaceDN w:val="0"/>
              <w:adjustRightInd w:val="0"/>
              <w:jc w:val="center"/>
              <w:rPr>
                <w:rFonts w:ascii="Arial Narrow" w:hAnsi="Arial Narrow" w:cs="Calibri"/>
                <w:b/>
                <w:bCs/>
                <w:color w:val="000000"/>
                <w:sz w:val="20"/>
                <w:szCs w:val="20"/>
              </w:rPr>
            </w:pPr>
            <w:r w:rsidRPr="00D74F5D">
              <w:rPr>
                <w:rFonts w:ascii="Arial Narrow" w:hAnsi="Arial Narrow" w:cs="Calibri"/>
                <w:b/>
                <w:bCs/>
                <w:color w:val="000000"/>
                <w:sz w:val="20"/>
                <w:szCs w:val="20"/>
              </w:rPr>
              <w:t>Station</w:t>
            </w:r>
          </w:p>
        </w:tc>
        <w:tc>
          <w:tcPr>
            <w:tcW w:w="504" w:type="dxa"/>
            <w:shd w:val="clear" w:color="auto" w:fill="D9D9D9" w:themeFill="background1" w:themeFillShade="D9"/>
            <w:textDirection w:val="btLr"/>
          </w:tcPr>
          <w:p w14:paraId="085DF71D" w14:textId="77777777" w:rsidR="00491AF4" w:rsidRPr="00D74F5D" w:rsidRDefault="00491AF4" w:rsidP="00066FB6">
            <w:pPr>
              <w:autoSpaceDE w:val="0"/>
              <w:autoSpaceDN w:val="0"/>
              <w:adjustRightInd w:val="0"/>
              <w:ind w:left="113" w:right="113"/>
              <w:jc w:val="center"/>
              <w:rPr>
                <w:rFonts w:ascii="Arial Narrow" w:hAnsi="Arial Narrow" w:cs="Calibri"/>
                <w:b/>
                <w:bCs/>
                <w:color w:val="000000"/>
                <w:sz w:val="20"/>
                <w:szCs w:val="20"/>
              </w:rPr>
            </w:pPr>
            <w:r w:rsidRPr="00D74F5D">
              <w:rPr>
                <w:rFonts w:ascii="Arial Narrow" w:hAnsi="Arial Narrow"/>
                <w:b/>
                <w:sz w:val="20"/>
                <w:szCs w:val="20"/>
              </w:rPr>
              <w:t>Diss. Oxy.</w:t>
            </w:r>
          </w:p>
        </w:tc>
        <w:tc>
          <w:tcPr>
            <w:tcW w:w="504" w:type="dxa"/>
            <w:shd w:val="clear" w:color="auto" w:fill="D9D9D9" w:themeFill="background1" w:themeFillShade="D9"/>
            <w:textDirection w:val="btLr"/>
          </w:tcPr>
          <w:p w14:paraId="17DDBAF3" w14:textId="77777777" w:rsidR="00491AF4" w:rsidRPr="00D74F5D" w:rsidRDefault="00491AF4" w:rsidP="00066FB6">
            <w:pPr>
              <w:autoSpaceDE w:val="0"/>
              <w:autoSpaceDN w:val="0"/>
              <w:adjustRightInd w:val="0"/>
              <w:ind w:left="113" w:right="113"/>
              <w:jc w:val="center"/>
              <w:rPr>
                <w:rFonts w:ascii="Arial Narrow" w:hAnsi="Arial Narrow" w:cs="Calibri"/>
                <w:b/>
                <w:bCs/>
                <w:color w:val="000000"/>
                <w:sz w:val="20"/>
                <w:szCs w:val="20"/>
              </w:rPr>
            </w:pPr>
            <w:r w:rsidRPr="00D74F5D">
              <w:rPr>
                <w:rFonts w:ascii="Arial Narrow" w:hAnsi="Arial Narrow"/>
                <w:b/>
                <w:sz w:val="20"/>
                <w:szCs w:val="20"/>
              </w:rPr>
              <w:t>Acidity</w:t>
            </w:r>
          </w:p>
        </w:tc>
        <w:tc>
          <w:tcPr>
            <w:tcW w:w="504" w:type="dxa"/>
            <w:shd w:val="clear" w:color="auto" w:fill="D9D9D9" w:themeFill="background1" w:themeFillShade="D9"/>
            <w:textDirection w:val="btLr"/>
          </w:tcPr>
          <w:p w14:paraId="3059C496" w14:textId="77777777" w:rsidR="00491AF4" w:rsidRPr="00D74F5D" w:rsidRDefault="00491AF4" w:rsidP="00066FB6">
            <w:pPr>
              <w:autoSpaceDE w:val="0"/>
              <w:autoSpaceDN w:val="0"/>
              <w:adjustRightInd w:val="0"/>
              <w:ind w:left="113" w:right="113"/>
              <w:jc w:val="center"/>
              <w:rPr>
                <w:rFonts w:ascii="Arial Narrow" w:hAnsi="Arial Narrow" w:cs="Calibri"/>
                <w:b/>
                <w:bCs/>
                <w:color w:val="000000"/>
                <w:sz w:val="20"/>
                <w:szCs w:val="20"/>
              </w:rPr>
            </w:pPr>
            <w:r w:rsidRPr="00D74F5D">
              <w:rPr>
                <w:rFonts w:ascii="Arial Narrow" w:hAnsi="Arial Narrow"/>
                <w:b/>
                <w:sz w:val="20"/>
                <w:szCs w:val="20"/>
              </w:rPr>
              <w:t>Alkalinity</w:t>
            </w:r>
          </w:p>
        </w:tc>
        <w:tc>
          <w:tcPr>
            <w:tcW w:w="504" w:type="dxa"/>
            <w:shd w:val="clear" w:color="auto" w:fill="D9D9D9" w:themeFill="background1" w:themeFillShade="D9"/>
            <w:textDirection w:val="btLr"/>
          </w:tcPr>
          <w:p w14:paraId="7ED76CD4" w14:textId="77777777" w:rsidR="00491AF4" w:rsidRPr="00D74F5D" w:rsidRDefault="00491AF4" w:rsidP="00066FB6">
            <w:pPr>
              <w:autoSpaceDE w:val="0"/>
              <w:autoSpaceDN w:val="0"/>
              <w:adjustRightInd w:val="0"/>
              <w:ind w:left="113" w:right="113"/>
              <w:jc w:val="center"/>
              <w:rPr>
                <w:rFonts w:ascii="Arial Narrow" w:hAnsi="Arial Narrow" w:cs="Calibri"/>
                <w:b/>
                <w:bCs/>
                <w:color w:val="000000"/>
                <w:sz w:val="20"/>
                <w:szCs w:val="20"/>
              </w:rPr>
            </w:pPr>
            <w:r w:rsidRPr="00D74F5D">
              <w:rPr>
                <w:rFonts w:ascii="Arial Narrow" w:hAnsi="Arial Narrow"/>
                <w:b/>
                <w:sz w:val="20"/>
                <w:szCs w:val="20"/>
              </w:rPr>
              <w:t>Spec. Cond.</w:t>
            </w:r>
          </w:p>
        </w:tc>
        <w:tc>
          <w:tcPr>
            <w:tcW w:w="504" w:type="dxa"/>
            <w:shd w:val="clear" w:color="auto" w:fill="D9D9D9" w:themeFill="background1" w:themeFillShade="D9"/>
            <w:textDirection w:val="btLr"/>
          </w:tcPr>
          <w:p w14:paraId="29770604" w14:textId="77777777" w:rsidR="00491AF4" w:rsidRPr="00D74F5D" w:rsidRDefault="00491AF4" w:rsidP="00066FB6">
            <w:pPr>
              <w:autoSpaceDE w:val="0"/>
              <w:autoSpaceDN w:val="0"/>
              <w:adjustRightInd w:val="0"/>
              <w:ind w:left="113" w:right="113"/>
              <w:jc w:val="center"/>
              <w:rPr>
                <w:rFonts w:ascii="Arial Narrow" w:hAnsi="Arial Narrow" w:cs="Calibri"/>
                <w:b/>
                <w:bCs/>
                <w:color w:val="000000"/>
                <w:sz w:val="20"/>
                <w:szCs w:val="20"/>
              </w:rPr>
            </w:pPr>
            <w:r w:rsidRPr="00D74F5D">
              <w:rPr>
                <w:rFonts w:ascii="Arial Narrow" w:hAnsi="Arial Narrow"/>
                <w:b/>
                <w:sz w:val="20"/>
                <w:szCs w:val="20"/>
              </w:rPr>
              <w:t>Chloride</w:t>
            </w:r>
          </w:p>
        </w:tc>
        <w:tc>
          <w:tcPr>
            <w:tcW w:w="504" w:type="dxa"/>
            <w:shd w:val="clear" w:color="auto" w:fill="D9D9D9" w:themeFill="background1" w:themeFillShade="D9"/>
            <w:textDirection w:val="btLr"/>
          </w:tcPr>
          <w:p w14:paraId="562E8AD0" w14:textId="77777777" w:rsidR="00491AF4" w:rsidRPr="00D74F5D" w:rsidRDefault="00491AF4" w:rsidP="00066FB6">
            <w:pPr>
              <w:autoSpaceDE w:val="0"/>
              <w:autoSpaceDN w:val="0"/>
              <w:adjustRightInd w:val="0"/>
              <w:ind w:left="113" w:right="113"/>
              <w:jc w:val="center"/>
              <w:rPr>
                <w:rFonts w:ascii="Arial Narrow" w:hAnsi="Arial Narrow" w:cs="Calibri"/>
                <w:b/>
                <w:bCs/>
                <w:color w:val="000000"/>
                <w:sz w:val="20"/>
                <w:szCs w:val="20"/>
              </w:rPr>
            </w:pPr>
            <w:r w:rsidRPr="00D74F5D">
              <w:rPr>
                <w:rFonts w:ascii="Arial Narrow" w:hAnsi="Arial Narrow"/>
                <w:b/>
                <w:sz w:val="20"/>
                <w:szCs w:val="20"/>
              </w:rPr>
              <w:t>Sulfate</w:t>
            </w:r>
          </w:p>
        </w:tc>
        <w:tc>
          <w:tcPr>
            <w:tcW w:w="504" w:type="dxa"/>
            <w:shd w:val="clear" w:color="auto" w:fill="D9D9D9" w:themeFill="background1" w:themeFillShade="D9"/>
            <w:textDirection w:val="btLr"/>
          </w:tcPr>
          <w:p w14:paraId="529032B7" w14:textId="77777777" w:rsidR="00491AF4" w:rsidRPr="00D74F5D" w:rsidRDefault="00491AF4" w:rsidP="00066FB6">
            <w:pPr>
              <w:autoSpaceDE w:val="0"/>
              <w:autoSpaceDN w:val="0"/>
              <w:adjustRightInd w:val="0"/>
              <w:ind w:left="113" w:right="113"/>
              <w:jc w:val="center"/>
              <w:rPr>
                <w:rFonts w:ascii="Arial Narrow" w:hAnsi="Arial Narrow" w:cs="Calibri"/>
                <w:b/>
                <w:bCs/>
                <w:color w:val="000000"/>
                <w:sz w:val="20"/>
                <w:szCs w:val="20"/>
              </w:rPr>
            </w:pPr>
            <w:r w:rsidRPr="00D74F5D">
              <w:rPr>
                <w:rFonts w:ascii="Arial Narrow" w:hAnsi="Arial Narrow"/>
                <w:b/>
                <w:sz w:val="20"/>
                <w:szCs w:val="20"/>
              </w:rPr>
              <w:t>TN/TP</w:t>
            </w:r>
          </w:p>
        </w:tc>
        <w:tc>
          <w:tcPr>
            <w:tcW w:w="504" w:type="dxa"/>
            <w:shd w:val="clear" w:color="auto" w:fill="D9D9D9" w:themeFill="background1" w:themeFillShade="D9"/>
            <w:textDirection w:val="btLr"/>
          </w:tcPr>
          <w:p w14:paraId="00F67891" w14:textId="77777777" w:rsidR="00491AF4" w:rsidRPr="00D74F5D" w:rsidRDefault="00491AF4" w:rsidP="00066FB6">
            <w:pPr>
              <w:autoSpaceDE w:val="0"/>
              <w:autoSpaceDN w:val="0"/>
              <w:adjustRightInd w:val="0"/>
              <w:ind w:left="113" w:right="113"/>
              <w:jc w:val="center"/>
              <w:rPr>
                <w:rFonts w:ascii="Arial Narrow" w:hAnsi="Arial Narrow" w:cs="Calibri"/>
                <w:b/>
                <w:bCs/>
                <w:color w:val="000000"/>
                <w:sz w:val="20"/>
                <w:szCs w:val="20"/>
              </w:rPr>
            </w:pPr>
            <w:r w:rsidRPr="00D74F5D">
              <w:rPr>
                <w:rFonts w:ascii="Arial Narrow" w:hAnsi="Arial Narrow"/>
                <w:b/>
                <w:sz w:val="20"/>
                <w:szCs w:val="20"/>
              </w:rPr>
              <w:t>Total Habitat</w:t>
            </w:r>
          </w:p>
        </w:tc>
        <w:tc>
          <w:tcPr>
            <w:tcW w:w="504" w:type="dxa"/>
            <w:shd w:val="clear" w:color="auto" w:fill="D9D9D9" w:themeFill="background1" w:themeFillShade="D9"/>
            <w:textDirection w:val="btLr"/>
          </w:tcPr>
          <w:p w14:paraId="0A7BFD3D" w14:textId="77777777" w:rsidR="00491AF4" w:rsidRPr="00D74F5D" w:rsidRDefault="00491AF4" w:rsidP="00066FB6">
            <w:pPr>
              <w:autoSpaceDE w:val="0"/>
              <w:autoSpaceDN w:val="0"/>
              <w:adjustRightInd w:val="0"/>
              <w:ind w:left="113" w:right="113"/>
              <w:jc w:val="center"/>
              <w:rPr>
                <w:rFonts w:ascii="Arial Narrow" w:hAnsi="Arial Narrow" w:cs="Calibri"/>
                <w:b/>
                <w:bCs/>
                <w:color w:val="000000"/>
                <w:sz w:val="20"/>
                <w:szCs w:val="20"/>
              </w:rPr>
            </w:pPr>
            <w:r w:rsidRPr="00D74F5D">
              <w:rPr>
                <w:rFonts w:ascii="Arial Narrow" w:hAnsi="Arial Narrow"/>
                <w:b/>
                <w:sz w:val="20"/>
                <w:szCs w:val="20"/>
              </w:rPr>
              <w:t>RBS</w:t>
            </w:r>
          </w:p>
        </w:tc>
        <w:tc>
          <w:tcPr>
            <w:tcW w:w="504" w:type="dxa"/>
            <w:shd w:val="clear" w:color="auto" w:fill="D9D9D9" w:themeFill="background1" w:themeFillShade="D9"/>
            <w:textDirection w:val="btLr"/>
          </w:tcPr>
          <w:p w14:paraId="51AEC73B" w14:textId="77777777" w:rsidR="00491AF4" w:rsidRPr="00D74F5D" w:rsidRDefault="00491AF4" w:rsidP="00066FB6">
            <w:pPr>
              <w:autoSpaceDE w:val="0"/>
              <w:autoSpaceDN w:val="0"/>
              <w:adjustRightInd w:val="0"/>
              <w:ind w:left="113" w:right="113"/>
              <w:jc w:val="center"/>
              <w:rPr>
                <w:rFonts w:ascii="Arial Narrow" w:hAnsi="Arial Narrow" w:cs="Calibri"/>
                <w:b/>
                <w:bCs/>
                <w:color w:val="000000"/>
                <w:sz w:val="20"/>
                <w:szCs w:val="20"/>
              </w:rPr>
            </w:pPr>
            <w:r w:rsidRPr="00D74F5D">
              <w:rPr>
                <w:rFonts w:ascii="Arial Narrow" w:hAnsi="Arial Narrow"/>
                <w:b/>
                <w:sz w:val="20"/>
                <w:szCs w:val="20"/>
              </w:rPr>
              <w:t>% Imp.</w:t>
            </w:r>
          </w:p>
        </w:tc>
      </w:tr>
      <w:tr w:rsidR="009D15F1" w:rsidRPr="00D74F5D" w14:paraId="3308A24C" w14:textId="77777777" w:rsidTr="00107B9E">
        <w:trPr>
          <w:trHeight w:val="290"/>
        </w:trPr>
        <w:tc>
          <w:tcPr>
            <w:tcW w:w="1383" w:type="dxa"/>
            <w:tcBorders>
              <w:bottom w:val="single" w:sz="4" w:space="0" w:color="auto"/>
            </w:tcBorders>
            <w:vAlign w:val="bottom"/>
          </w:tcPr>
          <w:p w14:paraId="6BE28B93" w14:textId="760BB60B" w:rsidR="009D15F1" w:rsidRPr="009D15F1" w:rsidRDefault="009D15F1" w:rsidP="009D15F1">
            <w:pPr>
              <w:autoSpaceDE w:val="0"/>
              <w:autoSpaceDN w:val="0"/>
              <w:adjustRightInd w:val="0"/>
              <w:jc w:val="center"/>
              <w:rPr>
                <w:rFonts w:ascii="Arial Narrow" w:hAnsi="Arial Narrow"/>
                <w:sz w:val="20"/>
                <w:szCs w:val="20"/>
              </w:rPr>
            </w:pPr>
            <w:r w:rsidRPr="009D15F1">
              <w:rPr>
                <w:rFonts w:ascii="Arial Narrow" w:hAnsi="Arial Narrow" w:cs="Calibri"/>
                <w:color w:val="000000"/>
                <w:sz w:val="20"/>
                <w:szCs w:val="20"/>
              </w:rPr>
              <w:t>Wolf Creek</w:t>
            </w:r>
          </w:p>
        </w:tc>
        <w:tc>
          <w:tcPr>
            <w:tcW w:w="1350" w:type="dxa"/>
            <w:tcBorders>
              <w:bottom w:val="single" w:sz="4" w:space="0" w:color="auto"/>
            </w:tcBorders>
            <w:vAlign w:val="bottom"/>
          </w:tcPr>
          <w:p w14:paraId="6D1174C5" w14:textId="3B5E217B" w:rsidR="009D15F1" w:rsidRPr="009D15F1" w:rsidRDefault="009D15F1" w:rsidP="009D15F1">
            <w:pPr>
              <w:autoSpaceDE w:val="0"/>
              <w:autoSpaceDN w:val="0"/>
              <w:adjustRightInd w:val="0"/>
              <w:jc w:val="center"/>
              <w:rPr>
                <w:rFonts w:ascii="Arial Narrow" w:hAnsi="Arial Narrow"/>
                <w:sz w:val="20"/>
                <w:szCs w:val="20"/>
              </w:rPr>
            </w:pPr>
            <w:r w:rsidRPr="009D15F1">
              <w:rPr>
                <w:rFonts w:ascii="Arial Narrow" w:hAnsi="Arial Narrow" w:cs="Calibri"/>
                <w:color w:val="000000"/>
                <w:sz w:val="20"/>
                <w:szCs w:val="20"/>
              </w:rPr>
              <w:t>4AWOR000.34</w:t>
            </w:r>
          </w:p>
        </w:tc>
        <w:tc>
          <w:tcPr>
            <w:tcW w:w="504" w:type="dxa"/>
            <w:tcBorders>
              <w:bottom w:val="single" w:sz="4" w:space="0" w:color="auto"/>
            </w:tcBorders>
            <w:shd w:val="clear" w:color="auto" w:fill="auto"/>
            <w:vAlign w:val="bottom"/>
          </w:tcPr>
          <w:p w14:paraId="5829198A" w14:textId="53ACA046" w:rsidR="009D15F1" w:rsidRPr="009D15F1" w:rsidRDefault="009D15F1" w:rsidP="009D15F1">
            <w:pPr>
              <w:autoSpaceDE w:val="0"/>
              <w:autoSpaceDN w:val="0"/>
              <w:adjustRightInd w:val="0"/>
              <w:jc w:val="center"/>
              <w:rPr>
                <w:rFonts w:ascii="Arial Narrow" w:hAnsi="Arial Narrow"/>
                <w:sz w:val="20"/>
                <w:szCs w:val="20"/>
              </w:rPr>
            </w:pPr>
            <w:r w:rsidRPr="009D15F1">
              <w:rPr>
                <w:rFonts w:ascii="Arial Narrow" w:hAnsi="Arial Narrow" w:cs="Calibri"/>
                <w:color w:val="000000"/>
                <w:sz w:val="20"/>
                <w:szCs w:val="20"/>
              </w:rPr>
              <w:t>10</w:t>
            </w:r>
          </w:p>
        </w:tc>
        <w:tc>
          <w:tcPr>
            <w:tcW w:w="504" w:type="dxa"/>
            <w:tcBorders>
              <w:bottom w:val="single" w:sz="4" w:space="0" w:color="auto"/>
            </w:tcBorders>
            <w:shd w:val="clear" w:color="auto" w:fill="auto"/>
            <w:vAlign w:val="bottom"/>
          </w:tcPr>
          <w:p w14:paraId="3BC5AE22" w14:textId="7072A939" w:rsidR="009D15F1" w:rsidRPr="009D15F1" w:rsidRDefault="009D15F1" w:rsidP="009D15F1">
            <w:pPr>
              <w:autoSpaceDE w:val="0"/>
              <w:autoSpaceDN w:val="0"/>
              <w:adjustRightInd w:val="0"/>
              <w:jc w:val="center"/>
              <w:rPr>
                <w:rFonts w:ascii="Arial Narrow" w:hAnsi="Arial Narrow"/>
                <w:sz w:val="20"/>
                <w:szCs w:val="20"/>
              </w:rPr>
            </w:pPr>
            <w:r w:rsidRPr="009D15F1">
              <w:rPr>
                <w:rFonts w:ascii="Arial Narrow" w:hAnsi="Arial Narrow" w:cs="Calibri"/>
                <w:color w:val="000000"/>
                <w:sz w:val="20"/>
                <w:szCs w:val="20"/>
              </w:rPr>
              <w:t>9</w:t>
            </w:r>
          </w:p>
        </w:tc>
        <w:tc>
          <w:tcPr>
            <w:tcW w:w="504" w:type="dxa"/>
            <w:tcBorders>
              <w:bottom w:val="single" w:sz="4" w:space="0" w:color="auto"/>
            </w:tcBorders>
            <w:shd w:val="clear" w:color="auto" w:fill="auto"/>
            <w:vAlign w:val="bottom"/>
          </w:tcPr>
          <w:p w14:paraId="29B61084" w14:textId="2C19B1AB" w:rsidR="009D15F1" w:rsidRPr="009D15F1" w:rsidRDefault="009D15F1" w:rsidP="009D15F1">
            <w:pPr>
              <w:autoSpaceDE w:val="0"/>
              <w:autoSpaceDN w:val="0"/>
              <w:adjustRightInd w:val="0"/>
              <w:jc w:val="center"/>
              <w:rPr>
                <w:rFonts w:ascii="Arial Narrow" w:hAnsi="Arial Narrow"/>
                <w:sz w:val="20"/>
                <w:szCs w:val="20"/>
              </w:rPr>
            </w:pPr>
            <w:r w:rsidRPr="009D15F1">
              <w:rPr>
                <w:rFonts w:ascii="Arial Narrow" w:hAnsi="Arial Narrow" w:cs="Calibri"/>
                <w:color w:val="000000"/>
                <w:sz w:val="20"/>
                <w:szCs w:val="20"/>
              </w:rPr>
              <w:t>7</w:t>
            </w:r>
          </w:p>
        </w:tc>
        <w:tc>
          <w:tcPr>
            <w:tcW w:w="504" w:type="dxa"/>
            <w:tcBorders>
              <w:bottom w:val="single" w:sz="4" w:space="0" w:color="auto"/>
            </w:tcBorders>
            <w:shd w:val="clear" w:color="auto" w:fill="auto"/>
            <w:vAlign w:val="bottom"/>
          </w:tcPr>
          <w:p w14:paraId="48A45A57" w14:textId="5043535B" w:rsidR="009D15F1" w:rsidRPr="009D15F1" w:rsidRDefault="009D15F1" w:rsidP="009D15F1">
            <w:pPr>
              <w:autoSpaceDE w:val="0"/>
              <w:autoSpaceDN w:val="0"/>
              <w:adjustRightInd w:val="0"/>
              <w:jc w:val="center"/>
              <w:rPr>
                <w:rFonts w:ascii="Arial Narrow" w:hAnsi="Arial Narrow"/>
                <w:sz w:val="20"/>
                <w:szCs w:val="20"/>
              </w:rPr>
            </w:pPr>
            <w:r w:rsidRPr="009D15F1">
              <w:rPr>
                <w:rFonts w:ascii="Arial Narrow" w:hAnsi="Arial Narrow" w:cs="Calibri"/>
                <w:color w:val="000000"/>
                <w:sz w:val="20"/>
                <w:szCs w:val="20"/>
              </w:rPr>
              <w:t>3</w:t>
            </w:r>
          </w:p>
        </w:tc>
        <w:tc>
          <w:tcPr>
            <w:tcW w:w="504" w:type="dxa"/>
            <w:tcBorders>
              <w:bottom w:val="single" w:sz="4" w:space="0" w:color="auto"/>
            </w:tcBorders>
            <w:shd w:val="clear" w:color="auto" w:fill="auto"/>
            <w:vAlign w:val="bottom"/>
          </w:tcPr>
          <w:p w14:paraId="642A92E5" w14:textId="08FA78FD" w:rsidR="009D15F1" w:rsidRPr="009D15F1" w:rsidRDefault="009D15F1" w:rsidP="009D15F1">
            <w:pPr>
              <w:autoSpaceDE w:val="0"/>
              <w:autoSpaceDN w:val="0"/>
              <w:adjustRightInd w:val="0"/>
              <w:jc w:val="center"/>
              <w:rPr>
                <w:rFonts w:ascii="Arial Narrow" w:hAnsi="Arial Narrow"/>
                <w:sz w:val="20"/>
                <w:szCs w:val="20"/>
              </w:rPr>
            </w:pPr>
            <w:r w:rsidRPr="009D15F1">
              <w:rPr>
                <w:rFonts w:ascii="Arial Narrow" w:hAnsi="Arial Narrow" w:cs="Calibri"/>
                <w:color w:val="000000"/>
                <w:sz w:val="20"/>
                <w:szCs w:val="20"/>
              </w:rPr>
              <w:t>8</w:t>
            </w:r>
          </w:p>
        </w:tc>
        <w:tc>
          <w:tcPr>
            <w:tcW w:w="504" w:type="dxa"/>
            <w:tcBorders>
              <w:bottom w:val="single" w:sz="4" w:space="0" w:color="auto"/>
            </w:tcBorders>
            <w:shd w:val="clear" w:color="auto" w:fill="FFCCCC"/>
            <w:vAlign w:val="bottom"/>
          </w:tcPr>
          <w:p w14:paraId="50524C7B" w14:textId="7EE4AA72" w:rsidR="009D15F1" w:rsidRPr="009D15F1" w:rsidRDefault="009D15F1" w:rsidP="009D15F1">
            <w:pPr>
              <w:autoSpaceDE w:val="0"/>
              <w:autoSpaceDN w:val="0"/>
              <w:adjustRightInd w:val="0"/>
              <w:jc w:val="center"/>
              <w:rPr>
                <w:rFonts w:ascii="Arial Narrow" w:hAnsi="Arial Narrow"/>
                <w:sz w:val="20"/>
                <w:szCs w:val="20"/>
              </w:rPr>
            </w:pPr>
            <w:r w:rsidRPr="009D15F1">
              <w:rPr>
                <w:rFonts w:ascii="Arial Narrow" w:hAnsi="Arial Narrow" w:cs="Calibri"/>
                <w:color w:val="000000"/>
                <w:sz w:val="20"/>
                <w:szCs w:val="20"/>
              </w:rPr>
              <w:t>1</w:t>
            </w:r>
          </w:p>
        </w:tc>
        <w:tc>
          <w:tcPr>
            <w:tcW w:w="504" w:type="dxa"/>
            <w:tcBorders>
              <w:bottom w:val="single" w:sz="4" w:space="0" w:color="auto"/>
            </w:tcBorders>
            <w:shd w:val="clear" w:color="auto" w:fill="auto"/>
            <w:vAlign w:val="bottom"/>
          </w:tcPr>
          <w:p w14:paraId="004CFD1A" w14:textId="32503BC5" w:rsidR="009D15F1" w:rsidRPr="009D15F1" w:rsidRDefault="009D15F1" w:rsidP="009D15F1">
            <w:pPr>
              <w:autoSpaceDE w:val="0"/>
              <w:autoSpaceDN w:val="0"/>
              <w:adjustRightInd w:val="0"/>
              <w:jc w:val="center"/>
              <w:rPr>
                <w:rFonts w:ascii="Arial Narrow" w:hAnsi="Arial Narrow"/>
                <w:sz w:val="20"/>
                <w:szCs w:val="20"/>
              </w:rPr>
            </w:pPr>
            <w:r w:rsidRPr="009D15F1">
              <w:rPr>
                <w:rFonts w:ascii="Arial Narrow" w:hAnsi="Arial Narrow" w:cs="Calibri"/>
                <w:color w:val="000000"/>
                <w:sz w:val="20"/>
                <w:szCs w:val="20"/>
              </w:rPr>
              <w:t>2</w:t>
            </w:r>
          </w:p>
        </w:tc>
        <w:tc>
          <w:tcPr>
            <w:tcW w:w="504" w:type="dxa"/>
            <w:tcBorders>
              <w:bottom w:val="single" w:sz="4" w:space="0" w:color="auto"/>
            </w:tcBorders>
            <w:shd w:val="clear" w:color="auto" w:fill="auto"/>
            <w:vAlign w:val="bottom"/>
          </w:tcPr>
          <w:p w14:paraId="24968FEF" w14:textId="05BAD6DD" w:rsidR="009D15F1" w:rsidRPr="009D15F1" w:rsidRDefault="009D15F1" w:rsidP="009D15F1">
            <w:pPr>
              <w:autoSpaceDE w:val="0"/>
              <w:autoSpaceDN w:val="0"/>
              <w:adjustRightInd w:val="0"/>
              <w:jc w:val="center"/>
              <w:rPr>
                <w:rFonts w:ascii="Arial Narrow" w:hAnsi="Arial Narrow"/>
                <w:sz w:val="20"/>
                <w:szCs w:val="20"/>
              </w:rPr>
            </w:pPr>
            <w:r w:rsidRPr="009D15F1">
              <w:rPr>
                <w:rFonts w:ascii="Arial Narrow" w:hAnsi="Arial Narrow" w:cs="Calibri"/>
                <w:color w:val="000000"/>
                <w:sz w:val="20"/>
                <w:szCs w:val="20"/>
              </w:rPr>
              <w:t>6</w:t>
            </w:r>
          </w:p>
        </w:tc>
        <w:tc>
          <w:tcPr>
            <w:tcW w:w="504" w:type="dxa"/>
            <w:tcBorders>
              <w:bottom w:val="single" w:sz="4" w:space="0" w:color="auto"/>
            </w:tcBorders>
            <w:shd w:val="clear" w:color="auto" w:fill="auto"/>
            <w:vAlign w:val="bottom"/>
          </w:tcPr>
          <w:p w14:paraId="3F1C9439" w14:textId="5EB37DF9" w:rsidR="009D15F1" w:rsidRPr="009D15F1" w:rsidRDefault="009D15F1" w:rsidP="009D15F1">
            <w:pPr>
              <w:autoSpaceDE w:val="0"/>
              <w:autoSpaceDN w:val="0"/>
              <w:adjustRightInd w:val="0"/>
              <w:jc w:val="center"/>
              <w:rPr>
                <w:rFonts w:ascii="Arial Narrow" w:hAnsi="Arial Narrow"/>
                <w:sz w:val="20"/>
                <w:szCs w:val="20"/>
              </w:rPr>
            </w:pPr>
            <w:r w:rsidRPr="009D15F1">
              <w:rPr>
                <w:rFonts w:ascii="Arial Narrow" w:hAnsi="Arial Narrow" w:cs="Calibri"/>
                <w:color w:val="000000"/>
                <w:sz w:val="20"/>
                <w:szCs w:val="20"/>
              </w:rPr>
              <w:t>4</w:t>
            </w:r>
          </w:p>
        </w:tc>
        <w:tc>
          <w:tcPr>
            <w:tcW w:w="504" w:type="dxa"/>
            <w:tcBorders>
              <w:bottom w:val="single" w:sz="4" w:space="0" w:color="auto"/>
            </w:tcBorders>
            <w:shd w:val="clear" w:color="auto" w:fill="auto"/>
            <w:vAlign w:val="bottom"/>
          </w:tcPr>
          <w:p w14:paraId="466F331C" w14:textId="0F7E9F63" w:rsidR="009D15F1" w:rsidRPr="009D15F1" w:rsidRDefault="009D15F1" w:rsidP="009D15F1">
            <w:pPr>
              <w:autoSpaceDE w:val="0"/>
              <w:autoSpaceDN w:val="0"/>
              <w:adjustRightInd w:val="0"/>
              <w:jc w:val="center"/>
              <w:rPr>
                <w:rFonts w:ascii="Arial Narrow" w:hAnsi="Arial Narrow"/>
                <w:sz w:val="20"/>
                <w:szCs w:val="20"/>
              </w:rPr>
            </w:pPr>
            <w:r w:rsidRPr="009D15F1">
              <w:rPr>
                <w:rFonts w:ascii="Arial Narrow" w:hAnsi="Arial Narrow" w:cs="Calibri"/>
                <w:color w:val="000000"/>
                <w:sz w:val="20"/>
                <w:szCs w:val="20"/>
              </w:rPr>
              <w:t>5</w:t>
            </w:r>
          </w:p>
        </w:tc>
      </w:tr>
      <w:tr w:rsidR="009D15F1" w:rsidRPr="00D74F5D" w14:paraId="161E3403" w14:textId="77777777" w:rsidTr="00107B9E">
        <w:trPr>
          <w:trHeight w:val="290"/>
        </w:trPr>
        <w:tc>
          <w:tcPr>
            <w:tcW w:w="1383" w:type="dxa"/>
            <w:tcBorders>
              <w:bottom w:val="single" w:sz="4" w:space="0" w:color="auto"/>
            </w:tcBorders>
            <w:vAlign w:val="bottom"/>
          </w:tcPr>
          <w:p w14:paraId="678D3DEB" w14:textId="5483F738" w:rsidR="009D15F1" w:rsidRPr="009D15F1" w:rsidRDefault="009D15F1" w:rsidP="009D15F1">
            <w:pPr>
              <w:autoSpaceDE w:val="0"/>
              <w:autoSpaceDN w:val="0"/>
              <w:adjustRightInd w:val="0"/>
              <w:jc w:val="center"/>
              <w:rPr>
                <w:rFonts w:ascii="Arial Narrow" w:hAnsi="Arial Narrow"/>
                <w:sz w:val="20"/>
                <w:szCs w:val="20"/>
              </w:rPr>
            </w:pPr>
            <w:r w:rsidRPr="009D15F1">
              <w:rPr>
                <w:rFonts w:ascii="Arial Narrow" w:hAnsi="Arial Narrow" w:cs="Calibri"/>
                <w:color w:val="000000"/>
                <w:sz w:val="20"/>
                <w:szCs w:val="20"/>
              </w:rPr>
              <w:t>Tinker Creek</w:t>
            </w:r>
          </w:p>
        </w:tc>
        <w:tc>
          <w:tcPr>
            <w:tcW w:w="1350" w:type="dxa"/>
            <w:vAlign w:val="bottom"/>
          </w:tcPr>
          <w:p w14:paraId="308D5483" w14:textId="2A05DC9C" w:rsidR="009D15F1" w:rsidRPr="009D15F1" w:rsidRDefault="009D15F1" w:rsidP="009D15F1">
            <w:pPr>
              <w:autoSpaceDE w:val="0"/>
              <w:autoSpaceDN w:val="0"/>
              <w:adjustRightInd w:val="0"/>
              <w:jc w:val="center"/>
              <w:rPr>
                <w:rFonts w:ascii="Arial Narrow" w:hAnsi="Arial Narrow"/>
                <w:sz w:val="20"/>
                <w:szCs w:val="20"/>
              </w:rPr>
            </w:pPr>
            <w:r w:rsidRPr="009D15F1">
              <w:rPr>
                <w:rFonts w:ascii="Arial Narrow" w:hAnsi="Arial Narrow" w:cs="Calibri"/>
                <w:color w:val="000000"/>
                <w:sz w:val="20"/>
                <w:szCs w:val="20"/>
              </w:rPr>
              <w:t>4ATKR000.69</w:t>
            </w:r>
          </w:p>
        </w:tc>
        <w:tc>
          <w:tcPr>
            <w:tcW w:w="504" w:type="dxa"/>
            <w:shd w:val="clear" w:color="auto" w:fill="auto"/>
            <w:vAlign w:val="bottom"/>
          </w:tcPr>
          <w:p w14:paraId="67864EE5" w14:textId="4DFC807C" w:rsidR="009D15F1" w:rsidRPr="009D15F1" w:rsidRDefault="009D15F1" w:rsidP="009D15F1">
            <w:pPr>
              <w:autoSpaceDE w:val="0"/>
              <w:autoSpaceDN w:val="0"/>
              <w:adjustRightInd w:val="0"/>
              <w:jc w:val="center"/>
              <w:rPr>
                <w:rFonts w:ascii="Arial Narrow" w:hAnsi="Arial Narrow"/>
                <w:sz w:val="20"/>
                <w:szCs w:val="20"/>
              </w:rPr>
            </w:pPr>
            <w:r w:rsidRPr="009D15F1">
              <w:rPr>
                <w:rFonts w:ascii="Arial Narrow" w:hAnsi="Arial Narrow" w:cs="Calibri"/>
                <w:color w:val="000000"/>
                <w:sz w:val="20"/>
                <w:szCs w:val="20"/>
              </w:rPr>
              <w:t>9</w:t>
            </w:r>
          </w:p>
        </w:tc>
        <w:tc>
          <w:tcPr>
            <w:tcW w:w="504" w:type="dxa"/>
            <w:shd w:val="clear" w:color="auto" w:fill="auto"/>
            <w:vAlign w:val="bottom"/>
          </w:tcPr>
          <w:p w14:paraId="268D85D4" w14:textId="47A83560" w:rsidR="009D15F1" w:rsidRPr="009D15F1" w:rsidRDefault="009D15F1" w:rsidP="009D15F1">
            <w:pPr>
              <w:autoSpaceDE w:val="0"/>
              <w:autoSpaceDN w:val="0"/>
              <w:adjustRightInd w:val="0"/>
              <w:jc w:val="center"/>
              <w:rPr>
                <w:rFonts w:ascii="Arial Narrow" w:hAnsi="Arial Narrow"/>
                <w:sz w:val="20"/>
                <w:szCs w:val="20"/>
              </w:rPr>
            </w:pPr>
            <w:r w:rsidRPr="009D15F1">
              <w:rPr>
                <w:rFonts w:ascii="Arial Narrow" w:hAnsi="Arial Narrow" w:cs="Calibri"/>
                <w:color w:val="000000"/>
                <w:sz w:val="20"/>
                <w:szCs w:val="20"/>
              </w:rPr>
              <w:t>10</w:t>
            </w:r>
          </w:p>
        </w:tc>
        <w:tc>
          <w:tcPr>
            <w:tcW w:w="504" w:type="dxa"/>
            <w:shd w:val="clear" w:color="auto" w:fill="auto"/>
            <w:vAlign w:val="bottom"/>
          </w:tcPr>
          <w:p w14:paraId="1E53D94E" w14:textId="7CA62175" w:rsidR="009D15F1" w:rsidRPr="009D15F1" w:rsidRDefault="009D15F1" w:rsidP="009D15F1">
            <w:pPr>
              <w:autoSpaceDE w:val="0"/>
              <w:autoSpaceDN w:val="0"/>
              <w:adjustRightInd w:val="0"/>
              <w:jc w:val="center"/>
              <w:rPr>
                <w:rFonts w:ascii="Arial Narrow" w:hAnsi="Arial Narrow"/>
                <w:sz w:val="20"/>
                <w:szCs w:val="20"/>
              </w:rPr>
            </w:pPr>
            <w:r w:rsidRPr="009D15F1">
              <w:rPr>
                <w:rFonts w:ascii="Arial Narrow" w:hAnsi="Arial Narrow" w:cs="Calibri"/>
                <w:color w:val="000000"/>
                <w:sz w:val="20"/>
                <w:szCs w:val="20"/>
              </w:rPr>
              <w:t>7</w:t>
            </w:r>
          </w:p>
        </w:tc>
        <w:tc>
          <w:tcPr>
            <w:tcW w:w="504" w:type="dxa"/>
            <w:shd w:val="clear" w:color="auto" w:fill="auto"/>
            <w:vAlign w:val="bottom"/>
          </w:tcPr>
          <w:p w14:paraId="11C43D29" w14:textId="22BD712C" w:rsidR="009D15F1" w:rsidRPr="009D15F1" w:rsidRDefault="009D15F1" w:rsidP="009D15F1">
            <w:pPr>
              <w:autoSpaceDE w:val="0"/>
              <w:autoSpaceDN w:val="0"/>
              <w:adjustRightInd w:val="0"/>
              <w:jc w:val="center"/>
              <w:rPr>
                <w:rFonts w:ascii="Arial Narrow" w:hAnsi="Arial Narrow"/>
                <w:sz w:val="20"/>
                <w:szCs w:val="20"/>
              </w:rPr>
            </w:pPr>
            <w:r w:rsidRPr="009D15F1">
              <w:rPr>
                <w:rFonts w:ascii="Arial Narrow" w:hAnsi="Arial Narrow" w:cs="Calibri"/>
                <w:color w:val="000000"/>
                <w:sz w:val="20"/>
                <w:szCs w:val="20"/>
              </w:rPr>
              <w:t>2</w:t>
            </w:r>
          </w:p>
        </w:tc>
        <w:tc>
          <w:tcPr>
            <w:tcW w:w="504" w:type="dxa"/>
            <w:shd w:val="clear" w:color="auto" w:fill="auto"/>
            <w:vAlign w:val="bottom"/>
          </w:tcPr>
          <w:p w14:paraId="306B0DBC" w14:textId="44E2A532" w:rsidR="009D15F1" w:rsidRPr="009D15F1" w:rsidRDefault="009D15F1" w:rsidP="009D15F1">
            <w:pPr>
              <w:autoSpaceDE w:val="0"/>
              <w:autoSpaceDN w:val="0"/>
              <w:adjustRightInd w:val="0"/>
              <w:jc w:val="center"/>
              <w:rPr>
                <w:rFonts w:ascii="Arial Narrow" w:hAnsi="Arial Narrow"/>
                <w:sz w:val="20"/>
                <w:szCs w:val="20"/>
              </w:rPr>
            </w:pPr>
            <w:r w:rsidRPr="009D15F1">
              <w:rPr>
                <w:rFonts w:ascii="Arial Narrow" w:hAnsi="Arial Narrow" w:cs="Calibri"/>
                <w:color w:val="000000"/>
                <w:sz w:val="20"/>
                <w:szCs w:val="20"/>
              </w:rPr>
              <w:t>8</w:t>
            </w:r>
          </w:p>
        </w:tc>
        <w:tc>
          <w:tcPr>
            <w:tcW w:w="504" w:type="dxa"/>
            <w:shd w:val="clear" w:color="auto" w:fill="auto"/>
            <w:vAlign w:val="bottom"/>
          </w:tcPr>
          <w:p w14:paraId="15FAB5D9" w14:textId="7D3C8666" w:rsidR="009D15F1" w:rsidRPr="009D15F1" w:rsidRDefault="009D15F1" w:rsidP="009D15F1">
            <w:pPr>
              <w:autoSpaceDE w:val="0"/>
              <w:autoSpaceDN w:val="0"/>
              <w:adjustRightInd w:val="0"/>
              <w:jc w:val="center"/>
              <w:rPr>
                <w:rFonts w:ascii="Arial Narrow" w:hAnsi="Arial Narrow"/>
                <w:sz w:val="20"/>
                <w:szCs w:val="20"/>
              </w:rPr>
            </w:pPr>
            <w:r w:rsidRPr="009D15F1">
              <w:rPr>
                <w:rFonts w:ascii="Arial Narrow" w:hAnsi="Arial Narrow" w:cs="Calibri"/>
                <w:color w:val="000000"/>
                <w:sz w:val="20"/>
                <w:szCs w:val="20"/>
              </w:rPr>
              <w:t>3</w:t>
            </w:r>
          </w:p>
        </w:tc>
        <w:tc>
          <w:tcPr>
            <w:tcW w:w="504" w:type="dxa"/>
            <w:shd w:val="clear" w:color="auto" w:fill="FFCCCC"/>
            <w:vAlign w:val="bottom"/>
          </w:tcPr>
          <w:p w14:paraId="4E1F036C" w14:textId="25BD441B" w:rsidR="009D15F1" w:rsidRPr="009D15F1" w:rsidRDefault="009D15F1" w:rsidP="009D15F1">
            <w:pPr>
              <w:autoSpaceDE w:val="0"/>
              <w:autoSpaceDN w:val="0"/>
              <w:adjustRightInd w:val="0"/>
              <w:jc w:val="center"/>
              <w:rPr>
                <w:rFonts w:ascii="Arial Narrow" w:hAnsi="Arial Narrow"/>
                <w:sz w:val="20"/>
                <w:szCs w:val="20"/>
              </w:rPr>
            </w:pPr>
            <w:r w:rsidRPr="009D15F1">
              <w:rPr>
                <w:rFonts w:ascii="Arial Narrow" w:hAnsi="Arial Narrow" w:cs="Calibri"/>
                <w:color w:val="000000"/>
                <w:sz w:val="20"/>
                <w:szCs w:val="20"/>
              </w:rPr>
              <w:t>1</w:t>
            </w:r>
          </w:p>
        </w:tc>
        <w:tc>
          <w:tcPr>
            <w:tcW w:w="504" w:type="dxa"/>
            <w:shd w:val="clear" w:color="auto" w:fill="auto"/>
            <w:vAlign w:val="bottom"/>
          </w:tcPr>
          <w:p w14:paraId="16D32BEA" w14:textId="089A0390" w:rsidR="009D15F1" w:rsidRPr="009D15F1" w:rsidRDefault="009D15F1" w:rsidP="009D15F1">
            <w:pPr>
              <w:autoSpaceDE w:val="0"/>
              <w:autoSpaceDN w:val="0"/>
              <w:adjustRightInd w:val="0"/>
              <w:jc w:val="center"/>
              <w:rPr>
                <w:rFonts w:ascii="Arial Narrow" w:hAnsi="Arial Narrow"/>
                <w:sz w:val="20"/>
                <w:szCs w:val="20"/>
              </w:rPr>
            </w:pPr>
            <w:r w:rsidRPr="009D15F1">
              <w:rPr>
                <w:rFonts w:ascii="Arial Narrow" w:hAnsi="Arial Narrow" w:cs="Calibri"/>
                <w:color w:val="000000"/>
                <w:sz w:val="20"/>
                <w:szCs w:val="20"/>
              </w:rPr>
              <w:t>6</w:t>
            </w:r>
          </w:p>
        </w:tc>
        <w:tc>
          <w:tcPr>
            <w:tcW w:w="504" w:type="dxa"/>
            <w:shd w:val="clear" w:color="auto" w:fill="auto"/>
            <w:vAlign w:val="bottom"/>
          </w:tcPr>
          <w:p w14:paraId="3E487624" w14:textId="3DBCAF08" w:rsidR="009D15F1" w:rsidRPr="009D15F1" w:rsidRDefault="009D15F1" w:rsidP="009D15F1">
            <w:pPr>
              <w:autoSpaceDE w:val="0"/>
              <w:autoSpaceDN w:val="0"/>
              <w:adjustRightInd w:val="0"/>
              <w:jc w:val="center"/>
              <w:rPr>
                <w:rFonts w:ascii="Arial Narrow" w:hAnsi="Arial Narrow"/>
                <w:sz w:val="20"/>
                <w:szCs w:val="20"/>
              </w:rPr>
            </w:pPr>
            <w:r w:rsidRPr="009D15F1">
              <w:rPr>
                <w:rFonts w:ascii="Arial Narrow" w:hAnsi="Arial Narrow" w:cs="Calibri"/>
                <w:color w:val="000000"/>
                <w:sz w:val="20"/>
                <w:szCs w:val="20"/>
              </w:rPr>
              <w:t>5</w:t>
            </w:r>
          </w:p>
        </w:tc>
        <w:tc>
          <w:tcPr>
            <w:tcW w:w="504" w:type="dxa"/>
            <w:shd w:val="clear" w:color="auto" w:fill="auto"/>
            <w:vAlign w:val="bottom"/>
          </w:tcPr>
          <w:p w14:paraId="7CE91D83" w14:textId="5BEE595C" w:rsidR="009D15F1" w:rsidRPr="009D15F1" w:rsidRDefault="009D15F1" w:rsidP="009D15F1">
            <w:pPr>
              <w:autoSpaceDE w:val="0"/>
              <w:autoSpaceDN w:val="0"/>
              <w:adjustRightInd w:val="0"/>
              <w:jc w:val="center"/>
              <w:rPr>
                <w:rFonts w:ascii="Arial Narrow" w:hAnsi="Arial Narrow"/>
                <w:sz w:val="20"/>
                <w:szCs w:val="20"/>
              </w:rPr>
            </w:pPr>
            <w:r w:rsidRPr="009D15F1">
              <w:rPr>
                <w:rFonts w:ascii="Arial Narrow" w:hAnsi="Arial Narrow" w:cs="Calibri"/>
                <w:color w:val="000000"/>
                <w:sz w:val="20"/>
                <w:szCs w:val="20"/>
              </w:rPr>
              <w:t>4</w:t>
            </w:r>
          </w:p>
        </w:tc>
      </w:tr>
      <w:tr w:rsidR="009D15F1" w:rsidRPr="00D74F5D" w14:paraId="5FBFA0E1" w14:textId="77777777" w:rsidTr="00107B9E">
        <w:trPr>
          <w:trHeight w:val="290"/>
        </w:trPr>
        <w:tc>
          <w:tcPr>
            <w:tcW w:w="1383" w:type="dxa"/>
            <w:tcBorders>
              <w:bottom w:val="nil"/>
            </w:tcBorders>
            <w:vAlign w:val="bottom"/>
          </w:tcPr>
          <w:p w14:paraId="331FDDCA" w14:textId="61E70752"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Roanoke River</w:t>
            </w:r>
          </w:p>
        </w:tc>
        <w:tc>
          <w:tcPr>
            <w:tcW w:w="1350" w:type="dxa"/>
            <w:vAlign w:val="bottom"/>
          </w:tcPr>
          <w:p w14:paraId="688C5710" w14:textId="7710BA04"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4AROA202.20</w:t>
            </w:r>
          </w:p>
        </w:tc>
        <w:tc>
          <w:tcPr>
            <w:tcW w:w="504" w:type="dxa"/>
            <w:shd w:val="clear" w:color="auto" w:fill="auto"/>
            <w:vAlign w:val="bottom"/>
          </w:tcPr>
          <w:p w14:paraId="6AF4E1FE" w14:textId="57BD1480"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9</w:t>
            </w:r>
          </w:p>
        </w:tc>
        <w:tc>
          <w:tcPr>
            <w:tcW w:w="504" w:type="dxa"/>
            <w:shd w:val="clear" w:color="auto" w:fill="auto"/>
            <w:vAlign w:val="bottom"/>
          </w:tcPr>
          <w:p w14:paraId="4F8EBDAA" w14:textId="0BC865D1"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10</w:t>
            </w:r>
          </w:p>
        </w:tc>
        <w:tc>
          <w:tcPr>
            <w:tcW w:w="504" w:type="dxa"/>
            <w:shd w:val="clear" w:color="auto" w:fill="auto"/>
            <w:vAlign w:val="bottom"/>
          </w:tcPr>
          <w:p w14:paraId="320F0E48" w14:textId="21F6CB4F"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4</w:t>
            </w:r>
          </w:p>
        </w:tc>
        <w:tc>
          <w:tcPr>
            <w:tcW w:w="504" w:type="dxa"/>
            <w:shd w:val="clear" w:color="auto" w:fill="auto"/>
            <w:vAlign w:val="bottom"/>
          </w:tcPr>
          <w:p w14:paraId="06A3ACBD" w14:textId="13E25B03"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6</w:t>
            </w:r>
          </w:p>
        </w:tc>
        <w:tc>
          <w:tcPr>
            <w:tcW w:w="504" w:type="dxa"/>
            <w:shd w:val="clear" w:color="auto" w:fill="auto"/>
            <w:vAlign w:val="bottom"/>
          </w:tcPr>
          <w:p w14:paraId="50267433" w14:textId="6DCA363D"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8</w:t>
            </w:r>
          </w:p>
        </w:tc>
        <w:tc>
          <w:tcPr>
            <w:tcW w:w="504" w:type="dxa"/>
            <w:shd w:val="clear" w:color="auto" w:fill="auto"/>
            <w:vAlign w:val="bottom"/>
          </w:tcPr>
          <w:p w14:paraId="6E44A270" w14:textId="018FAC30"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5</w:t>
            </w:r>
          </w:p>
        </w:tc>
        <w:tc>
          <w:tcPr>
            <w:tcW w:w="504" w:type="dxa"/>
            <w:shd w:val="clear" w:color="auto" w:fill="FFCCCC"/>
            <w:vAlign w:val="bottom"/>
          </w:tcPr>
          <w:p w14:paraId="5A18A1B1" w14:textId="7FCD61CF"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1</w:t>
            </w:r>
          </w:p>
        </w:tc>
        <w:tc>
          <w:tcPr>
            <w:tcW w:w="504" w:type="dxa"/>
            <w:shd w:val="clear" w:color="auto" w:fill="auto"/>
            <w:vAlign w:val="bottom"/>
          </w:tcPr>
          <w:p w14:paraId="7DFFD8A4" w14:textId="052E4122"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7</w:t>
            </w:r>
          </w:p>
        </w:tc>
        <w:tc>
          <w:tcPr>
            <w:tcW w:w="504" w:type="dxa"/>
            <w:shd w:val="clear" w:color="auto" w:fill="auto"/>
            <w:vAlign w:val="bottom"/>
          </w:tcPr>
          <w:p w14:paraId="5B270782" w14:textId="5A8568D3"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2</w:t>
            </w:r>
          </w:p>
        </w:tc>
        <w:tc>
          <w:tcPr>
            <w:tcW w:w="504" w:type="dxa"/>
            <w:shd w:val="clear" w:color="auto" w:fill="auto"/>
            <w:vAlign w:val="bottom"/>
          </w:tcPr>
          <w:p w14:paraId="0357F0DB" w14:textId="4B135EB0"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3</w:t>
            </w:r>
          </w:p>
        </w:tc>
      </w:tr>
      <w:tr w:rsidR="009D15F1" w:rsidRPr="00D74F5D" w14:paraId="3DC4E81B" w14:textId="77777777" w:rsidTr="00107B9E">
        <w:trPr>
          <w:trHeight w:val="290"/>
        </w:trPr>
        <w:tc>
          <w:tcPr>
            <w:tcW w:w="1383" w:type="dxa"/>
            <w:tcBorders>
              <w:top w:val="nil"/>
              <w:bottom w:val="single" w:sz="4" w:space="0" w:color="auto"/>
            </w:tcBorders>
            <w:vAlign w:val="bottom"/>
          </w:tcPr>
          <w:p w14:paraId="699E7369" w14:textId="77777777" w:rsidR="009D15F1" w:rsidRPr="009D15F1" w:rsidRDefault="009D15F1" w:rsidP="009D15F1">
            <w:pPr>
              <w:autoSpaceDE w:val="0"/>
              <w:autoSpaceDN w:val="0"/>
              <w:adjustRightInd w:val="0"/>
              <w:jc w:val="center"/>
              <w:rPr>
                <w:rFonts w:ascii="Arial Narrow" w:hAnsi="Arial Narrow" w:cs="Calibri"/>
                <w:color w:val="000000"/>
                <w:sz w:val="20"/>
                <w:szCs w:val="20"/>
              </w:rPr>
            </w:pPr>
          </w:p>
        </w:tc>
        <w:tc>
          <w:tcPr>
            <w:tcW w:w="1350" w:type="dxa"/>
            <w:vAlign w:val="bottom"/>
          </w:tcPr>
          <w:p w14:paraId="7EBE79FA" w14:textId="41245F54"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4AROA198.08</w:t>
            </w:r>
          </w:p>
        </w:tc>
        <w:tc>
          <w:tcPr>
            <w:tcW w:w="504" w:type="dxa"/>
            <w:shd w:val="clear" w:color="auto" w:fill="auto"/>
            <w:vAlign w:val="bottom"/>
          </w:tcPr>
          <w:p w14:paraId="6C5A6F2B" w14:textId="2B69E7BE"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9</w:t>
            </w:r>
          </w:p>
        </w:tc>
        <w:tc>
          <w:tcPr>
            <w:tcW w:w="504" w:type="dxa"/>
            <w:shd w:val="clear" w:color="auto" w:fill="auto"/>
            <w:vAlign w:val="bottom"/>
          </w:tcPr>
          <w:p w14:paraId="6467AE7E" w14:textId="18EC2FC7"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10</w:t>
            </w:r>
          </w:p>
        </w:tc>
        <w:tc>
          <w:tcPr>
            <w:tcW w:w="504" w:type="dxa"/>
            <w:shd w:val="clear" w:color="auto" w:fill="auto"/>
            <w:vAlign w:val="bottom"/>
          </w:tcPr>
          <w:p w14:paraId="789E0AEF" w14:textId="37F1B145"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6</w:t>
            </w:r>
          </w:p>
        </w:tc>
        <w:tc>
          <w:tcPr>
            <w:tcW w:w="504" w:type="dxa"/>
            <w:shd w:val="clear" w:color="auto" w:fill="auto"/>
            <w:vAlign w:val="bottom"/>
          </w:tcPr>
          <w:p w14:paraId="621679FE" w14:textId="4E2A84F3"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3</w:t>
            </w:r>
          </w:p>
        </w:tc>
        <w:tc>
          <w:tcPr>
            <w:tcW w:w="504" w:type="dxa"/>
            <w:shd w:val="clear" w:color="auto" w:fill="auto"/>
            <w:vAlign w:val="bottom"/>
          </w:tcPr>
          <w:p w14:paraId="1352F931" w14:textId="503B32CC"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8</w:t>
            </w:r>
          </w:p>
        </w:tc>
        <w:tc>
          <w:tcPr>
            <w:tcW w:w="504" w:type="dxa"/>
            <w:shd w:val="clear" w:color="auto" w:fill="auto"/>
            <w:vAlign w:val="bottom"/>
          </w:tcPr>
          <w:p w14:paraId="712E8033" w14:textId="0A1891C2"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2</w:t>
            </w:r>
          </w:p>
        </w:tc>
        <w:tc>
          <w:tcPr>
            <w:tcW w:w="504" w:type="dxa"/>
            <w:shd w:val="clear" w:color="auto" w:fill="FFCCCC"/>
            <w:vAlign w:val="bottom"/>
          </w:tcPr>
          <w:p w14:paraId="1FF91599" w14:textId="6B9C6430"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1</w:t>
            </w:r>
          </w:p>
        </w:tc>
        <w:tc>
          <w:tcPr>
            <w:tcW w:w="504" w:type="dxa"/>
            <w:shd w:val="clear" w:color="auto" w:fill="auto"/>
            <w:vAlign w:val="bottom"/>
          </w:tcPr>
          <w:p w14:paraId="31BE45CE" w14:textId="69BC85CA"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7</w:t>
            </w:r>
          </w:p>
        </w:tc>
        <w:tc>
          <w:tcPr>
            <w:tcW w:w="504" w:type="dxa"/>
            <w:shd w:val="clear" w:color="auto" w:fill="auto"/>
            <w:vAlign w:val="bottom"/>
          </w:tcPr>
          <w:p w14:paraId="6B88C4A7" w14:textId="00657612"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5</w:t>
            </w:r>
          </w:p>
        </w:tc>
        <w:tc>
          <w:tcPr>
            <w:tcW w:w="504" w:type="dxa"/>
            <w:shd w:val="clear" w:color="auto" w:fill="auto"/>
            <w:vAlign w:val="bottom"/>
          </w:tcPr>
          <w:p w14:paraId="78ED2C2E" w14:textId="4F6F424A"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4</w:t>
            </w:r>
          </w:p>
        </w:tc>
      </w:tr>
      <w:tr w:rsidR="009D15F1" w:rsidRPr="00D74F5D" w14:paraId="6A40946A" w14:textId="77777777" w:rsidTr="00107B9E">
        <w:trPr>
          <w:trHeight w:val="290"/>
        </w:trPr>
        <w:tc>
          <w:tcPr>
            <w:tcW w:w="1383" w:type="dxa"/>
            <w:tcBorders>
              <w:bottom w:val="nil"/>
            </w:tcBorders>
            <w:vAlign w:val="bottom"/>
          </w:tcPr>
          <w:p w14:paraId="009BB194" w14:textId="7A4F0219"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 xml:space="preserve">Roanoke </w:t>
            </w:r>
            <w:proofErr w:type="spellStart"/>
            <w:r w:rsidRPr="009D15F1">
              <w:rPr>
                <w:rFonts w:ascii="Arial Narrow" w:hAnsi="Arial Narrow" w:cs="Calibri"/>
                <w:color w:val="000000"/>
                <w:sz w:val="20"/>
                <w:szCs w:val="20"/>
              </w:rPr>
              <w:t>Tribs</w:t>
            </w:r>
            <w:proofErr w:type="spellEnd"/>
          </w:p>
        </w:tc>
        <w:tc>
          <w:tcPr>
            <w:tcW w:w="1350" w:type="dxa"/>
            <w:vAlign w:val="bottom"/>
          </w:tcPr>
          <w:p w14:paraId="6FF82326" w14:textId="441072EA"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4ABHT001.90</w:t>
            </w:r>
          </w:p>
        </w:tc>
        <w:tc>
          <w:tcPr>
            <w:tcW w:w="504" w:type="dxa"/>
            <w:shd w:val="clear" w:color="auto" w:fill="auto"/>
            <w:vAlign w:val="bottom"/>
          </w:tcPr>
          <w:p w14:paraId="1D696557" w14:textId="46156255"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9</w:t>
            </w:r>
          </w:p>
        </w:tc>
        <w:tc>
          <w:tcPr>
            <w:tcW w:w="504" w:type="dxa"/>
            <w:shd w:val="clear" w:color="auto" w:fill="auto"/>
            <w:vAlign w:val="bottom"/>
          </w:tcPr>
          <w:p w14:paraId="6F617546" w14:textId="3D6A433A"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5</w:t>
            </w:r>
          </w:p>
        </w:tc>
        <w:tc>
          <w:tcPr>
            <w:tcW w:w="504" w:type="dxa"/>
            <w:shd w:val="clear" w:color="auto" w:fill="auto"/>
            <w:vAlign w:val="bottom"/>
          </w:tcPr>
          <w:p w14:paraId="08DCE0E4" w14:textId="30A1D493"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7</w:t>
            </w:r>
          </w:p>
        </w:tc>
        <w:tc>
          <w:tcPr>
            <w:tcW w:w="504" w:type="dxa"/>
            <w:shd w:val="clear" w:color="auto" w:fill="auto"/>
            <w:vAlign w:val="bottom"/>
          </w:tcPr>
          <w:p w14:paraId="1CAC3205" w14:textId="4B64D056"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8</w:t>
            </w:r>
          </w:p>
        </w:tc>
        <w:tc>
          <w:tcPr>
            <w:tcW w:w="504" w:type="dxa"/>
            <w:shd w:val="clear" w:color="auto" w:fill="auto"/>
            <w:vAlign w:val="bottom"/>
          </w:tcPr>
          <w:p w14:paraId="15079D38" w14:textId="75995146"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10</w:t>
            </w:r>
          </w:p>
        </w:tc>
        <w:tc>
          <w:tcPr>
            <w:tcW w:w="504" w:type="dxa"/>
            <w:shd w:val="clear" w:color="auto" w:fill="auto"/>
            <w:vAlign w:val="bottom"/>
          </w:tcPr>
          <w:p w14:paraId="6027380C" w14:textId="15CFE910"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5</w:t>
            </w:r>
          </w:p>
        </w:tc>
        <w:tc>
          <w:tcPr>
            <w:tcW w:w="504" w:type="dxa"/>
            <w:shd w:val="clear" w:color="auto" w:fill="auto"/>
            <w:vAlign w:val="bottom"/>
          </w:tcPr>
          <w:p w14:paraId="5B9E01DE" w14:textId="642CBD63"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3</w:t>
            </w:r>
          </w:p>
        </w:tc>
        <w:tc>
          <w:tcPr>
            <w:tcW w:w="504" w:type="dxa"/>
            <w:shd w:val="clear" w:color="auto" w:fill="auto"/>
            <w:vAlign w:val="bottom"/>
          </w:tcPr>
          <w:p w14:paraId="57BA95DC" w14:textId="236A701C"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3</w:t>
            </w:r>
          </w:p>
        </w:tc>
        <w:tc>
          <w:tcPr>
            <w:tcW w:w="504" w:type="dxa"/>
            <w:shd w:val="clear" w:color="auto" w:fill="FFCCCC"/>
            <w:vAlign w:val="bottom"/>
          </w:tcPr>
          <w:p w14:paraId="2C140E90" w14:textId="455BA04A"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1</w:t>
            </w:r>
          </w:p>
        </w:tc>
        <w:tc>
          <w:tcPr>
            <w:tcW w:w="504" w:type="dxa"/>
            <w:shd w:val="clear" w:color="auto" w:fill="auto"/>
            <w:vAlign w:val="bottom"/>
          </w:tcPr>
          <w:p w14:paraId="187F6489" w14:textId="6721009C"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2</w:t>
            </w:r>
          </w:p>
        </w:tc>
      </w:tr>
      <w:tr w:rsidR="009D15F1" w:rsidRPr="00D74F5D" w14:paraId="62A924E2" w14:textId="77777777" w:rsidTr="00107B9E">
        <w:trPr>
          <w:trHeight w:val="290"/>
        </w:trPr>
        <w:tc>
          <w:tcPr>
            <w:tcW w:w="1383" w:type="dxa"/>
            <w:tcBorders>
              <w:top w:val="nil"/>
              <w:bottom w:val="nil"/>
            </w:tcBorders>
            <w:vAlign w:val="bottom"/>
          </w:tcPr>
          <w:p w14:paraId="4B5EE087" w14:textId="77777777" w:rsidR="009D15F1" w:rsidRPr="009D15F1" w:rsidRDefault="009D15F1" w:rsidP="009D15F1">
            <w:pPr>
              <w:autoSpaceDE w:val="0"/>
              <w:autoSpaceDN w:val="0"/>
              <w:adjustRightInd w:val="0"/>
              <w:jc w:val="center"/>
              <w:rPr>
                <w:rFonts w:ascii="Arial Narrow" w:hAnsi="Arial Narrow" w:cs="Calibri"/>
                <w:color w:val="000000"/>
                <w:sz w:val="20"/>
                <w:szCs w:val="20"/>
              </w:rPr>
            </w:pPr>
          </w:p>
        </w:tc>
        <w:tc>
          <w:tcPr>
            <w:tcW w:w="1350" w:type="dxa"/>
            <w:vAlign w:val="bottom"/>
          </w:tcPr>
          <w:p w14:paraId="11D87051" w14:textId="782156AE"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4AGSH001.28</w:t>
            </w:r>
          </w:p>
        </w:tc>
        <w:tc>
          <w:tcPr>
            <w:tcW w:w="504" w:type="dxa"/>
            <w:shd w:val="clear" w:color="auto" w:fill="auto"/>
            <w:vAlign w:val="bottom"/>
          </w:tcPr>
          <w:p w14:paraId="37597BAA" w14:textId="320754A3"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9</w:t>
            </w:r>
          </w:p>
        </w:tc>
        <w:tc>
          <w:tcPr>
            <w:tcW w:w="504" w:type="dxa"/>
            <w:shd w:val="clear" w:color="auto" w:fill="auto"/>
            <w:vAlign w:val="bottom"/>
          </w:tcPr>
          <w:p w14:paraId="7EE9F0FC" w14:textId="5E46BBC4"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7</w:t>
            </w:r>
          </w:p>
        </w:tc>
        <w:tc>
          <w:tcPr>
            <w:tcW w:w="504" w:type="dxa"/>
            <w:shd w:val="clear" w:color="auto" w:fill="auto"/>
            <w:vAlign w:val="bottom"/>
          </w:tcPr>
          <w:p w14:paraId="6FCEF7A5" w14:textId="5A9E4424"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8</w:t>
            </w:r>
          </w:p>
        </w:tc>
        <w:tc>
          <w:tcPr>
            <w:tcW w:w="504" w:type="dxa"/>
            <w:shd w:val="clear" w:color="auto" w:fill="auto"/>
            <w:vAlign w:val="bottom"/>
          </w:tcPr>
          <w:p w14:paraId="71FF57C5" w14:textId="04A8EF2D"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3</w:t>
            </w:r>
          </w:p>
        </w:tc>
        <w:tc>
          <w:tcPr>
            <w:tcW w:w="504" w:type="dxa"/>
            <w:shd w:val="clear" w:color="auto" w:fill="auto"/>
            <w:vAlign w:val="bottom"/>
          </w:tcPr>
          <w:p w14:paraId="6BD710E2" w14:textId="5FEC3982"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10</w:t>
            </w:r>
          </w:p>
        </w:tc>
        <w:tc>
          <w:tcPr>
            <w:tcW w:w="504" w:type="dxa"/>
            <w:shd w:val="clear" w:color="auto" w:fill="auto"/>
            <w:vAlign w:val="bottom"/>
          </w:tcPr>
          <w:p w14:paraId="34AF92BB" w14:textId="046717DB"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3</w:t>
            </w:r>
          </w:p>
        </w:tc>
        <w:tc>
          <w:tcPr>
            <w:tcW w:w="504" w:type="dxa"/>
            <w:shd w:val="clear" w:color="auto" w:fill="FFCCCC"/>
            <w:vAlign w:val="bottom"/>
          </w:tcPr>
          <w:p w14:paraId="4E9CE7AD" w14:textId="020AE80E"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1</w:t>
            </w:r>
          </w:p>
        </w:tc>
        <w:tc>
          <w:tcPr>
            <w:tcW w:w="504" w:type="dxa"/>
            <w:shd w:val="clear" w:color="auto" w:fill="auto"/>
            <w:vAlign w:val="bottom"/>
          </w:tcPr>
          <w:p w14:paraId="7470A638" w14:textId="77751D1A"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5</w:t>
            </w:r>
          </w:p>
        </w:tc>
        <w:tc>
          <w:tcPr>
            <w:tcW w:w="504" w:type="dxa"/>
            <w:shd w:val="clear" w:color="auto" w:fill="auto"/>
            <w:vAlign w:val="bottom"/>
          </w:tcPr>
          <w:p w14:paraId="20A5B266" w14:textId="62EA5B3E"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2</w:t>
            </w:r>
          </w:p>
        </w:tc>
        <w:tc>
          <w:tcPr>
            <w:tcW w:w="504" w:type="dxa"/>
            <w:shd w:val="clear" w:color="auto" w:fill="auto"/>
            <w:vAlign w:val="bottom"/>
          </w:tcPr>
          <w:p w14:paraId="0FB9B6DE" w14:textId="53BB408D"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6</w:t>
            </w:r>
          </w:p>
        </w:tc>
      </w:tr>
      <w:tr w:rsidR="009D15F1" w:rsidRPr="00D74F5D" w14:paraId="7437495F" w14:textId="77777777" w:rsidTr="00107B9E">
        <w:trPr>
          <w:trHeight w:val="290"/>
        </w:trPr>
        <w:tc>
          <w:tcPr>
            <w:tcW w:w="1383" w:type="dxa"/>
            <w:tcBorders>
              <w:top w:val="nil"/>
              <w:bottom w:val="nil"/>
            </w:tcBorders>
            <w:vAlign w:val="bottom"/>
          </w:tcPr>
          <w:p w14:paraId="784D3C8C" w14:textId="77777777" w:rsidR="009D15F1" w:rsidRPr="009D15F1" w:rsidRDefault="009D15F1" w:rsidP="009D15F1">
            <w:pPr>
              <w:autoSpaceDE w:val="0"/>
              <w:autoSpaceDN w:val="0"/>
              <w:adjustRightInd w:val="0"/>
              <w:jc w:val="center"/>
              <w:rPr>
                <w:rFonts w:ascii="Arial Narrow" w:hAnsi="Arial Narrow" w:cs="Calibri"/>
                <w:color w:val="000000"/>
                <w:sz w:val="20"/>
                <w:szCs w:val="20"/>
              </w:rPr>
            </w:pPr>
          </w:p>
        </w:tc>
        <w:tc>
          <w:tcPr>
            <w:tcW w:w="1350" w:type="dxa"/>
            <w:vAlign w:val="bottom"/>
          </w:tcPr>
          <w:p w14:paraId="4618C08B" w14:textId="51A831B2"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4AMDL002.93</w:t>
            </w:r>
          </w:p>
        </w:tc>
        <w:tc>
          <w:tcPr>
            <w:tcW w:w="504" w:type="dxa"/>
            <w:shd w:val="clear" w:color="auto" w:fill="auto"/>
            <w:vAlign w:val="bottom"/>
          </w:tcPr>
          <w:p w14:paraId="3E9F6DBC" w14:textId="3C8756A7"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10</w:t>
            </w:r>
          </w:p>
        </w:tc>
        <w:tc>
          <w:tcPr>
            <w:tcW w:w="504" w:type="dxa"/>
            <w:shd w:val="clear" w:color="auto" w:fill="auto"/>
            <w:vAlign w:val="bottom"/>
          </w:tcPr>
          <w:p w14:paraId="0541ABF4" w14:textId="2F14081B"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9</w:t>
            </w:r>
          </w:p>
        </w:tc>
        <w:tc>
          <w:tcPr>
            <w:tcW w:w="504" w:type="dxa"/>
            <w:shd w:val="clear" w:color="auto" w:fill="auto"/>
            <w:vAlign w:val="bottom"/>
          </w:tcPr>
          <w:p w14:paraId="436E5D46" w14:textId="2E87B991"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7</w:t>
            </w:r>
          </w:p>
        </w:tc>
        <w:tc>
          <w:tcPr>
            <w:tcW w:w="504" w:type="dxa"/>
            <w:shd w:val="clear" w:color="auto" w:fill="auto"/>
            <w:vAlign w:val="bottom"/>
          </w:tcPr>
          <w:p w14:paraId="7BFD11A8" w14:textId="27E6CDA3"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4</w:t>
            </w:r>
          </w:p>
        </w:tc>
        <w:tc>
          <w:tcPr>
            <w:tcW w:w="504" w:type="dxa"/>
            <w:shd w:val="clear" w:color="auto" w:fill="auto"/>
            <w:vAlign w:val="bottom"/>
          </w:tcPr>
          <w:p w14:paraId="369B41F5" w14:textId="5C6BB783"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8</w:t>
            </w:r>
          </w:p>
        </w:tc>
        <w:tc>
          <w:tcPr>
            <w:tcW w:w="504" w:type="dxa"/>
            <w:shd w:val="clear" w:color="auto" w:fill="auto"/>
            <w:vAlign w:val="bottom"/>
          </w:tcPr>
          <w:p w14:paraId="7D3E2B71" w14:textId="2B6BF981"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2</w:t>
            </w:r>
          </w:p>
        </w:tc>
        <w:tc>
          <w:tcPr>
            <w:tcW w:w="504" w:type="dxa"/>
            <w:shd w:val="clear" w:color="auto" w:fill="auto"/>
            <w:vAlign w:val="bottom"/>
          </w:tcPr>
          <w:p w14:paraId="55158D47" w14:textId="684F8654"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2</w:t>
            </w:r>
          </w:p>
        </w:tc>
        <w:tc>
          <w:tcPr>
            <w:tcW w:w="504" w:type="dxa"/>
            <w:shd w:val="clear" w:color="auto" w:fill="auto"/>
            <w:vAlign w:val="bottom"/>
          </w:tcPr>
          <w:p w14:paraId="36D9C71E" w14:textId="4DE134C2"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6</w:t>
            </w:r>
          </w:p>
        </w:tc>
        <w:tc>
          <w:tcPr>
            <w:tcW w:w="504" w:type="dxa"/>
            <w:shd w:val="clear" w:color="auto" w:fill="FFCCCC"/>
            <w:vAlign w:val="bottom"/>
          </w:tcPr>
          <w:p w14:paraId="5BB89A12" w14:textId="53B1D410"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1</w:t>
            </w:r>
          </w:p>
        </w:tc>
        <w:tc>
          <w:tcPr>
            <w:tcW w:w="504" w:type="dxa"/>
            <w:shd w:val="clear" w:color="auto" w:fill="auto"/>
            <w:vAlign w:val="bottom"/>
          </w:tcPr>
          <w:p w14:paraId="53FB8C04" w14:textId="68213EA1"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5</w:t>
            </w:r>
          </w:p>
        </w:tc>
      </w:tr>
      <w:tr w:rsidR="009D15F1" w:rsidRPr="00D74F5D" w14:paraId="6C22D301" w14:textId="77777777" w:rsidTr="00107B9E">
        <w:trPr>
          <w:trHeight w:val="290"/>
        </w:trPr>
        <w:tc>
          <w:tcPr>
            <w:tcW w:w="1383" w:type="dxa"/>
            <w:tcBorders>
              <w:top w:val="nil"/>
              <w:bottom w:val="nil"/>
            </w:tcBorders>
            <w:vAlign w:val="bottom"/>
          </w:tcPr>
          <w:p w14:paraId="30656300" w14:textId="77777777" w:rsidR="009D15F1" w:rsidRPr="009D15F1" w:rsidRDefault="009D15F1" w:rsidP="009D15F1">
            <w:pPr>
              <w:autoSpaceDE w:val="0"/>
              <w:autoSpaceDN w:val="0"/>
              <w:adjustRightInd w:val="0"/>
              <w:jc w:val="center"/>
              <w:rPr>
                <w:rFonts w:ascii="Arial Narrow" w:hAnsi="Arial Narrow" w:cs="Calibri"/>
                <w:color w:val="000000"/>
                <w:sz w:val="20"/>
                <w:szCs w:val="20"/>
              </w:rPr>
            </w:pPr>
          </w:p>
        </w:tc>
        <w:tc>
          <w:tcPr>
            <w:tcW w:w="1350" w:type="dxa"/>
            <w:vAlign w:val="bottom"/>
          </w:tcPr>
          <w:p w14:paraId="3C93D70F" w14:textId="5E6C9801"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4AMSN000.53</w:t>
            </w:r>
          </w:p>
        </w:tc>
        <w:tc>
          <w:tcPr>
            <w:tcW w:w="504" w:type="dxa"/>
            <w:shd w:val="clear" w:color="auto" w:fill="auto"/>
            <w:vAlign w:val="bottom"/>
          </w:tcPr>
          <w:p w14:paraId="0EAE2F0C" w14:textId="07103F53"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9</w:t>
            </w:r>
          </w:p>
        </w:tc>
        <w:tc>
          <w:tcPr>
            <w:tcW w:w="504" w:type="dxa"/>
            <w:shd w:val="clear" w:color="auto" w:fill="auto"/>
            <w:vAlign w:val="bottom"/>
          </w:tcPr>
          <w:p w14:paraId="4B4F959B" w14:textId="155A0848"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10</w:t>
            </w:r>
          </w:p>
        </w:tc>
        <w:tc>
          <w:tcPr>
            <w:tcW w:w="504" w:type="dxa"/>
            <w:shd w:val="clear" w:color="auto" w:fill="auto"/>
            <w:vAlign w:val="bottom"/>
          </w:tcPr>
          <w:p w14:paraId="472B48A1" w14:textId="39FC5D51"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5</w:t>
            </w:r>
          </w:p>
        </w:tc>
        <w:tc>
          <w:tcPr>
            <w:tcW w:w="504" w:type="dxa"/>
            <w:shd w:val="clear" w:color="auto" w:fill="auto"/>
            <w:vAlign w:val="bottom"/>
          </w:tcPr>
          <w:p w14:paraId="628E22DA" w14:textId="2194B7E1"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4</w:t>
            </w:r>
          </w:p>
        </w:tc>
        <w:tc>
          <w:tcPr>
            <w:tcW w:w="504" w:type="dxa"/>
            <w:shd w:val="clear" w:color="auto" w:fill="auto"/>
            <w:vAlign w:val="bottom"/>
          </w:tcPr>
          <w:p w14:paraId="01DBE149" w14:textId="615F0934"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8</w:t>
            </w:r>
          </w:p>
        </w:tc>
        <w:tc>
          <w:tcPr>
            <w:tcW w:w="504" w:type="dxa"/>
            <w:shd w:val="clear" w:color="auto" w:fill="auto"/>
            <w:vAlign w:val="bottom"/>
          </w:tcPr>
          <w:p w14:paraId="6B5E6A0F" w14:textId="15F10143"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6</w:t>
            </w:r>
          </w:p>
        </w:tc>
        <w:tc>
          <w:tcPr>
            <w:tcW w:w="504" w:type="dxa"/>
            <w:shd w:val="clear" w:color="auto" w:fill="FFCCCC"/>
            <w:vAlign w:val="bottom"/>
          </w:tcPr>
          <w:p w14:paraId="2017B8AA" w14:textId="59CA13FF"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1</w:t>
            </w:r>
          </w:p>
        </w:tc>
        <w:tc>
          <w:tcPr>
            <w:tcW w:w="504" w:type="dxa"/>
            <w:shd w:val="clear" w:color="auto" w:fill="auto"/>
            <w:vAlign w:val="bottom"/>
          </w:tcPr>
          <w:p w14:paraId="49141BDD" w14:textId="386E015E"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7</w:t>
            </w:r>
          </w:p>
        </w:tc>
        <w:tc>
          <w:tcPr>
            <w:tcW w:w="504" w:type="dxa"/>
            <w:shd w:val="clear" w:color="auto" w:fill="auto"/>
            <w:vAlign w:val="bottom"/>
          </w:tcPr>
          <w:p w14:paraId="237DB96A" w14:textId="6F3743EB"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3</w:t>
            </w:r>
          </w:p>
        </w:tc>
        <w:tc>
          <w:tcPr>
            <w:tcW w:w="504" w:type="dxa"/>
            <w:shd w:val="clear" w:color="auto" w:fill="FFCCCC"/>
            <w:vAlign w:val="bottom"/>
          </w:tcPr>
          <w:p w14:paraId="293EDFF7" w14:textId="3635873B"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1</w:t>
            </w:r>
          </w:p>
        </w:tc>
      </w:tr>
      <w:tr w:rsidR="009D15F1" w:rsidRPr="00D74F5D" w14:paraId="3369A477" w14:textId="77777777" w:rsidTr="00107B9E">
        <w:trPr>
          <w:trHeight w:val="290"/>
        </w:trPr>
        <w:tc>
          <w:tcPr>
            <w:tcW w:w="1383" w:type="dxa"/>
            <w:tcBorders>
              <w:top w:val="nil"/>
              <w:bottom w:val="nil"/>
            </w:tcBorders>
            <w:vAlign w:val="bottom"/>
          </w:tcPr>
          <w:p w14:paraId="45F70C1A" w14:textId="77777777" w:rsidR="009D15F1" w:rsidRPr="009D15F1" w:rsidRDefault="009D15F1" w:rsidP="009D15F1">
            <w:pPr>
              <w:autoSpaceDE w:val="0"/>
              <w:autoSpaceDN w:val="0"/>
              <w:adjustRightInd w:val="0"/>
              <w:jc w:val="center"/>
              <w:rPr>
                <w:rFonts w:ascii="Arial Narrow" w:hAnsi="Arial Narrow" w:cs="Calibri"/>
                <w:color w:val="000000"/>
                <w:sz w:val="20"/>
                <w:szCs w:val="20"/>
              </w:rPr>
            </w:pPr>
          </w:p>
        </w:tc>
        <w:tc>
          <w:tcPr>
            <w:tcW w:w="1350" w:type="dxa"/>
            <w:vAlign w:val="bottom"/>
          </w:tcPr>
          <w:p w14:paraId="31981272" w14:textId="3E91BBD3"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4AMUR001.82</w:t>
            </w:r>
          </w:p>
        </w:tc>
        <w:tc>
          <w:tcPr>
            <w:tcW w:w="504" w:type="dxa"/>
            <w:shd w:val="clear" w:color="auto" w:fill="auto"/>
            <w:vAlign w:val="bottom"/>
          </w:tcPr>
          <w:p w14:paraId="32086074" w14:textId="77DF5BE0"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7</w:t>
            </w:r>
          </w:p>
        </w:tc>
        <w:tc>
          <w:tcPr>
            <w:tcW w:w="504" w:type="dxa"/>
            <w:shd w:val="clear" w:color="auto" w:fill="auto"/>
            <w:vAlign w:val="bottom"/>
          </w:tcPr>
          <w:p w14:paraId="06690F19" w14:textId="4ED4927D"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5</w:t>
            </w:r>
          </w:p>
        </w:tc>
        <w:tc>
          <w:tcPr>
            <w:tcW w:w="504" w:type="dxa"/>
            <w:shd w:val="clear" w:color="auto" w:fill="auto"/>
            <w:vAlign w:val="bottom"/>
          </w:tcPr>
          <w:p w14:paraId="0774D41A" w14:textId="4C04B7D3"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9</w:t>
            </w:r>
          </w:p>
        </w:tc>
        <w:tc>
          <w:tcPr>
            <w:tcW w:w="504" w:type="dxa"/>
            <w:shd w:val="clear" w:color="auto" w:fill="auto"/>
            <w:vAlign w:val="bottom"/>
          </w:tcPr>
          <w:p w14:paraId="27F9AEC1" w14:textId="6C0D0180"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5</w:t>
            </w:r>
          </w:p>
        </w:tc>
        <w:tc>
          <w:tcPr>
            <w:tcW w:w="504" w:type="dxa"/>
            <w:shd w:val="clear" w:color="auto" w:fill="auto"/>
            <w:vAlign w:val="bottom"/>
          </w:tcPr>
          <w:p w14:paraId="30B1FCA1" w14:textId="49FF8243"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9</w:t>
            </w:r>
          </w:p>
        </w:tc>
        <w:tc>
          <w:tcPr>
            <w:tcW w:w="504" w:type="dxa"/>
            <w:shd w:val="clear" w:color="auto" w:fill="auto"/>
            <w:vAlign w:val="bottom"/>
          </w:tcPr>
          <w:p w14:paraId="37357026" w14:textId="6A351A6E"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7</w:t>
            </w:r>
          </w:p>
        </w:tc>
        <w:tc>
          <w:tcPr>
            <w:tcW w:w="504" w:type="dxa"/>
            <w:shd w:val="clear" w:color="auto" w:fill="auto"/>
            <w:vAlign w:val="bottom"/>
          </w:tcPr>
          <w:p w14:paraId="181C3C78" w14:textId="1243E2DA"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2</w:t>
            </w:r>
          </w:p>
        </w:tc>
        <w:tc>
          <w:tcPr>
            <w:tcW w:w="504" w:type="dxa"/>
            <w:shd w:val="clear" w:color="auto" w:fill="auto"/>
            <w:vAlign w:val="bottom"/>
          </w:tcPr>
          <w:p w14:paraId="0E489932" w14:textId="51628675"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2</w:t>
            </w:r>
          </w:p>
        </w:tc>
        <w:tc>
          <w:tcPr>
            <w:tcW w:w="504" w:type="dxa"/>
            <w:shd w:val="clear" w:color="auto" w:fill="FFCCCC"/>
            <w:vAlign w:val="bottom"/>
          </w:tcPr>
          <w:p w14:paraId="1229BF3A" w14:textId="4BCD185C"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1</w:t>
            </w:r>
          </w:p>
        </w:tc>
        <w:tc>
          <w:tcPr>
            <w:tcW w:w="504" w:type="dxa"/>
            <w:shd w:val="clear" w:color="auto" w:fill="auto"/>
            <w:vAlign w:val="bottom"/>
          </w:tcPr>
          <w:p w14:paraId="6699C00D" w14:textId="162C63CE"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2</w:t>
            </w:r>
          </w:p>
        </w:tc>
      </w:tr>
      <w:tr w:rsidR="009D15F1" w:rsidRPr="00D74F5D" w14:paraId="41F3CB7A" w14:textId="77777777" w:rsidTr="00107B9E">
        <w:trPr>
          <w:trHeight w:val="290"/>
        </w:trPr>
        <w:tc>
          <w:tcPr>
            <w:tcW w:w="1383" w:type="dxa"/>
            <w:tcBorders>
              <w:top w:val="nil"/>
              <w:bottom w:val="nil"/>
            </w:tcBorders>
            <w:vAlign w:val="bottom"/>
          </w:tcPr>
          <w:p w14:paraId="1CA658E1" w14:textId="77777777" w:rsidR="009D15F1" w:rsidRPr="009D15F1" w:rsidRDefault="009D15F1" w:rsidP="009D15F1">
            <w:pPr>
              <w:autoSpaceDE w:val="0"/>
              <w:autoSpaceDN w:val="0"/>
              <w:adjustRightInd w:val="0"/>
              <w:jc w:val="center"/>
              <w:rPr>
                <w:rFonts w:ascii="Arial Narrow" w:hAnsi="Arial Narrow" w:cs="Calibri"/>
                <w:color w:val="000000"/>
                <w:sz w:val="20"/>
                <w:szCs w:val="20"/>
              </w:rPr>
            </w:pPr>
          </w:p>
        </w:tc>
        <w:tc>
          <w:tcPr>
            <w:tcW w:w="1350" w:type="dxa"/>
            <w:vAlign w:val="bottom"/>
          </w:tcPr>
          <w:p w14:paraId="34AC6ED4" w14:textId="3FFD9C45"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4AORE000.01</w:t>
            </w:r>
          </w:p>
        </w:tc>
        <w:tc>
          <w:tcPr>
            <w:tcW w:w="504" w:type="dxa"/>
            <w:shd w:val="clear" w:color="auto" w:fill="auto"/>
            <w:vAlign w:val="bottom"/>
          </w:tcPr>
          <w:p w14:paraId="5624929B" w14:textId="7F60D303"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9</w:t>
            </w:r>
          </w:p>
        </w:tc>
        <w:tc>
          <w:tcPr>
            <w:tcW w:w="504" w:type="dxa"/>
            <w:shd w:val="clear" w:color="auto" w:fill="auto"/>
            <w:vAlign w:val="bottom"/>
          </w:tcPr>
          <w:p w14:paraId="54192B1C" w14:textId="408C1306"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9</w:t>
            </w:r>
          </w:p>
        </w:tc>
        <w:tc>
          <w:tcPr>
            <w:tcW w:w="504" w:type="dxa"/>
            <w:shd w:val="clear" w:color="auto" w:fill="auto"/>
            <w:vAlign w:val="bottom"/>
          </w:tcPr>
          <w:p w14:paraId="6497B31A" w14:textId="58C2AD9C"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7</w:t>
            </w:r>
          </w:p>
        </w:tc>
        <w:tc>
          <w:tcPr>
            <w:tcW w:w="504" w:type="dxa"/>
            <w:shd w:val="clear" w:color="auto" w:fill="auto"/>
            <w:vAlign w:val="bottom"/>
          </w:tcPr>
          <w:p w14:paraId="2ABED5CC" w14:textId="3F8B311C"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2</w:t>
            </w:r>
          </w:p>
        </w:tc>
        <w:tc>
          <w:tcPr>
            <w:tcW w:w="504" w:type="dxa"/>
            <w:shd w:val="clear" w:color="auto" w:fill="auto"/>
            <w:vAlign w:val="bottom"/>
          </w:tcPr>
          <w:p w14:paraId="761CB56B" w14:textId="59E7C72D"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8</w:t>
            </w:r>
          </w:p>
        </w:tc>
        <w:tc>
          <w:tcPr>
            <w:tcW w:w="504" w:type="dxa"/>
            <w:shd w:val="clear" w:color="auto" w:fill="auto"/>
            <w:vAlign w:val="bottom"/>
          </w:tcPr>
          <w:p w14:paraId="4668C08F" w14:textId="2BD0F88B"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4</w:t>
            </w:r>
          </w:p>
        </w:tc>
        <w:tc>
          <w:tcPr>
            <w:tcW w:w="504" w:type="dxa"/>
            <w:shd w:val="clear" w:color="auto" w:fill="FFCCCC"/>
            <w:vAlign w:val="bottom"/>
          </w:tcPr>
          <w:p w14:paraId="3BAFFD00" w14:textId="0ADBB541"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1</w:t>
            </w:r>
          </w:p>
        </w:tc>
        <w:tc>
          <w:tcPr>
            <w:tcW w:w="504" w:type="dxa"/>
            <w:shd w:val="clear" w:color="auto" w:fill="auto"/>
            <w:vAlign w:val="bottom"/>
          </w:tcPr>
          <w:p w14:paraId="6989B4AD" w14:textId="29C54067"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6</w:t>
            </w:r>
          </w:p>
        </w:tc>
        <w:tc>
          <w:tcPr>
            <w:tcW w:w="504" w:type="dxa"/>
            <w:shd w:val="clear" w:color="auto" w:fill="auto"/>
            <w:vAlign w:val="bottom"/>
          </w:tcPr>
          <w:p w14:paraId="62E53C38" w14:textId="0F447554"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5</w:t>
            </w:r>
          </w:p>
        </w:tc>
        <w:tc>
          <w:tcPr>
            <w:tcW w:w="504" w:type="dxa"/>
            <w:shd w:val="clear" w:color="auto" w:fill="auto"/>
            <w:vAlign w:val="bottom"/>
          </w:tcPr>
          <w:p w14:paraId="0F44155A" w14:textId="5055DD0C"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2</w:t>
            </w:r>
          </w:p>
        </w:tc>
      </w:tr>
      <w:tr w:rsidR="009D15F1" w:rsidRPr="00D74F5D" w14:paraId="39DCB58A" w14:textId="77777777" w:rsidTr="00107B9E">
        <w:trPr>
          <w:trHeight w:val="290"/>
        </w:trPr>
        <w:tc>
          <w:tcPr>
            <w:tcW w:w="1383" w:type="dxa"/>
            <w:tcBorders>
              <w:top w:val="nil"/>
            </w:tcBorders>
            <w:vAlign w:val="bottom"/>
          </w:tcPr>
          <w:p w14:paraId="632E03C0" w14:textId="77777777" w:rsidR="009D15F1" w:rsidRPr="009D15F1" w:rsidRDefault="009D15F1" w:rsidP="009D15F1">
            <w:pPr>
              <w:autoSpaceDE w:val="0"/>
              <w:autoSpaceDN w:val="0"/>
              <w:adjustRightInd w:val="0"/>
              <w:jc w:val="center"/>
              <w:rPr>
                <w:rFonts w:ascii="Arial Narrow" w:hAnsi="Arial Narrow" w:cs="Calibri"/>
                <w:color w:val="000000"/>
                <w:sz w:val="20"/>
                <w:szCs w:val="20"/>
              </w:rPr>
            </w:pPr>
          </w:p>
        </w:tc>
        <w:tc>
          <w:tcPr>
            <w:tcW w:w="1350" w:type="dxa"/>
            <w:vAlign w:val="bottom"/>
          </w:tcPr>
          <w:p w14:paraId="7752CE43" w14:textId="090E04C8"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4APEE001.16</w:t>
            </w:r>
          </w:p>
        </w:tc>
        <w:tc>
          <w:tcPr>
            <w:tcW w:w="504" w:type="dxa"/>
            <w:shd w:val="clear" w:color="auto" w:fill="auto"/>
            <w:vAlign w:val="bottom"/>
          </w:tcPr>
          <w:p w14:paraId="3EBFE7A9" w14:textId="79DA23F3"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9</w:t>
            </w:r>
          </w:p>
        </w:tc>
        <w:tc>
          <w:tcPr>
            <w:tcW w:w="504" w:type="dxa"/>
            <w:shd w:val="clear" w:color="auto" w:fill="auto"/>
            <w:vAlign w:val="bottom"/>
          </w:tcPr>
          <w:p w14:paraId="63271A08" w14:textId="40A2236E"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10</w:t>
            </w:r>
          </w:p>
        </w:tc>
        <w:tc>
          <w:tcPr>
            <w:tcW w:w="504" w:type="dxa"/>
            <w:shd w:val="clear" w:color="auto" w:fill="auto"/>
            <w:vAlign w:val="bottom"/>
          </w:tcPr>
          <w:p w14:paraId="6E1E845D" w14:textId="2735FA12"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7</w:t>
            </w:r>
          </w:p>
        </w:tc>
        <w:tc>
          <w:tcPr>
            <w:tcW w:w="504" w:type="dxa"/>
            <w:shd w:val="clear" w:color="auto" w:fill="FFCCCC"/>
            <w:vAlign w:val="bottom"/>
          </w:tcPr>
          <w:p w14:paraId="23C8CD5C" w14:textId="5CC74679"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1</w:t>
            </w:r>
          </w:p>
        </w:tc>
        <w:tc>
          <w:tcPr>
            <w:tcW w:w="504" w:type="dxa"/>
            <w:shd w:val="clear" w:color="auto" w:fill="auto"/>
            <w:vAlign w:val="bottom"/>
          </w:tcPr>
          <w:p w14:paraId="697B19B6" w14:textId="63E78A2A"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8</w:t>
            </w:r>
          </w:p>
        </w:tc>
        <w:tc>
          <w:tcPr>
            <w:tcW w:w="504" w:type="dxa"/>
            <w:shd w:val="clear" w:color="auto" w:fill="auto"/>
            <w:vAlign w:val="bottom"/>
          </w:tcPr>
          <w:p w14:paraId="32964C69" w14:textId="44AC50EA"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3</w:t>
            </w:r>
          </w:p>
        </w:tc>
        <w:tc>
          <w:tcPr>
            <w:tcW w:w="504" w:type="dxa"/>
            <w:shd w:val="clear" w:color="auto" w:fill="auto"/>
            <w:vAlign w:val="bottom"/>
          </w:tcPr>
          <w:p w14:paraId="4AFE2432" w14:textId="21A8EAD0"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4</w:t>
            </w:r>
          </w:p>
        </w:tc>
        <w:tc>
          <w:tcPr>
            <w:tcW w:w="504" w:type="dxa"/>
            <w:shd w:val="clear" w:color="auto" w:fill="auto"/>
            <w:vAlign w:val="bottom"/>
          </w:tcPr>
          <w:p w14:paraId="12BF7A05" w14:textId="6845042D"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6</w:t>
            </w:r>
          </w:p>
        </w:tc>
        <w:tc>
          <w:tcPr>
            <w:tcW w:w="504" w:type="dxa"/>
            <w:shd w:val="clear" w:color="auto" w:fill="auto"/>
            <w:vAlign w:val="bottom"/>
          </w:tcPr>
          <w:p w14:paraId="56B8BBDA" w14:textId="3ABE31A7"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5</w:t>
            </w:r>
          </w:p>
        </w:tc>
        <w:tc>
          <w:tcPr>
            <w:tcW w:w="504" w:type="dxa"/>
            <w:shd w:val="clear" w:color="auto" w:fill="auto"/>
            <w:vAlign w:val="bottom"/>
          </w:tcPr>
          <w:p w14:paraId="080B7037" w14:textId="2D839E73" w:rsidR="009D15F1" w:rsidRPr="009D15F1" w:rsidRDefault="009D15F1" w:rsidP="009D15F1">
            <w:pPr>
              <w:autoSpaceDE w:val="0"/>
              <w:autoSpaceDN w:val="0"/>
              <w:adjustRightInd w:val="0"/>
              <w:jc w:val="center"/>
              <w:rPr>
                <w:rFonts w:ascii="Arial Narrow" w:hAnsi="Arial Narrow" w:cs="Calibri"/>
                <w:color w:val="000000"/>
                <w:sz w:val="20"/>
                <w:szCs w:val="20"/>
              </w:rPr>
            </w:pPr>
            <w:r w:rsidRPr="009D15F1">
              <w:rPr>
                <w:rFonts w:ascii="Arial Narrow" w:hAnsi="Arial Narrow" w:cs="Calibri"/>
                <w:color w:val="000000"/>
                <w:sz w:val="20"/>
                <w:szCs w:val="20"/>
              </w:rPr>
              <w:t>2</w:t>
            </w:r>
          </w:p>
        </w:tc>
      </w:tr>
    </w:tbl>
    <w:p w14:paraId="0C53D41F" w14:textId="448121A7" w:rsidR="00066FB6" w:rsidRPr="00D74F5D" w:rsidRDefault="00066FB6" w:rsidP="00F35736">
      <w:pPr>
        <w:spacing w:line="240" w:lineRule="auto"/>
      </w:pPr>
    </w:p>
    <w:p w14:paraId="74A3EF74" w14:textId="6E9E239C" w:rsidR="00BA50C9" w:rsidRPr="00464795" w:rsidRDefault="00BA50C9" w:rsidP="00BA50C9">
      <w:pPr>
        <w:pStyle w:val="Heading3"/>
      </w:pPr>
      <w:bookmarkStart w:id="60" w:name="_Toc162948159"/>
      <w:r w:rsidRPr="00464795">
        <w:t>Analysis of Functional Feeding Groups</w:t>
      </w:r>
      <w:bookmarkEnd w:id="60"/>
    </w:p>
    <w:p w14:paraId="263A8FEF" w14:textId="2824712F" w:rsidR="0055087F" w:rsidRDefault="003C6F3B" w:rsidP="003C6F3B">
      <w:pPr>
        <w:spacing w:before="120" w:after="120" w:line="360" w:lineRule="auto"/>
      </w:pPr>
      <w:r w:rsidRPr="00464795">
        <w:t xml:space="preserve">The composition of functional feeding groups comprising the benthic community was also analyzed to identify shifts in composition at impaired </w:t>
      </w:r>
      <w:r w:rsidR="00A159BC" w:rsidRPr="00464795">
        <w:t>stations</w:t>
      </w:r>
      <w:r w:rsidRPr="00464795">
        <w:t xml:space="preserve"> that might provide clues to sources or mechanisms of impairment. </w:t>
      </w:r>
      <w:r w:rsidR="00D25004" w:rsidRPr="00464795">
        <w:fldChar w:fldCharType="begin"/>
      </w:r>
      <w:r w:rsidR="00D25004" w:rsidRPr="00464795">
        <w:instrText xml:space="preserve"> REF _Ref45787280 \h </w:instrText>
      </w:r>
      <w:r w:rsidR="00867C44" w:rsidRPr="00464795">
        <w:instrText xml:space="preserve"> \* MERGEFORMAT </w:instrText>
      </w:r>
      <w:r w:rsidR="00D25004" w:rsidRPr="00464795">
        <w:fldChar w:fldCharType="separate"/>
      </w:r>
      <w:r w:rsidR="004A78BF" w:rsidRPr="00464795">
        <w:t xml:space="preserve">Figure </w:t>
      </w:r>
      <w:r w:rsidR="004A78BF">
        <w:rPr>
          <w:noProof/>
        </w:rPr>
        <w:t>13</w:t>
      </w:r>
      <w:r w:rsidR="00D25004" w:rsidRPr="00464795">
        <w:fldChar w:fldCharType="end"/>
      </w:r>
      <w:r w:rsidRPr="00464795">
        <w:t xml:space="preserve"> show</w:t>
      </w:r>
      <w:r w:rsidR="00D25004" w:rsidRPr="00464795">
        <w:t>s</w:t>
      </w:r>
      <w:r w:rsidRPr="00464795">
        <w:t xml:space="preserve"> the composition of functional feeding groups within </w:t>
      </w:r>
      <w:r w:rsidR="00C22970">
        <w:t>Roanoke River Project streams</w:t>
      </w:r>
      <w:r w:rsidRPr="00464795">
        <w:t xml:space="preserve"> in comparison to a reference. </w:t>
      </w:r>
      <w:r w:rsidR="0028197A">
        <w:t xml:space="preserve">In </w:t>
      </w:r>
      <w:r w:rsidR="00C22970">
        <w:t>Wolf Creek</w:t>
      </w:r>
      <w:r w:rsidR="00730D29" w:rsidRPr="00464795">
        <w:t xml:space="preserve">, </w:t>
      </w:r>
      <w:r w:rsidR="0028197A">
        <w:t xml:space="preserve">benthic </w:t>
      </w:r>
      <w:r w:rsidRPr="00464795">
        <w:t>communities shifted to a higher percentage of</w:t>
      </w:r>
      <w:r w:rsidR="00C22970">
        <w:t xml:space="preserve"> filterers and</w:t>
      </w:r>
      <w:r w:rsidRPr="00464795">
        <w:t xml:space="preserve"> collectors</w:t>
      </w:r>
      <w:r w:rsidR="00C22970">
        <w:t>;</w:t>
      </w:r>
      <w:r w:rsidRPr="00464795">
        <w:t xml:space="preserve"> while </w:t>
      </w:r>
      <w:r w:rsidR="00C22970">
        <w:t xml:space="preserve">shredders, </w:t>
      </w:r>
      <w:r w:rsidR="0028197A">
        <w:t>scrapers</w:t>
      </w:r>
      <w:r w:rsidR="00C22970">
        <w:t xml:space="preserve">, and predators </w:t>
      </w:r>
      <w:r w:rsidRPr="00464795">
        <w:t xml:space="preserve">decreased. </w:t>
      </w:r>
      <w:r w:rsidR="00C22970">
        <w:t xml:space="preserve">Filterers </w:t>
      </w:r>
      <w:r w:rsidRPr="00464795">
        <w:t xml:space="preserve">increased by </w:t>
      </w:r>
      <w:r w:rsidR="0028197A">
        <w:t>1</w:t>
      </w:r>
      <w:r w:rsidR="00C22970">
        <w:t>0</w:t>
      </w:r>
      <w:r w:rsidRPr="00464795">
        <w:t>%</w:t>
      </w:r>
      <w:r w:rsidR="00C22970">
        <w:t xml:space="preserve"> and collectors increased by 13%. The largest decrease was in scrapers, which decreased by 17%. </w:t>
      </w:r>
      <w:r w:rsidRPr="00464795">
        <w:t xml:space="preserve">This shift in functional feeding group is indicative of increased </w:t>
      </w:r>
      <w:r w:rsidR="00005360" w:rsidRPr="00464795">
        <w:t xml:space="preserve">deposited sediment and deposited </w:t>
      </w:r>
      <w:r w:rsidRPr="00464795">
        <w:t xml:space="preserve">organic material. </w:t>
      </w:r>
      <w:r w:rsidR="00005360" w:rsidRPr="00464795">
        <w:t>As</w:t>
      </w:r>
      <w:r w:rsidRPr="00464795">
        <w:t xml:space="preserve"> the amount of deposited organic matter increases, the niche of macroinvertebrates that collect their food from bottom deposits (collectors) expands.</w:t>
      </w:r>
      <w:r w:rsidR="0028197A">
        <w:t xml:space="preserve"> </w:t>
      </w:r>
      <w:r w:rsidR="00C22970" w:rsidRPr="00BD23A8">
        <w:t>An increase in filterers indicate</w:t>
      </w:r>
      <w:r w:rsidR="0055087F">
        <w:t>s</w:t>
      </w:r>
      <w:r w:rsidR="00C22970" w:rsidRPr="00BD23A8">
        <w:t xml:space="preserve"> an increase in suspended sediment and organic matter. As particulate matter in the water column increases, more food is available for filtering organisms and that feeding niche expands.</w:t>
      </w:r>
      <w:r w:rsidR="0055087F">
        <w:t xml:space="preserve"> </w:t>
      </w:r>
    </w:p>
    <w:p w14:paraId="11207BD1" w14:textId="1A5EDE85" w:rsidR="0055087F" w:rsidRDefault="0055087F" w:rsidP="003C6F3B">
      <w:pPr>
        <w:spacing w:before="120" w:after="120" w:line="360" w:lineRule="auto"/>
      </w:pPr>
      <w:r>
        <w:t>In Tinker Creek, collectors increased by 19%</w:t>
      </w:r>
      <w:r w:rsidR="00F665C9">
        <w:t>,</w:t>
      </w:r>
      <w:r>
        <w:t xml:space="preserve"> and all other feeding groups decreased. As described above, t</w:t>
      </w:r>
      <w:r w:rsidRPr="00464795">
        <w:t xml:space="preserve">his shift in functional feeding group is indicative of increased deposited sediment and deposited organic material. </w:t>
      </w:r>
    </w:p>
    <w:p w14:paraId="19D9D20A" w14:textId="04BE65A4" w:rsidR="0055087F" w:rsidRDefault="0055087F" w:rsidP="003C6F3B">
      <w:pPr>
        <w:spacing w:before="120" w:after="120" w:line="360" w:lineRule="auto"/>
      </w:pPr>
      <w:r>
        <w:t xml:space="preserve">In the Roanoke River, collectors and scrapers increased, while other groups decreased or stayed the same. </w:t>
      </w:r>
      <w:r w:rsidR="00C121EE">
        <w:t xml:space="preserve">At river mile 202.20, collectors increased by 3% and scrapers increased by 2%. At river mile 198.08, collectors </w:t>
      </w:r>
      <w:r w:rsidR="003F5E37">
        <w:t>and</w:t>
      </w:r>
      <w:r w:rsidR="00C121EE">
        <w:t xml:space="preserve"> scrapers </w:t>
      </w:r>
      <w:r w:rsidR="003F5E37">
        <w:t xml:space="preserve">both increased by </w:t>
      </w:r>
      <w:r w:rsidR="00F92162">
        <w:t>5</w:t>
      </w:r>
      <w:r w:rsidR="00C121EE">
        <w:t xml:space="preserve">% </w:t>
      </w:r>
      <w:r w:rsidR="003F5E37">
        <w:t>compared to the reference</w:t>
      </w:r>
      <w:r w:rsidR="00C121EE">
        <w:t>. As described above, t</w:t>
      </w:r>
      <w:r w:rsidR="00C121EE" w:rsidRPr="00464795">
        <w:t>h</w:t>
      </w:r>
      <w:r w:rsidR="00C121EE">
        <w:t>e</w:t>
      </w:r>
      <w:r w:rsidR="00C121EE" w:rsidRPr="00464795">
        <w:t xml:space="preserve"> </w:t>
      </w:r>
      <w:r w:rsidR="00C121EE">
        <w:t>increase in collectors is ind</w:t>
      </w:r>
      <w:r w:rsidR="00C121EE" w:rsidRPr="00464795">
        <w:t>icative of increased deposited sediment and deposited organic material.</w:t>
      </w:r>
      <w:r w:rsidR="00C121EE">
        <w:t xml:space="preserve"> The increase in scrapers is indicative of nutrient </w:t>
      </w:r>
      <w:r w:rsidR="00D5315E">
        <w:t xml:space="preserve">enrichment. </w:t>
      </w:r>
      <w:r w:rsidRPr="00867C44">
        <w:t>As nutrients increase, algae growth is spurred and provides an increased availability of food for scrapers.</w:t>
      </w:r>
    </w:p>
    <w:p w14:paraId="26B71553" w14:textId="1083744C" w:rsidR="00BA50C9" w:rsidRPr="00464795" w:rsidRDefault="00BA50C9" w:rsidP="00C80905">
      <w:pPr>
        <w:spacing w:before="120" w:after="120" w:line="360" w:lineRule="auto"/>
      </w:pPr>
    </w:p>
    <w:p w14:paraId="32A417DC" w14:textId="48301409" w:rsidR="00D25004" w:rsidRPr="00464795" w:rsidRDefault="0090376A" w:rsidP="00D25004">
      <w:pPr>
        <w:keepNext/>
        <w:spacing w:before="120" w:after="120" w:line="360" w:lineRule="auto"/>
      </w:pPr>
      <w:r>
        <w:rPr>
          <w:noProof/>
        </w:rPr>
        <w:drawing>
          <wp:inline distT="0" distB="0" distL="0" distR="0" wp14:anchorId="33F4BC9E" wp14:editId="50CD1A7A">
            <wp:extent cx="6172200" cy="3718253"/>
            <wp:effectExtent l="0" t="0" r="0" b="0"/>
            <wp:docPr id="27" name="Picture 27" descr="Functional feeding group composition in Roanoke River Project streams compared to a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03189" cy="3736922"/>
                    </a:xfrm>
                    <a:prstGeom prst="rect">
                      <a:avLst/>
                    </a:prstGeom>
                    <a:noFill/>
                  </pic:spPr>
                </pic:pic>
              </a:graphicData>
            </a:graphic>
          </wp:inline>
        </w:drawing>
      </w:r>
    </w:p>
    <w:p w14:paraId="3C8B1E49" w14:textId="31C8113D" w:rsidR="003C6F3B" w:rsidRPr="00464795" w:rsidRDefault="00D25004" w:rsidP="00D25004">
      <w:pPr>
        <w:pStyle w:val="Caption"/>
      </w:pPr>
      <w:bookmarkStart w:id="61" w:name="_Ref45787280"/>
      <w:bookmarkStart w:id="62" w:name="_Toc162948231"/>
      <w:r w:rsidRPr="00464795">
        <w:t xml:space="preserve">Figure </w:t>
      </w:r>
      <w:r w:rsidR="00563518" w:rsidRPr="00464795">
        <w:rPr>
          <w:noProof/>
        </w:rPr>
        <w:fldChar w:fldCharType="begin"/>
      </w:r>
      <w:r w:rsidR="00563518" w:rsidRPr="00464795">
        <w:rPr>
          <w:noProof/>
        </w:rPr>
        <w:instrText xml:space="preserve"> SEQ Figure \* ARABIC </w:instrText>
      </w:r>
      <w:r w:rsidR="00563518" w:rsidRPr="00464795">
        <w:rPr>
          <w:noProof/>
        </w:rPr>
        <w:fldChar w:fldCharType="separate"/>
      </w:r>
      <w:r w:rsidR="004A78BF">
        <w:rPr>
          <w:noProof/>
        </w:rPr>
        <w:t>13</w:t>
      </w:r>
      <w:r w:rsidR="00563518" w:rsidRPr="00464795">
        <w:rPr>
          <w:noProof/>
        </w:rPr>
        <w:fldChar w:fldCharType="end"/>
      </w:r>
      <w:bookmarkEnd w:id="61"/>
      <w:r w:rsidRPr="00464795">
        <w:t xml:space="preserve">. Functional feeding group composition in </w:t>
      </w:r>
      <w:r w:rsidR="00C22970">
        <w:t>Roanoke River Project streams c</w:t>
      </w:r>
      <w:r w:rsidRPr="00464795">
        <w:t>ompared to a reference.</w:t>
      </w:r>
      <w:r w:rsidR="00582129" w:rsidRPr="00582129">
        <w:t xml:space="preserve"> </w:t>
      </w:r>
      <w:r w:rsidR="00582129" w:rsidRPr="004403BE">
        <w:t xml:space="preserve">The benthic reference was </w:t>
      </w:r>
      <w:r w:rsidR="00582129">
        <w:t>4AROA212.17 for the Roanoke River and 4ATKR014.16 for Wolf Creek and Tinker Creek.</w:t>
      </w:r>
      <w:bookmarkEnd w:id="62"/>
    </w:p>
    <w:p w14:paraId="19FEF7E6" w14:textId="6578FDEE" w:rsidR="003C6F3B" w:rsidRPr="00464795" w:rsidRDefault="003C6F3B" w:rsidP="00F35736">
      <w:pPr>
        <w:spacing w:line="240" w:lineRule="auto"/>
      </w:pPr>
    </w:p>
    <w:p w14:paraId="3E911406" w14:textId="58CDE382" w:rsidR="008F08A3" w:rsidRPr="004B0E0F" w:rsidRDefault="008F08A3" w:rsidP="00BA50C9">
      <w:pPr>
        <w:pStyle w:val="Heading2"/>
      </w:pPr>
      <w:bookmarkStart w:id="63" w:name="_Toc162948160"/>
      <w:r w:rsidRPr="004B0E0F">
        <w:t>Habitat Assessment</w:t>
      </w:r>
      <w:bookmarkEnd w:id="63"/>
    </w:p>
    <w:p w14:paraId="36297DAC" w14:textId="77090B9A" w:rsidR="00F665C9" w:rsidRDefault="00981E7E" w:rsidP="00981E7E">
      <w:pPr>
        <w:pStyle w:val="BlockText"/>
      </w:pPr>
      <w:r w:rsidRPr="004B0E0F">
        <w:t>As part of the Rapid Bioassessment Protocol</w:t>
      </w:r>
      <w:r w:rsidR="00721AC7">
        <w:t xml:space="preserve"> (Barbour </w:t>
      </w:r>
      <w:r w:rsidR="00721AC7" w:rsidRPr="00721AC7">
        <w:rPr>
          <w:i/>
        </w:rPr>
        <w:t>et al</w:t>
      </w:r>
      <w:r w:rsidR="00721AC7">
        <w:t>., 1999)</w:t>
      </w:r>
      <w:r w:rsidRPr="004B0E0F">
        <w:t xml:space="preserve">, a visual habitat assessment is performed at the time of each benthic sample collection.  This assessment entails scoring each of a series of habitat components from 0 to 20. These habitat components include </w:t>
      </w:r>
      <w:r w:rsidR="00891433" w:rsidRPr="004B0E0F">
        <w:t xml:space="preserve">bank stability, channel alteration, bank vegetation, riparian vegetation, </w:t>
      </w:r>
      <w:r w:rsidR="008D68C7" w:rsidRPr="004B0E0F">
        <w:t xml:space="preserve">substrate, embeddedness, </w:t>
      </w:r>
      <w:r w:rsidR="00891433" w:rsidRPr="004B0E0F">
        <w:t xml:space="preserve">flow, riffles, and </w:t>
      </w:r>
      <w:r w:rsidR="008D68C7" w:rsidRPr="004B0E0F">
        <w:t>velocity</w:t>
      </w:r>
      <w:r w:rsidR="00891433" w:rsidRPr="004B0E0F">
        <w:t>/depth</w:t>
      </w:r>
      <w:r w:rsidR="008D68C7" w:rsidRPr="004B0E0F">
        <w:t>.</w:t>
      </w:r>
      <w:r w:rsidRPr="004B0E0F">
        <w:t xml:space="preserve"> The individual scores for each of these measures are then added for a total habitat score.  </w:t>
      </w:r>
      <w:r w:rsidR="00E979CE" w:rsidRPr="004B0E0F">
        <w:fldChar w:fldCharType="begin"/>
      </w:r>
      <w:r w:rsidR="00E979CE" w:rsidRPr="004B0E0F">
        <w:instrText xml:space="preserve"> REF _Ref43473063 \h </w:instrText>
      </w:r>
      <w:r w:rsidR="00867C44" w:rsidRPr="004B0E0F">
        <w:instrText xml:space="preserve"> \* MERGEFORMAT </w:instrText>
      </w:r>
      <w:r w:rsidR="00E979CE" w:rsidRPr="004B0E0F">
        <w:fldChar w:fldCharType="separate"/>
      </w:r>
      <w:r w:rsidR="004A78BF" w:rsidRPr="006249B7">
        <w:t xml:space="preserve">Figure </w:t>
      </w:r>
      <w:r w:rsidR="004A78BF">
        <w:rPr>
          <w:noProof/>
        </w:rPr>
        <w:t>14</w:t>
      </w:r>
      <w:r w:rsidR="00E979CE" w:rsidRPr="004B0E0F">
        <w:fldChar w:fldCharType="end"/>
      </w:r>
      <w:r w:rsidRPr="004B0E0F">
        <w:t xml:space="preserve"> compares the total habitat scores in </w:t>
      </w:r>
      <w:r w:rsidR="006249B7">
        <w:t>Roanoke River Project streams</w:t>
      </w:r>
      <w:r w:rsidR="008D68C7" w:rsidRPr="004B0E0F">
        <w:t xml:space="preserve"> with those from a reference</w:t>
      </w:r>
      <w:r w:rsidR="006249B7">
        <w:t>. The reference for Wolf Creek and the impaired Tinker Creek station was the upstream unimpaired Tinker Creek station (4ATKR014.16)</w:t>
      </w:r>
      <w:r w:rsidR="008D68C7" w:rsidRPr="004B0E0F">
        <w:t xml:space="preserve">. </w:t>
      </w:r>
      <w:r w:rsidR="006249B7">
        <w:t xml:space="preserve">The reference for the impaired Roanoke River stations was the upstream unimpaired Roanoke River station (4AROA212.17). </w:t>
      </w:r>
    </w:p>
    <w:p w14:paraId="4AFCB9E0" w14:textId="4C9DB9F6" w:rsidR="00981E7E" w:rsidRDefault="00F665C9" w:rsidP="00981E7E">
      <w:pPr>
        <w:pStyle w:val="BlockText"/>
      </w:pPr>
      <w:r>
        <w:t>T</w:t>
      </w:r>
      <w:r w:rsidR="00E979CE" w:rsidRPr="004B0E0F">
        <w:t xml:space="preserve">otal habitat scores </w:t>
      </w:r>
      <w:r>
        <w:t xml:space="preserve">averaged 129 </w:t>
      </w:r>
      <w:r w:rsidR="00891433" w:rsidRPr="004B0E0F">
        <w:t xml:space="preserve">in the </w:t>
      </w:r>
      <w:r w:rsidR="002D59B3">
        <w:t xml:space="preserve">stream </w:t>
      </w:r>
      <w:r w:rsidR="00891433" w:rsidRPr="004B0E0F">
        <w:t>reference</w:t>
      </w:r>
      <w:r w:rsidR="004B0E0F">
        <w:t>,</w:t>
      </w:r>
      <w:r w:rsidR="00E979CE" w:rsidRPr="004B0E0F">
        <w:t xml:space="preserve"> </w:t>
      </w:r>
      <w:r w:rsidR="00702E7F">
        <w:t>123 in Wolf Creek, and 100 in Tinker Creek. The impaired Tinker Creek station scored significantly lower than the reference in total habitat (</w:t>
      </w:r>
      <w:r w:rsidR="00702E7F" w:rsidRPr="004B0E0F">
        <w:t>p&lt;0.05 in a one-tailed t-test with unequal variance</w:t>
      </w:r>
      <w:r w:rsidR="00702E7F">
        <w:t xml:space="preserve">), but Wolf Creek was not significantly different. </w:t>
      </w:r>
      <w:r w:rsidR="00981E7E" w:rsidRPr="004B0E0F">
        <w:t xml:space="preserve">Based on VDEQ’s analysis of probabilistic monitoring data (VDEQ, 2017), the colors shown in </w:t>
      </w:r>
      <w:r w:rsidR="00E979CE" w:rsidRPr="004B0E0F">
        <w:fldChar w:fldCharType="begin"/>
      </w:r>
      <w:r w:rsidR="00E979CE" w:rsidRPr="004B0E0F">
        <w:instrText xml:space="preserve"> REF _Ref43473063 \h </w:instrText>
      </w:r>
      <w:r w:rsidR="00867C44" w:rsidRPr="004B0E0F">
        <w:instrText xml:space="preserve"> \* MERGEFORMAT </w:instrText>
      </w:r>
      <w:r w:rsidR="00E979CE" w:rsidRPr="004B0E0F">
        <w:fldChar w:fldCharType="separate"/>
      </w:r>
      <w:r w:rsidR="004A78BF" w:rsidRPr="006249B7">
        <w:t xml:space="preserve">Figure </w:t>
      </w:r>
      <w:r w:rsidR="004A78BF">
        <w:rPr>
          <w:noProof/>
        </w:rPr>
        <w:t>14</w:t>
      </w:r>
      <w:r w:rsidR="00E979CE" w:rsidRPr="004B0E0F">
        <w:fldChar w:fldCharType="end"/>
      </w:r>
      <w:r w:rsidR="00981E7E" w:rsidRPr="004B0E0F">
        <w:t xml:space="preserve"> represent the probability of habitat being a stressor on the aquatic community. </w:t>
      </w:r>
      <w:r w:rsidR="00702E7F">
        <w:t xml:space="preserve">Tinker Creek fell </w:t>
      </w:r>
      <w:r w:rsidR="004B610D">
        <w:t xml:space="preserve">on the border between the </w:t>
      </w:r>
      <w:r w:rsidR="00702E7F">
        <w:t xml:space="preserve">high </w:t>
      </w:r>
      <w:r w:rsidR="004B610D">
        <w:t xml:space="preserve">and medium </w:t>
      </w:r>
      <w:r w:rsidR="00702E7F">
        <w:t>probability range</w:t>
      </w:r>
      <w:r w:rsidR="004B610D">
        <w:t>s</w:t>
      </w:r>
      <w:r w:rsidR="00702E7F">
        <w:t xml:space="preserve"> while Wolf Creek fell in the medium probability range. </w:t>
      </w:r>
    </w:p>
    <w:p w14:paraId="2C0C088E" w14:textId="469E0B0C" w:rsidR="00702E7F" w:rsidRDefault="00702E7F" w:rsidP="00981E7E">
      <w:pPr>
        <w:pStyle w:val="BlockText"/>
      </w:pPr>
      <w:r>
        <w:t>In the Roanoke River</w:t>
      </w:r>
      <w:r w:rsidR="002D59B3">
        <w:t>,</w:t>
      </w:r>
      <w:r>
        <w:t xml:space="preserve"> total habitat scores averaged 147 at the reference station, 137 at station 4AROA202.20, and 173 at station 4AROA198.08. </w:t>
      </w:r>
      <w:r w:rsidR="006A4BA0">
        <w:t>Scores were statistically lower at station 4AROA202.20 than at the reference (</w:t>
      </w:r>
      <w:r w:rsidR="006A4BA0" w:rsidRPr="004B0E0F">
        <w:t>p&lt;0.05 in a one-tailed t-test with unequal variance</w:t>
      </w:r>
      <w:r w:rsidR="006A4BA0">
        <w:t xml:space="preserve">) </w:t>
      </w:r>
      <w:r w:rsidR="002D59B3">
        <w:t>but</w:t>
      </w:r>
      <w:r w:rsidR="006A4BA0">
        <w:t xml:space="preserve"> </w:t>
      </w:r>
      <w:r w:rsidR="002D59B3">
        <w:t xml:space="preserve">these scores were in </w:t>
      </w:r>
      <w:r w:rsidR="006A4BA0">
        <w:t>the low probability range for stressor effects.</w:t>
      </w:r>
      <w:r w:rsidR="002D59B3">
        <w:t xml:space="preserve"> Total habitat scores at station 4AROA198.08 were actually statistically higher (p&lt;0.05 in a two-tailed t-test with unequal variance) than in the reference and in the no probability range for stressor effects.</w:t>
      </w:r>
    </w:p>
    <w:p w14:paraId="77414112" w14:textId="516F663B" w:rsidR="008D68C7" w:rsidRPr="006249B7" w:rsidRDefault="008D68C7" w:rsidP="00981E7E">
      <w:pPr>
        <w:spacing w:before="120" w:after="120" w:line="360" w:lineRule="auto"/>
      </w:pPr>
    </w:p>
    <w:p w14:paraId="3EA1DDBD" w14:textId="2E782D31" w:rsidR="00E979CE" w:rsidRPr="006249B7" w:rsidRDefault="006249B7" w:rsidP="00E979CE">
      <w:pPr>
        <w:keepNext/>
        <w:spacing w:before="120" w:after="120" w:line="360" w:lineRule="auto"/>
      </w:pPr>
      <w:r w:rsidRPr="006249B7">
        <w:rPr>
          <w:noProof/>
        </w:rPr>
        <w:drawing>
          <wp:inline distT="0" distB="0" distL="0" distR="0" wp14:anchorId="04863275" wp14:editId="72EF2C40">
            <wp:extent cx="4564380" cy="2743200"/>
            <wp:effectExtent l="0" t="0" r="7620" b="0"/>
            <wp:docPr id="35" name="Picture 35" descr="Total habitat scores for Roanoke River Project streams compared to a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64380" cy="2743200"/>
                    </a:xfrm>
                    <a:prstGeom prst="rect">
                      <a:avLst/>
                    </a:prstGeom>
                    <a:noFill/>
                  </pic:spPr>
                </pic:pic>
              </a:graphicData>
            </a:graphic>
          </wp:inline>
        </w:drawing>
      </w:r>
    </w:p>
    <w:p w14:paraId="39B1C7D1" w14:textId="16C5C719" w:rsidR="008D68C7" w:rsidRPr="004B0E0F" w:rsidRDefault="00E979CE" w:rsidP="00E979CE">
      <w:pPr>
        <w:pStyle w:val="Caption"/>
      </w:pPr>
      <w:bookmarkStart w:id="64" w:name="_Ref43473063"/>
      <w:bookmarkStart w:id="65" w:name="_Toc162948232"/>
      <w:r w:rsidRPr="006249B7">
        <w:t xml:space="preserve">Figure </w:t>
      </w:r>
      <w:r w:rsidR="00083B7E" w:rsidRPr="006249B7">
        <w:rPr>
          <w:noProof/>
        </w:rPr>
        <w:fldChar w:fldCharType="begin"/>
      </w:r>
      <w:r w:rsidR="00083B7E" w:rsidRPr="006249B7">
        <w:rPr>
          <w:noProof/>
        </w:rPr>
        <w:instrText xml:space="preserve"> SEQ Figure \* ARABIC </w:instrText>
      </w:r>
      <w:r w:rsidR="00083B7E" w:rsidRPr="006249B7">
        <w:rPr>
          <w:noProof/>
        </w:rPr>
        <w:fldChar w:fldCharType="separate"/>
      </w:r>
      <w:r w:rsidR="004A78BF">
        <w:rPr>
          <w:noProof/>
        </w:rPr>
        <w:t>14</w:t>
      </w:r>
      <w:r w:rsidR="00083B7E" w:rsidRPr="006249B7">
        <w:rPr>
          <w:noProof/>
        </w:rPr>
        <w:fldChar w:fldCharType="end"/>
      </w:r>
      <w:bookmarkEnd w:id="64"/>
      <w:r w:rsidRPr="006249B7">
        <w:t xml:space="preserve">. Total habitat scores for </w:t>
      </w:r>
      <w:r w:rsidR="006249B7">
        <w:t>Roanoke River Project streams</w:t>
      </w:r>
      <w:r w:rsidR="004B0E0F" w:rsidRPr="006249B7">
        <w:t xml:space="preserve"> compared to a reference.</w:t>
      </w:r>
      <w:r w:rsidRPr="006249B7">
        <w:t xml:space="preserve"> Streams with a "D" </w:t>
      </w:r>
      <w:r w:rsidR="00DC3F22" w:rsidRPr="006249B7">
        <w:t xml:space="preserve">have </w:t>
      </w:r>
      <w:r w:rsidRPr="006249B7">
        <w:t xml:space="preserve">statistically </w:t>
      </w:r>
      <w:r w:rsidR="00DC3F22" w:rsidRPr="006249B7">
        <w:t xml:space="preserve">lower </w:t>
      </w:r>
      <w:r w:rsidR="00D841B3">
        <w:t xml:space="preserve">(alpha = 0.05) </w:t>
      </w:r>
      <w:r w:rsidR="00DC3F22" w:rsidRPr="006249B7">
        <w:t xml:space="preserve">habitat scores than </w:t>
      </w:r>
      <w:r w:rsidRPr="006249B7">
        <w:t>the reference site. Colors represent the probability that data within that range would be responsible for causing stress.</w:t>
      </w:r>
      <w:r w:rsidR="00F65557" w:rsidRPr="00F65557">
        <w:t xml:space="preserve"> </w:t>
      </w:r>
      <w:r w:rsidR="00F65557" w:rsidRPr="004403BE">
        <w:t xml:space="preserve">The benthic reference was </w:t>
      </w:r>
      <w:r w:rsidR="00F65557">
        <w:t>4AROA212.17 for the Roanoke River and 4ATKR014.16 for Wolf Creek and Tinker Creek.</w:t>
      </w:r>
      <w:bookmarkEnd w:id="65"/>
    </w:p>
    <w:p w14:paraId="10EF8FE1" w14:textId="77777777" w:rsidR="008D68C7" w:rsidRPr="004B0E0F" w:rsidRDefault="008D68C7" w:rsidP="00981E7E">
      <w:pPr>
        <w:spacing w:before="120" w:after="120" w:line="360" w:lineRule="auto"/>
      </w:pPr>
    </w:p>
    <w:p w14:paraId="06CCA616" w14:textId="3C549BEC" w:rsidR="00445808" w:rsidRPr="00D75E4B" w:rsidRDefault="00357186" w:rsidP="00981E7E">
      <w:pPr>
        <w:spacing w:before="120" w:after="120" w:line="360" w:lineRule="auto"/>
      </w:pPr>
      <w:r w:rsidRPr="00D75E4B">
        <w:fldChar w:fldCharType="begin"/>
      </w:r>
      <w:r w:rsidRPr="00D75E4B">
        <w:instrText xml:space="preserve"> REF _Ref43474241 \h </w:instrText>
      </w:r>
      <w:r w:rsidR="00867C44" w:rsidRPr="00D75E4B">
        <w:instrText xml:space="preserve"> \* MERGEFORMAT </w:instrText>
      </w:r>
      <w:r w:rsidRPr="00D75E4B">
        <w:fldChar w:fldCharType="separate"/>
      </w:r>
      <w:r w:rsidR="004A78BF" w:rsidRPr="00D75E4B">
        <w:t xml:space="preserve">Figure </w:t>
      </w:r>
      <w:r w:rsidR="004A78BF">
        <w:rPr>
          <w:noProof/>
        </w:rPr>
        <w:t>15</w:t>
      </w:r>
      <w:r w:rsidRPr="00D75E4B">
        <w:fldChar w:fldCharType="end"/>
      </w:r>
      <w:r w:rsidR="00445808" w:rsidRPr="00D75E4B">
        <w:t xml:space="preserve"> compares the individual habitat metrics in each impaired stream with metric scores from </w:t>
      </w:r>
      <w:r w:rsidR="00582129">
        <w:t>a</w:t>
      </w:r>
      <w:r w:rsidR="00445808" w:rsidRPr="00D75E4B">
        <w:t xml:space="preserve"> reference station</w:t>
      </w:r>
      <w:r w:rsidR="00981E7E" w:rsidRPr="00D75E4B">
        <w:t xml:space="preserve">. </w:t>
      </w:r>
      <w:r w:rsidR="00582129" w:rsidRPr="004403BE">
        <w:t xml:space="preserve">The benthic reference was </w:t>
      </w:r>
      <w:r w:rsidR="00582129">
        <w:t>4AROA212.17 for the Roanoke River and 4ATKR014.16 for Wolf Creek and Tinker Creek.</w:t>
      </w:r>
      <w:r w:rsidR="00582129" w:rsidRPr="00D75E4B">
        <w:t xml:space="preserve"> </w:t>
      </w:r>
      <w:r w:rsidR="00445808" w:rsidRPr="00D75E4B">
        <w:t xml:space="preserve">Statistical differences were determined using a </w:t>
      </w:r>
      <w:r w:rsidR="001276AE" w:rsidRPr="00D75E4B">
        <w:t>on</w:t>
      </w:r>
      <w:r w:rsidR="00445808" w:rsidRPr="00D75E4B">
        <w:t>e</w:t>
      </w:r>
      <w:r w:rsidR="001276AE" w:rsidRPr="00D75E4B">
        <w:t xml:space="preserve">-tailed </w:t>
      </w:r>
      <w:r w:rsidR="00981E7E" w:rsidRPr="00D75E4B">
        <w:t>t-test with unequal variances</w:t>
      </w:r>
      <w:r w:rsidR="00445808" w:rsidRPr="00D75E4B">
        <w:t xml:space="preserve"> and </w:t>
      </w:r>
      <w:r w:rsidR="00981E7E" w:rsidRPr="00D75E4B">
        <w:t>alpha = 0.05</w:t>
      </w:r>
      <w:r w:rsidR="00445808" w:rsidRPr="00D75E4B">
        <w:t>.</w:t>
      </w:r>
      <w:r w:rsidR="00981E7E" w:rsidRPr="00D75E4B">
        <w:t xml:space="preserve"> </w:t>
      </w:r>
      <w:bookmarkStart w:id="66" w:name="_Hlk106109242"/>
      <w:r w:rsidR="00D75E4B">
        <w:t xml:space="preserve">Individual metrics are generally categorized into those that </w:t>
      </w:r>
      <w:r w:rsidR="00445808" w:rsidRPr="00D75E4B">
        <w:t>indicate degraded bank conditions (bank stability, channel alteration, bank vegetation, or riparian vegetation)</w:t>
      </w:r>
      <w:r w:rsidR="00D75E4B">
        <w:t>,</w:t>
      </w:r>
      <w:r w:rsidR="00445808" w:rsidRPr="00D75E4B">
        <w:t xml:space="preserve"> </w:t>
      </w:r>
      <w:r w:rsidR="00D75E4B">
        <w:t xml:space="preserve">those that indicate </w:t>
      </w:r>
      <w:r w:rsidR="00445808" w:rsidRPr="00D75E4B">
        <w:t>degraded instream habitat conditions (substrate, embeddedness, or sediment)</w:t>
      </w:r>
      <w:r w:rsidR="00D75E4B">
        <w:t xml:space="preserve">, and those that </w:t>
      </w:r>
      <w:r w:rsidR="00445808" w:rsidRPr="00D75E4B">
        <w:t xml:space="preserve">indicate degraded hydrologic conditions (flow, riffles, or velocity/depth). </w:t>
      </w:r>
      <w:bookmarkEnd w:id="66"/>
    </w:p>
    <w:p w14:paraId="3D48A843" w14:textId="02F95ECF" w:rsidR="00445808" w:rsidRPr="00D75E4B" w:rsidRDefault="00582129" w:rsidP="00445808">
      <w:pPr>
        <w:pStyle w:val="BlockText"/>
        <w:numPr>
          <w:ilvl w:val="0"/>
          <w:numId w:val="4"/>
        </w:numPr>
      </w:pPr>
      <w:r>
        <w:rPr>
          <w:u w:val="single"/>
        </w:rPr>
        <w:t>Wolf Creek</w:t>
      </w:r>
      <w:r w:rsidR="00445808" w:rsidRPr="00D75E4B">
        <w:t xml:space="preserve"> – </w:t>
      </w:r>
      <w:r w:rsidR="00532741" w:rsidRPr="00D75E4B">
        <w:t xml:space="preserve">In </w:t>
      </w:r>
      <w:r>
        <w:t>Wolf Creek</w:t>
      </w:r>
      <w:r w:rsidR="00D75E4B">
        <w:t xml:space="preserve">, </w:t>
      </w:r>
      <w:r w:rsidR="00532741" w:rsidRPr="00D75E4B">
        <w:t xml:space="preserve">habitat metrics for </w:t>
      </w:r>
      <w:r w:rsidR="00972308">
        <w:t xml:space="preserve">bank </w:t>
      </w:r>
      <w:r w:rsidR="008037CC">
        <w:t>stability, embeddedness, flow, and velocity/depth</w:t>
      </w:r>
      <w:r w:rsidR="00532741" w:rsidRPr="00D75E4B">
        <w:t xml:space="preserve"> were significantly lower than the reference. These lower metric scores represent sediment sources from degraded bank habitat </w:t>
      </w:r>
      <w:r w:rsidR="008037CC">
        <w:t xml:space="preserve">(bank stability metric) </w:t>
      </w:r>
      <w:r w:rsidR="00532741" w:rsidRPr="00D75E4B">
        <w:t>and indications of deposited sediment impacts within the stream channel (</w:t>
      </w:r>
      <w:r w:rsidR="008037CC">
        <w:t>embeddedness</w:t>
      </w:r>
      <w:r w:rsidR="00532741" w:rsidRPr="00D75E4B">
        <w:t xml:space="preserve"> metric).</w:t>
      </w:r>
      <w:r w:rsidR="008037CC">
        <w:t xml:space="preserve"> Hydrological conditions may also be limiting benthic health, as flow and velocity/depth metrics were significantly lower than in the reference.</w:t>
      </w:r>
      <w:r w:rsidR="00532741" w:rsidRPr="00D75E4B">
        <w:t xml:space="preserve"> </w:t>
      </w:r>
    </w:p>
    <w:p w14:paraId="6F1A575E" w14:textId="570FBCDA" w:rsidR="00445808" w:rsidRDefault="008037CC" w:rsidP="00445808">
      <w:pPr>
        <w:pStyle w:val="BlockText"/>
        <w:numPr>
          <w:ilvl w:val="0"/>
          <w:numId w:val="4"/>
        </w:numPr>
      </w:pPr>
      <w:r>
        <w:rPr>
          <w:u w:val="single"/>
        </w:rPr>
        <w:t>Tinker Creek</w:t>
      </w:r>
      <w:r w:rsidR="00445808" w:rsidRPr="00D75E4B">
        <w:t xml:space="preserve"> – </w:t>
      </w:r>
      <w:r w:rsidR="00532741" w:rsidRPr="00D75E4B">
        <w:t xml:space="preserve">In </w:t>
      </w:r>
      <w:r>
        <w:t xml:space="preserve">Tinker Creek, </w:t>
      </w:r>
      <w:r w:rsidR="00532741" w:rsidRPr="00D75E4B">
        <w:t xml:space="preserve">habitat metrics for </w:t>
      </w:r>
      <w:r>
        <w:t xml:space="preserve">bank stability, alteration, </w:t>
      </w:r>
      <w:r w:rsidR="00D75E4B">
        <w:t xml:space="preserve">substrate, </w:t>
      </w:r>
      <w:r>
        <w:t xml:space="preserve">embeddedness, and </w:t>
      </w:r>
      <w:r w:rsidR="00D75E4B">
        <w:t xml:space="preserve">velocity/depth </w:t>
      </w:r>
      <w:r w:rsidR="00532741" w:rsidRPr="00D75E4B">
        <w:t xml:space="preserve">were significantly lower than the reference. </w:t>
      </w:r>
      <w:r w:rsidR="00421DF6">
        <w:t>T</w:t>
      </w:r>
      <w:r w:rsidR="00532741" w:rsidRPr="00D75E4B">
        <w:t xml:space="preserve">hese lower metric scores represent </w:t>
      </w:r>
      <w:r>
        <w:t>sediment sources from degraded bank habitat (bank stability and alteration) and indications of d</w:t>
      </w:r>
      <w:r w:rsidR="00532741" w:rsidRPr="00D75E4B">
        <w:t xml:space="preserve">eposited sediment impacts </w:t>
      </w:r>
      <w:r>
        <w:t xml:space="preserve">within the stream channel </w:t>
      </w:r>
      <w:r w:rsidR="00421DF6">
        <w:t>(substrate</w:t>
      </w:r>
      <w:r>
        <w:t xml:space="preserve"> and embeddedness metrics</w:t>
      </w:r>
      <w:r w:rsidR="00421DF6">
        <w:t>)</w:t>
      </w:r>
      <w:r>
        <w:t xml:space="preserve">. Low velocity/depth scores may also indicate limited </w:t>
      </w:r>
      <w:r w:rsidR="005D055C">
        <w:t xml:space="preserve">hydrologic habitat. </w:t>
      </w:r>
    </w:p>
    <w:p w14:paraId="11CCE93D" w14:textId="6A40F7C7" w:rsidR="005D055C" w:rsidRPr="00D75E4B" w:rsidRDefault="005D055C" w:rsidP="00445808">
      <w:pPr>
        <w:pStyle w:val="BlockText"/>
        <w:numPr>
          <w:ilvl w:val="0"/>
          <w:numId w:val="4"/>
        </w:numPr>
      </w:pPr>
      <w:r>
        <w:rPr>
          <w:u w:val="single"/>
        </w:rPr>
        <w:t xml:space="preserve">Roanoke River </w:t>
      </w:r>
      <w:r>
        <w:t>– At the primary impaired station on the Roanoke River (4AROA198.08), habitat conditions were very good. All habitat metrics at this location scored higher than the reference station. This indicate</w:t>
      </w:r>
      <w:r w:rsidR="002C1142">
        <w:t>s</w:t>
      </w:r>
      <w:r>
        <w:t xml:space="preserve"> that habitat conditions are not </w:t>
      </w:r>
      <w:r w:rsidR="002C1142">
        <w:t xml:space="preserve">likely </w:t>
      </w:r>
      <w:r>
        <w:t>a cause of the benthic impairment</w:t>
      </w:r>
      <w:r w:rsidR="002C1142">
        <w:t xml:space="preserve"> at this location</w:t>
      </w:r>
      <w:r>
        <w:t xml:space="preserve">. </w:t>
      </w:r>
      <w:r w:rsidR="00BA01FC">
        <w:t>At station 4AROA202.20, habitat metrics for alteration, riparian vegetation, and embeddedness were significantly lower than the reference station. Like Wolf Creek and Tinker Creek, t</w:t>
      </w:r>
      <w:r w:rsidR="00BA01FC" w:rsidRPr="00D75E4B">
        <w:t xml:space="preserve">hese lower metric scores </w:t>
      </w:r>
      <w:r w:rsidR="00BA01FC">
        <w:t>indicate</w:t>
      </w:r>
      <w:r w:rsidR="00BA01FC" w:rsidRPr="00D75E4B">
        <w:t xml:space="preserve"> </w:t>
      </w:r>
      <w:r w:rsidR="00BA01FC">
        <w:t>sediment sources from degraded bank habitat (alteration and riparian vegetation metrics) and indications of d</w:t>
      </w:r>
      <w:r w:rsidR="00BA01FC" w:rsidRPr="00D75E4B">
        <w:t xml:space="preserve">eposited sediment impacts </w:t>
      </w:r>
      <w:r w:rsidR="00BA01FC">
        <w:t>within the stream channel (embeddedness metric).</w:t>
      </w:r>
    </w:p>
    <w:p w14:paraId="23053BA2" w14:textId="43188D8E" w:rsidR="00357186" w:rsidRPr="00D75E4B" w:rsidRDefault="00F53BFC" w:rsidP="00357186">
      <w:pPr>
        <w:keepNext/>
        <w:spacing w:before="120" w:after="120" w:line="360" w:lineRule="auto"/>
      </w:pPr>
      <w:r>
        <w:rPr>
          <w:noProof/>
        </w:rPr>
        <w:drawing>
          <wp:inline distT="0" distB="0" distL="0" distR="0" wp14:anchorId="19C5D06F" wp14:editId="794AEA70">
            <wp:extent cx="4090922" cy="7397750"/>
            <wp:effectExtent l="0" t="0" r="5080" b="0"/>
            <wp:docPr id="23" name="Picture 23" descr="Habitat metric scores for Roanoke River Project streams compared to a reference. Metrics with a &quot;D&quot; are statistically lower than the reference site. The benthic reference was 4AROA212.17 for the Roanoke River and 4ATKR014.16 for Wolf Creek and Tinker C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03122" cy="7419811"/>
                    </a:xfrm>
                    <a:prstGeom prst="rect">
                      <a:avLst/>
                    </a:prstGeom>
                    <a:noFill/>
                  </pic:spPr>
                </pic:pic>
              </a:graphicData>
            </a:graphic>
          </wp:inline>
        </w:drawing>
      </w:r>
    </w:p>
    <w:p w14:paraId="2D5D6789" w14:textId="2712299E" w:rsidR="00C07AF9" w:rsidRPr="00D75E4B" w:rsidRDefault="00357186" w:rsidP="00357186">
      <w:pPr>
        <w:pStyle w:val="Caption"/>
      </w:pPr>
      <w:bookmarkStart w:id="67" w:name="_Ref43474241"/>
      <w:bookmarkStart w:id="68" w:name="_Toc162948233"/>
      <w:r w:rsidRPr="00D75E4B">
        <w:t xml:space="preserve">Figure </w:t>
      </w:r>
      <w:r w:rsidR="00083B7E" w:rsidRPr="00D75E4B">
        <w:rPr>
          <w:noProof/>
        </w:rPr>
        <w:fldChar w:fldCharType="begin"/>
      </w:r>
      <w:r w:rsidR="00083B7E" w:rsidRPr="00D75E4B">
        <w:rPr>
          <w:noProof/>
        </w:rPr>
        <w:instrText xml:space="preserve"> SEQ Figure \* ARABIC </w:instrText>
      </w:r>
      <w:r w:rsidR="00083B7E" w:rsidRPr="00D75E4B">
        <w:rPr>
          <w:noProof/>
        </w:rPr>
        <w:fldChar w:fldCharType="separate"/>
      </w:r>
      <w:r w:rsidR="004A78BF">
        <w:rPr>
          <w:noProof/>
        </w:rPr>
        <w:t>15</w:t>
      </w:r>
      <w:r w:rsidR="00083B7E" w:rsidRPr="00D75E4B">
        <w:rPr>
          <w:noProof/>
        </w:rPr>
        <w:fldChar w:fldCharType="end"/>
      </w:r>
      <w:bookmarkEnd w:id="67"/>
      <w:r w:rsidRPr="00D75E4B">
        <w:t xml:space="preserve">. Habitat metric scores for </w:t>
      </w:r>
      <w:r w:rsidR="00582129">
        <w:t xml:space="preserve">Roanoke River Project streams </w:t>
      </w:r>
      <w:r w:rsidR="00D75E4B" w:rsidRPr="00D75E4B">
        <w:t>compared to a reference.</w:t>
      </w:r>
      <w:r w:rsidRPr="00D75E4B">
        <w:t xml:space="preserve"> Metrics with a "D" are statistically </w:t>
      </w:r>
      <w:r w:rsidR="0046488F" w:rsidRPr="00D75E4B">
        <w:t xml:space="preserve">lower than </w:t>
      </w:r>
      <w:r w:rsidRPr="00D75E4B">
        <w:t>the reference site.</w:t>
      </w:r>
      <w:r w:rsidR="00582129" w:rsidRPr="00582129">
        <w:t xml:space="preserve"> </w:t>
      </w:r>
      <w:r w:rsidR="00582129" w:rsidRPr="004403BE">
        <w:t xml:space="preserve">The benthic reference was </w:t>
      </w:r>
      <w:r w:rsidR="00582129">
        <w:t>4AROA212.17 for the Roanoke River and 4ATKR014.16 for Wolf Creek and Tinker Creek.</w:t>
      </w:r>
      <w:bookmarkEnd w:id="68"/>
    </w:p>
    <w:p w14:paraId="0454138B" w14:textId="2535348C" w:rsidR="002E0789" w:rsidRPr="004C355A" w:rsidRDefault="002E0789" w:rsidP="002E0789">
      <w:pPr>
        <w:pStyle w:val="BlockText"/>
      </w:pPr>
      <w:r w:rsidRPr="004C355A">
        <w:t xml:space="preserve">As a part of TMDL monitoring, VDEQ conducted a detailed physical habitat assessment of the impaired streams </w:t>
      </w:r>
      <w:r w:rsidR="00800E39">
        <w:t xml:space="preserve">and several tributaries </w:t>
      </w:r>
      <w:r w:rsidRPr="004C355A">
        <w:t xml:space="preserve">according to EPA methods for </w:t>
      </w:r>
      <w:r w:rsidRPr="004C355A">
        <w:rPr>
          <w:i/>
        </w:rPr>
        <w:t xml:space="preserve">Quantifying Physical Habitat in </w:t>
      </w:r>
      <w:proofErr w:type="spellStart"/>
      <w:r w:rsidRPr="004C355A">
        <w:rPr>
          <w:i/>
        </w:rPr>
        <w:t>Wadeable</w:t>
      </w:r>
      <w:proofErr w:type="spellEnd"/>
      <w:r w:rsidRPr="004C355A">
        <w:rPr>
          <w:i/>
        </w:rPr>
        <w:t xml:space="preserve"> Streams</w:t>
      </w:r>
      <w:r w:rsidRPr="004C355A">
        <w:t xml:space="preserve"> (Kaufmann </w:t>
      </w:r>
      <w:r w:rsidRPr="004C355A">
        <w:rPr>
          <w:i/>
        </w:rPr>
        <w:t>et al</w:t>
      </w:r>
      <w:r w:rsidRPr="004C355A">
        <w:t>., 1999).  This analysis involved the measurement of channel dimensions and substrate composition at numerous transects within a 150 to 800</w:t>
      </w:r>
      <w:r w:rsidR="00B33D10" w:rsidRPr="004C355A">
        <w:t>-</w:t>
      </w:r>
      <w:r w:rsidRPr="004C355A">
        <w:t xml:space="preserve">m stream reach surrounding the benthic monitoring station. The outcome of this analysis is the calculation of a log relative bed stability index (LRBS). The LRBS is the ratio between the </w:t>
      </w:r>
      <w:r w:rsidR="000526E2" w:rsidRPr="004C355A">
        <w:t xml:space="preserve">observed </w:t>
      </w:r>
      <w:r w:rsidR="001276AE" w:rsidRPr="004C355A">
        <w:t xml:space="preserve">size </w:t>
      </w:r>
      <w:r w:rsidR="000526E2" w:rsidRPr="004C355A">
        <w:t xml:space="preserve">distribution of in-stream sediments and the </w:t>
      </w:r>
      <w:r w:rsidRPr="004C355A">
        <w:t xml:space="preserve">predicted sediment size distribution </w:t>
      </w:r>
      <w:r w:rsidR="000526E2" w:rsidRPr="004C355A">
        <w:t xml:space="preserve">based on </w:t>
      </w:r>
      <w:proofErr w:type="spellStart"/>
      <w:r w:rsidR="000526E2" w:rsidRPr="004C355A">
        <w:t>bankfull</w:t>
      </w:r>
      <w:proofErr w:type="spellEnd"/>
      <w:r w:rsidR="000526E2" w:rsidRPr="004C355A">
        <w:t xml:space="preserve"> depth. </w:t>
      </w:r>
      <w:r w:rsidRPr="004C355A">
        <w:t xml:space="preserve">LRBS values near zero indicate that the stream is stable. Large negative values indicate that the stream is unstable and depositing excess sediment. Large positive numbers, while less common, indicate that the stream is unstable and sediment starved. In an analysis of streams across the commonwealth, VDEQ has determined that LRBS scores between -1.0 and -1.5 have a medium probability of stressing aquatic life, and LRBS scores &lt;-1.5 have a high probability of stressing aquatic life (VDEQ, 2017). </w:t>
      </w:r>
      <w:r w:rsidR="001276AE" w:rsidRPr="004C355A">
        <w:t xml:space="preserve">LRBS scores that are too high can also stress benthic macroinvertebrates, and scores &gt;0.5 are also in </w:t>
      </w:r>
      <w:r w:rsidR="00095305">
        <w:t xml:space="preserve">the </w:t>
      </w:r>
      <w:r w:rsidR="001276AE" w:rsidRPr="004C355A">
        <w:t>medium probability range for stress</w:t>
      </w:r>
      <w:r w:rsidR="00095305">
        <w:t>or</w:t>
      </w:r>
      <w:r w:rsidR="001276AE" w:rsidRPr="004C355A">
        <w:t xml:space="preserve"> effects.</w:t>
      </w:r>
    </w:p>
    <w:p w14:paraId="764899CD" w14:textId="631AFA38" w:rsidR="00800E39" w:rsidRDefault="000526E2" w:rsidP="002E0789">
      <w:pPr>
        <w:pStyle w:val="BlockText"/>
      </w:pPr>
      <w:r w:rsidRPr="004C355A">
        <w:fldChar w:fldCharType="begin"/>
      </w:r>
      <w:r w:rsidRPr="004C355A">
        <w:instrText xml:space="preserve"> REF _Ref43718993 \h </w:instrText>
      </w:r>
      <w:r w:rsidR="00867C44" w:rsidRPr="004C355A">
        <w:instrText xml:space="preserve"> \* MERGEFORMAT </w:instrText>
      </w:r>
      <w:r w:rsidRPr="004C355A">
        <w:fldChar w:fldCharType="separate"/>
      </w:r>
      <w:r w:rsidR="004A78BF" w:rsidRPr="004C355A">
        <w:t xml:space="preserve">Table </w:t>
      </w:r>
      <w:r w:rsidR="004A78BF">
        <w:rPr>
          <w:noProof/>
        </w:rPr>
        <w:t>8</w:t>
      </w:r>
      <w:r w:rsidRPr="004C355A">
        <w:fldChar w:fldCharType="end"/>
      </w:r>
      <w:r w:rsidR="002E0789" w:rsidRPr="004C355A">
        <w:t xml:space="preserve"> shows the results of relative bed stability analysis in </w:t>
      </w:r>
      <w:r w:rsidR="00800E39">
        <w:t>Roanoke River Project streams</w:t>
      </w:r>
      <w:r w:rsidR="002E0789" w:rsidRPr="004C355A">
        <w:t xml:space="preserve">. </w:t>
      </w:r>
      <w:r w:rsidR="00800E39">
        <w:t>Wolf Creek exhibited an LRBS score in the medium probability range, indicating that deposited sediment may be a stressor in this stream. Embeddedness and percent sand and fines were both above 50% at the impaired Wolf Creek station, further supporting deposited sediment as a stressor.</w:t>
      </w:r>
    </w:p>
    <w:p w14:paraId="75828204" w14:textId="664CE842" w:rsidR="00D546B5" w:rsidRDefault="00800E39" w:rsidP="002E0789">
      <w:pPr>
        <w:pStyle w:val="BlockText"/>
      </w:pPr>
      <w:r>
        <w:t xml:space="preserve">In Tinker Creek, LRBS scores in the medium and high </w:t>
      </w:r>
      <w:r w:rsidR="00D546B5">
        <w:t xml:space="preserve">probability range were also observed. However, scores were worse at the upstream unimpaired stations on Tinker Creek (4ATKR010.54 and 4ATKR015.40) than at the downstream impaired station (4ATKR000.69). This finding is inconsistent with benthic scores and total habitat scores at these stations, which improved moving </w:t>
      </w:r>
      <w:r w:rsidR="00095F2D">
        <w:t xml:space="preserve">from downstream to </w:t>
      </w:r>
      <w:r w:rsidR="00D546B5">
        <w:t xml:space="preserve">upstream. </w:t>
      </w:r>
      <w:r w:rsidR="00095F2D">
        <w:t xml:space="preserve">It is possible that the LRBS methodology is less accurate for urban streams that frequently cycle through periods of deposition and scouring. </w:t>
      </w:r>
      <w:r w:rsidR="00BF093E">
        <w:t xml:space="preserve">This is supported by high variability in LRBS scores over time in Tinker Creek. For station 4ATKR010.54, which was monitored in 2007 and 2008, LRBS scores ranged from the no probability range of -0.40 to the medium probability range of -1.33. </w:t>
      </w:r>
    </w:p>
    <w:p w14:paraId="287E6469" w14:textId="145DD7A2" w:rsidR="002E0789" w:rsidRDefault="00BF093E" w:rsidP="002E0789">
      <w:pPr>
        <w:pStyle w:val="BlockText"/>
      </w:pPr>
      <w:r>
        <w:t xml:space="preserve">In the Roanoke River, the LRBS score was in the medium probability range for stressor effects at the impaired 4AROA198.08 station. At this station, the LRBS score was positive, indicating </w:t>
      </w:r>
      <w:r w:rsidR="00FE6529">
        <w:t xml:space="preserve">sediment starved conditions. This could be due to the upstream Niagara Dam retaining sediment from downstream reaches. </w:t>
      </w:r>
      <w:r w:rsidR="00F81C14">
        <w:t>LRBS scores at a</w:t>
      </w:r>
      <w:r>
        <w:t>ll other upstream stations were in the no probability range for stressor effects</w:t>
      </w:r>
      <w:r w:rsidR="00F81C14">
        <w:t>. Percentages of sand and fines</w:t>
      </w:r>
      <w:r w:rsidR="002D0C50" w:rsidRPr="004C355A">
        <w:t xml:space="preserve"> </w:t>
      </w:r>
      <w:r w:rsidR="00F81C14">
        <w:t xml:space="preserve">and embeddedness were below 50% at all Roanoke River stations. </w:t>
      </w:r>
      <w:r w:rsidR="002E0789" w:rsidRPr="004C355A">
        <w:t xml:space="preserve"> </w:t>
      </w:r>
    </w:p>
    <w:p w14:paraId="6F261A58" w14:textId="77777777" w:rsidR="00F65557" w:rsidRPr="004C355A" w:rsidRDefault="00F65557" w:rsidP="00F35736">
      <w:pPr>
        <w:pStyle w:val="BlockText"/>
        <w:spacing w:before="0" w:after="0" w:line="240" w:lineRule="auto"/>
      </w:pPr>
    </w:p>
    <w:p w14:paraId="61870A99" w14:textId="410661AA" w:rsidR="002E0789" w:rsidRPr="004C355A" w:rsidRDefault="002E0789" w:rsidP="002E0789">
      <w:pPr>
        <w:pStyle w:val="Caption"/>
      </w:pPr>
      <w:bookmarkStart w:id="69" w:name="_Ref43718993"/>
      <w:bookmarkStart w:id="70" w:name="_Toc162948275"/>
      <w:r w:rsidRPr="004C355A">
        <w:t xml:space="preserve">Table </w:t>
      </w:r>
      <w:r w:rsidR="00083B7E" w:rsidRPr="004C355A">
        <w:rPr>
          <w:noProof/>
        </w:rPr>
        <w:fldChar w:fldCharType="begin"/>
      </w:r>
      <w:r w:rsidR="00083B7E" w:rsidRPr="004C355A">
        <w:rPr>
          <w:noProof/>
        </w:rPr>
        <w:instrText xml:space="preserve"> SEQ Table \* ARABIC </w:instrText>
      </w:r>
      <w:r w:rsidR="00083B7E" w:rsidRPr="004C355A">
        <w:rPr>
          <w:noProof/>
        </w:rPr>
        <w:fldChar w:fldCharType="separate"/>
      </w:r>
      <w:r w:rsidR="004A78BF">
        <w:rPr>
          <w:noProof/>
        </w:rPr>
        <w:t>8</w:t>
      </w:r>
      <w:r w:rsidR="00083B7E" w:rsidRPr="004C355A">
        <w:rPr>
          <w:noProof/>
        </w:rPr>
        <w:fldChar w:fldCharType="end"/>
      </w:r>
      <w:bookmarkEnd w:id="69"/>
      <w:r w:rsidRPr="004C355A">
        <w:t xml:space="preserve">. Log relative bed stability index for </w:t>
      </w:r>
      <w:r w:rsidR="00F65557">
        <w:t>Roanoke River Project streams</w:t>
      </w:r>
      <w:r w:rsidRPr="004C355A">
        <w:t>.</w:t>
      </w:r>
      <w:bookmarkEnd w:id="70"/>
    </w:p>
    <w:tbl>
      <w:tblPr>
        <w:tblW w:w="9393"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3"/>
        <w:gridCol w:w="1620"/>
        <w:gridCol w:w="1350"/>
        <w:gridCol w:w="1080"/>
        <w:gridCol w:w="990"/>
        <w:gridCol w:w="1440"/>
        <w:gridCol w:w="1530"/>
      </w:tblGrid>
      <w:tr w:rsidR="004346A7" w:rsidRPr="004C355A" w14:paraId="7AECE2D1" w14:textId="77777777" w:rsidTr="004346A7">
        <w:trPr>
          <w:trHeight w:val="732"/>
        </w:trPr>
        <w:tc>
          <w:tcPr>
            <w:tcW w:w="1383" w:type="dxa"/>
            <w:shd w:val="clear" w:color="auto" w:fill="D9D9D9" w:themeFill="background1" w:themeFillShade="D9"/>
            <w:vAlign w:val="center"/>
          </w:tcPr>
          <w:p w14:paraId="6AC09F67" w14:textId="1DEF8C06" w:rsidR="004346A7" w:rsidRPr="004C355A" w:rsidRDefault="004346A7" w:rsidP="00DE4648">
            <w:pPr>
              <w:autoSpaceDE w:val="0"/>
              <w:autoSpaceDN w:val="0"/>
              <w:adjustRightInd w:val="0"/>
              <w:jc w:val="center"/>
              <w:rPr>
                <w:rFonts w:ascii="Arial Narrow" w:hAnsi="Arial Narrow" w:cs="Calibri"/>
                <w:b/>
                <w:bCs/>
                <w:color w:val="000000"/>
                <w:sz w:val="20"/>
                <w:szCs w:val="20"/>
              </w:rPr>
            </w:pPr>
            <w:r>
              <w:rPr>
                <w:rFonts w:ascii="Arial Narrow" w:hAnsi="Arial Narrow" w:cs="Calibri"/>
                <w:b/>
                <w:bCs/>
                <w:color w:val="000000"/>
                <w:sz w:val="20"/>
                <w:szCs w:val="20"/>
              </w:rPr>
              <w:t>Watershed</w:t>
            </w:r>
          </w:p>
        </w:tc>
        <w:tc>
          <w:tcPr>
            <w:tcW w:w="1620" w:type="dxa"/>
            <w:shd w:val="clear" w:color="auto" w:fill="D9D9D9" w:themeFill="background1" w:themeFillShade="D9"/>
            <w:vAlign w:val="center"/>
          </w:tcPr>
          <w:p w14:paraId="1130EA9B" w14:textId="031CA93D" w:rsidR="004346A7" w:rsidRPr="004C355A" w:rsidRDefault="004346A7" w:rsidP="004346A7">
            <w:pPr>
              <w:autoSpaceDE w:val="0"/>
              <w:autoSpaceDN w:val="0"/>
              <w:adjustRightInd w:val="0"/>
              <w:jc w:val="center"/>
              <w:rPr>
                <w:rFonts w:ascii="Arial Narrow" w:hAnsi="Arial Narrow" w:cs="Calibri"/>
                <w:b/>
                <w:bCs/>
                <w:color w:val="000000"/>
                <w:sz w:val="20"/>
                <w:szCs w:val="20"/>
              </w:rPr>
            </w:pPr>
            <w:r>
              <w:rPr>
                <w:rFonts w:ascii="Arial Narrow" w:hAnsi="Arial Narrow" w:cs="Calibri"/>
                <w:b/>
                <w:bCs/>
                <w:color w:val="000000"/>
                <w:sz w:val="20"/>
                <w:szCs w:val="20"/>
              </w:rPr>
              <w:t>Stream</w:t>
            </w:r>
          </w:p>
        </w:tc>
        <w:tc>
          <w:tcPr>
            <w:tcW w:w="1350" w:type="dxa"/>
            <w:shd w:val="clear" w:color="auto" w:fill="D9D9D9" w:themeFill="background1" w:themeFillShade="D9"/>
            <w:vAlign w:val="center"/>
          </w:tcPr>
          <w:p w14:paraId="7AB016E5" w14:textId="3F3C8E6E" w:rsidR="004346A7" w:rsidRPr="004C355A" w:rsidRDefault="004346A7" w:rsidP="00DE4648">
            <w:pPr>
              <w:autoSpaceDE w:val="0"/>
              <w:autoSpaceDN w:val="0"/>
              <w:adjustRightInd w:val="0"/>
              <w:jc w:val="center"/>
              <w:rPr>
                <w:rFonts w:ascii="Arial Narrow" w:hAnsi="Arial Narrow" w:cs="Calibri"/>
                <w:b/>
                <w:bCs/>
                <w:color w:val="000000"/>
                <w:sz w:val="20"/>
                <w:szCs w:val="20"/>
              </w:rPr>
            </w:pPr>
            <w:r w:rsidRPr="004C355A">
              <w:rPr>
                <w:rFonts w:ascii="Arial Narrow" w:hAnsi="Arial Narrow" w:cs="Calibri"/>
                <w:b/>
                <w:bCs/>
                <w:color w:val="000000"/>
                <w:sz w:val="20"/>
                <w:szCs w:val="20"/>
              </w:rPr>
              <w:t>Station</w:t>
            </w:r>
          </w:p>
        </w:tc>
        <w:tc>
          <w:tcPr>
            <w:tcW w:w="1080" w:type="dxa"/>
            <w:shd w:val="clear" w:color="auto" w:fill="D9D9D9" w:themeFill="background1" w:themeFillShade="D9"/>
            <w:vAlign w:val="center"/>
          </w:tcPr>
          <w:p w14:paraId="506B3F49" w14:textId="3A330AB2" w:rsidR="004346A7" w:rsidRPr="004C355A" w:rsidRDefault="004346A7" w:rsidP="00DE4648">
            <w:pPr>
              <w:autoSpaceDE w:val="0"/>
              <w:autoSpaceDN w:val="0"/>
              <w:adjustRightInd w:val="0"/>
              <w:jc w:val="center"/>
              <w:rPr>
                <w:rFonts w:ascii="Arial Narrow" w:hAnsi="Arial Narrow" w:cs="Calibri"/>
                <w:b/>
                <w:bCs/>
                <w:color w:val="000000"/>
                <w:sz w:val="20"/>
                <w:szCs w:val="20"/>
              </w:rPr>
            </w:pPr>
            <w:r w:rsidRPr="004C355A">
              <w:rPr>
                <w:rFonts w:ascii="Arial Narrow" w:hAnsi="Arial Narrow" w:cs="Calibri"/>
                <w:b/>
                <w:bCs/>
                <w:color w:val="000000"/>
                <w:sz w:val="20"/>
                <w:szCs w:val="20"/>
              </w:rPr>
              <w:t>Date</w:t>
            </w:r>
          </w:p>
        </w:tc>
        <w:tc>
          <w:tcPr>
            <w:tcW w:w="990" w:type="dxa"/>
            <w:shd w:val="clear" w:color="auto" w:fill="D9D9D9" w:themeFill="background1" w:themeFillShade="D9"/>
            <w:vAlign w:val="center"/>
          </w:tcPr>
          <w:p w14:paraId="698DCFCB" w14:textId="284B9098" w:rsidR="004346A7" w:rsidRPr="004C355A" w:rsidRDefault="004346A7" w:rsidP="00DE4648">
            <w:pPr>
              <w:autoSpaceDE w:val="0"/>
              <w:autoSpaceDN w:val="0"/>
              <w:adjustRightInd w:val="0"/>
              <w:jc w:val="center"/>
              <w:rPr>
                <w:rFonts w:ascii="Arial Narrow" w:hAnsi="Arial Narrow" w:cs="Calibri"/>
                <w:b/>
                <w:bCs/>
                <w:color w:val="000000"/>
                <w:sz w:val="20"/>
                <w:szCs w:val="20"/>
              </w:rPr>
            </w:pPr>
            <w:r w:rsidRPr="004C355A">
              <w:rPr>
                <w:rFonts w:ascii="Arial Narrow" w:hAnsi="Arial Narrow" w:cs="Calibri"/>
                <w:b/>
                <w:bCs/>
                <w:color w:val="000000"/>
                <w:sz w:val="20"/>
                <w:szCs w:val="20"/>
              </w:rPr>
              <w:t>% Sand and Fines</w:t>
            </w:r>
          </w:p>
        </w:tc>
        <w:tc>
          <w:tcPr>
            <w:tcW w:w="1440" w:type="dxa"/>
            <w:shd w:val="clear" w:color="auto" w:fill="D9D9D9" w:themeFill="background1" w:themeFillShade="D9"/>
            <w:vAlign w:val="center"/>
          </w:tcPr>
          <w:p w14:paraId="4BEB85AE" w14:textId="5A38DDCA" w:rsidR="004346A7" w:rsidRPr="004C355A" w:rsidRDefault="004346A7" w:rsidP="00DE4648">
            <w:pPr>
              <w:autoSpaceDE w:val="0"/>
              <w:autoSpaceDN w:val="0"/>
              <w:adjustRightInd w:val="0"/>
              <w:jc w:val="center"/>
              <w:rPr>
                <w:rFonts w:ascii="Arial Narrow" w:hAnsi="Arial Narrow" w:cs="Calibri"/>
                <w:b/>
                <w:bCs/>
                <w:color w:val="000000"/>
                <w:sz w:val="20"/>
                <w:szCs w:val="20"/>
              </w:rPr>
            </w:pPr>
            <w:r w:rsidRPr="004C355A">
              <w:rPr>
                <w:rFonts w:ascii="Arial Narrow" w:hAnsi="Arial Narrow" w:cs="Calibri"/>
                <w:b/>
                <w:bCs/>
                <w:color w:val="000000"/>
                <w:sz w:val="20"/>
                <w:szCs w:val="20"/>
              </w:rPr>
              <w:t>Embeddedness (%)</w:t>
            </w:r>
          </w:p>
        </w:tc>
        <w:tc>
          <w:tcPr>
            <w:tcW w:w="1530" w:type="dxa"/>
            <w:shd w:val="clear" w:color="auto" w:fill="D9D9D9" w:themeFill="background1" w:themeFillShade="D9"/>
            <w:vAlign w:val="center"/>
          </w:tcPr>
          <w:p w14:paraId="257454FB" w14:textId="0398F0DC" w:rsidR="004346A7" w:rsidRPr="004C355A" w:rsidRDefault="004346A7" w:rsidP="00DE4648">
            <w:pPr>
              <w:autoSpaceDE w:val="0"/>
              <w:autoSpaceDN w:val="0"/>
              <w:adjustRightInd w:val="0"/>
              <w:jc w:val="center"/>
              <w:rPr>
                <w:rFonts w:ascii="Arial Narrow" w:hAnsi="Arial Narrow" w:cs="Calibri"/>
                <w:b/>
                <w:bCs/>
                <w:color w:val="000000"/>
                <w:sz w:val="20"/>
                <w:szCs w:val="20"/>
              </w:rPr>
            </w:pPr>
            <w:r w:rsidRPr="004C355A">
              <w:rPr>
                <w:rFonts w:ascii="Arial Narrow" w:hAnsi="Arial Narrow" w:cs="Calibri"/>
                <w:b/>
                <w:bCs/>
                <w:color w:val="000000"/>
                <w:sz w:val="20"/>
                <w:szCs w:val="20"/>
              </w:rPr>
              <w:t>Log Relative Bed Stability Index (LRBS)</w:t>
            </w:r>
            <w:r w:rsidRPr="004C355A">
              <w:rPr>
                <w:rFonts w:ascii="Arial Narrow" w:hAnsi="Arial Narrow" w:cs="Calibri"/>
                <w:b/>
                <w:bCs/>
                <w:color w:val="000000"/>
                <w:sz w:val="20"/>
                <w:szCs w:val="20"/>
                <w:vertAlign w:val="superscript"/>
              </w:rPr>
              <w:t>1</w:t>
            </w:r>
          </w:p>
        </w:tc>
      </w:tr>
      <w:tr w:rsidR="004346A7" w:rsidRPr="004C355A" w14:paraId="24178B03" w14:textId="77777777" w:rsidTr="00390D6B">
        <w:trPr>
          <w:trHeight w:val="290"/>
        </w:trPr>
        <w:tc>
          <w:tcPr>
            <w:tcW w:w="1383" w:type="dxa"/>
            <w:tcBorders>
              <w:bottom w:val="single" w:sz="4" w:space="0" w:color="auto"/>
            </w:tcBorders>
            <w:vAlign w:val="bottom"/>
          </w:tcPr>
          <w:p w14:paraId="6CC6709F" w14:textId="07370074"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Wolf Creek</w:t>
            </w:r>
          </w:p>
        </w:tc>
        <w:tc>
          <w:tcPr>
            <w:tcW w:w="1620" w:type="dxa"/>
            <w:tcBorders>
              <w:bottom w:val="single" w:sz="4" w:space="0" w:color="auto"/>
            </w:tcBorders>
            <w:vAlign w:val="bottom"/>
          </w:tcPr>
          <w:p w14:paraId="7DE06B94" w14:textId="641914B7"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Wolf Creek</w:t>
            </w:r>
          </w:p>
        </w:tc>
        <w:tc>
          <w:tcPr>
            <w:tcW w:w="1350" w:type="dxa"/>
            <w:tcBorders>
              <w:bottom w:val="single" w:sz="4" w:space="0" w:color="auto"/>
            </w:tcBorders>
            <w:vAlign w:val="bottom"/>
          </w:tcPr>
          <w:p w14:paraId="13DB77FB" w14:textId="7E11353D"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4AWOR000.34</w:t>
            </w:r>
          </w:p>
        </w:tc>
        <w:tc>
          <w:tcPr>
            <w:tcW w:w="1080" w:type="dxa"/>
            <w:vAlign w:val="bottom"/>
          </w:tcPr>
          <w:p w14:paraId="6596812B" w14:textId="73B76E42"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9/13/2017</w:t>
            </w:r>
          </w:p>
        </w:tc>
        <w:tc>
          <w:tcPr>
            <w:tcW w:w="990" w:type="dxa"/>
            <w:shd w:val="clear" w:color="auto" w:fill="auto"/>
            <w:vAlign w:val="bottom"/>
          </w:tcPr>
          <w:p w14:paraId="6D06D8D6" w14:textId="31F662C5" w:rsidR="004346A7" w:rsidRPr="004346A7" w:rsidRDefault="004346A7" w:rsidP="004346A7">
            <w:pPr>
              <w:autoSpaceDE w:val="0"/>
              <w:autoSpaceDN w:val="0"/>
              <w:adjustRightInd w:val="0"/>
              <w:jc w:val="center"/>
              <w:rPr>
                <w:rFonts w:ascii="Arial Narrow" w:hAnsi="Arial Narrow" w:cs="Arial"/>
                <w:sz w:val="20"/>
                <w:szCs w:val="20"/>
              </w:rPr>
            </w:pPr>
            <w:r w:rsidRPr="004346A7">
              <w:rPr>
                <w:rFonts w:ascii="Arial Narrow" w:hAnsi="Arial Narrow" w:cs="Calibri"/>
                <w:color w:val="000000"/>
                <w:sz w:val="20"/>
                <w:szCs w:val="20"/>
              </w:rPr>
              <w:t>60</w:t>
            </w:r>
          </w:p>
        </w:tc>
        <w:tc>
          <w:tcPr>
            <w:tcW w:w="1440" w:type="dxa"/>
            <w:shd w:val="clear" w:color="auto" w:fill="auto"/>
            <w:vAlign w:val="bottom"/>
          </w:tcPr>
          <w:p w14:paraId="6FB910DF" w14:textId="7F34A14F"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70</w:t>
            </w:r>
          </w:p>
        </w:tc>
        <w:tc>
          <w:tcPr>
            <w:tcW w:w="1530" w:type="dxa"/>
            <w:shd w:val="clear" w:color="auto" w:fill="FFFFA6"/>
            <w:vAlign w:val="bottom"/>
          </w:tcPr>
          <w:p w14:paraId="29C92184" w14:textId="7AE110D7"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-1.36</w:t>
            </w:r>
          </w:p>
        </w:tc>
      </w:tr>
      <w:tr w:rsidR="004346A7" w:rsidRPr="004C355A" w14:paraId="5CA7E4B4" w14:textId="77777777" w:rsidTr="00390D6B">
        <w:trPr>
          <w:trHeight w:val="290"/>
        </w:trPr>
        <w:tc>
          <w:tcPr>
            <w:tcW w:w="1383" w:type="dxa"/>
            <w:vAlign w:val="bottom"/>
          </w:tcPr>
          <w:p w14:paraId="69D3AF30" w14:textId="27500071" w:rsidR="004346A7" w:rsidRPr="004346A7" w:rsidRDefault="004346A7" w:rsidP="004346A7">
            <w:pPr>
              <w:autoSpaceDE w:val="0"/>
              <w:autoSpaceDN w:val="0"/>
              <w:adjustRightInd w:val="0"/>
              <w:jc w:val="center"/>
              <w:rPr>
                <w:rFonts w:ascii="Arial Narrow" w:hAnsi="Arial Narrow" w:cs="Arial"/>
                <w:sz w:val="20"/>
                <w:szCs w:val="20"/>
              </w:rPr>
            </w:pPr>
          </w:p>
        </w:tc>
        <w:tc>
          <w:tcPr>
            <w:tcW w:w="1620" w:type="dxa"/>
            <w:vAlign w:val="bottom"/>
          </w:tcPr>
          <w:p w14:paraId="0636D629" w14:textId="77777777" w:rsidR="004346A7" w:rsidRPr="004346A7" w:rsidRDefault="004346A7" w:rsidP="004346A7">
            <w:pPr>
              <w:autoSpaceDE w:val="0"/>
              <w:autoSpaceDN w:val="0"/>
              <w:adjustRightInd w:val="0"/>
              <w:jc w:val="center"/>
              <w:rPr>
                <w:rFonts w:ascii="Arial Narrow" w:hAnsi="Arial Narrow" w:cs="Calibri"/>
                <w:color w:val="000000"/>
                <w:sz w:val="20"/>
                <w:szCs w:val="20"/>
              </w:rPr>
            </w:pPr>
          </w:p>
        </w:tc>
        <w:tc>
          <w:tcPr>
            <w:tcW w:w="1350" w:type="dxa"/>
            <w:vAlign w:val="bottom"/>
          </w:tcPr>
          <w:p w14:paraId="78F4A458" w14:textId="4CE2B71F" w:rsidR="004346A7" w:rsidRPr="004346A7" w:rsidRDefault="004346A7" w:rsidP="004346A7">
            <w:pPr>
              <w:autoSpaceDE w:val="0"/>
              <w:autoSpaceDN w:val="0"/>
              <w:adjustRightInd w:val="0"/>
              <w:jc w:val="center"/>
              <w:rPr>
                <w:rFonts w:ascii="Arial Narrow" w:hAnsi="Arial Narrow" w:cs="Arial"/>
                <w:sz w:val="20"/>
                <w:szCs w:val="20"/>
              </w:rPr>
            </w:pPr>
            <w:r w:rsidRPr="004346A7">
              <w:rPr>
                <w:rFonts w:ascii="Arial Narrow" w:hAnsi="Arial Narrow" w:cs="Calibri"/>
                <w:color w:val="000000"/>
                <w:sz w:val="20"/>
                <w:szCs w:val="20"/>
              </w:rPr>
              <w:t>4AWOR000.34</w:t>
            </w:r>
          </w:p>
        </w:tc>
        <w:tc>
          <w:tcPr>
            <w:tcW w:w="1080" w:type="dxa"/>
            <w:vAlign w:val="bottom"/>
          </w:tcPr>
          <w:p w14:paraId="5C51C7FE" w14:textId="54032ADB" w:rsidR="004346A7" w:rsidRPr="004346A7" w:rsidRDefault="004346A7" w:rsidP="004346A7">
            <w:pPr>
              <w:autoSpaceDE w:val="0"/>
              <w:autoSpaceDN w:val="0"/>
              <w:adjustRightInd w:val="0"/>
              <w:jc w:val="center"/>
              <w:rPr>
                <w:rFonts w:ascii="Arial Narrow" w:hAnsi="Arial Narrow" w:cs="Arial"/>
                <w:sz w:val="20"/>
                <w:szCs w:val="20"/>
              </w:rPr>
            </w:pPr>
            <w:r w:rsidRPr="004346A7">
              <w:rPr>
                <w:rFonts w:ascii="Arial Narrow" w:hAnsi="Arial Narrow" w:cs="Calibri"/>
                <w:color w:val="000000"/>
                <w:sz w:val="20"/>
                <w:szCs w:val="20"/>
              </w:rPr>
              <w:t>8/3/2021</w:t>
            </w:r>
          </w:p>
        </w:tc>
        <w:tc>
          <w:tcPr>
            <w:tcW w:w="990" w:type="dxa"/>
            <w:shd w:val="clear" w:color="auto" w:fill="auto"/>
            <w:vAlign w:val="bottom"/>
          </w:tcPr>
          <w:p w14:paraId="60BCE796" w14:textId="63B8BD8E" w:rsidR="004346A7" w:rsidRPr="004346A7" w:rsidRDefault="004346A7" w:rsidP="004346A7">
            <w:pPr>
              <w:autoSpaceDE w:val="0"/>
              <w:autoSpaceDN w:val="0"/>
              <w:adjustRightInd w:val="0"/>
              <w:jc w:val="center"/>
              <w:rPr>
                <w:rFonts w:ascii="Arial Narrow" w:hAnsi="Arial Narrow" w:cs="Arial"/>
                <w:sz w:val="20"/>
                <w:szCs w:val="20"/>
              </w:rPr>
            </w:pPr>
            <w:r w:rsidRPr="004346A7">
              <w:rPr>
                <w:rFonts w:ascii="Arial Narrow" w:hAnsi="Arial Narrow" w:cs="Calibri"/>
                <w:color w:val="000000"/>
                <w:sz w:val="20"/>
                <w:szCs w:val="20"/>
              </w:rPr>
              <w:t>54</w:t>
            </w:r>
          </w:p>
        </w:tc>
        <w:tc>
          <w:tcPr>
            <w:tcW w:w="1440" w:type="dxa"/>
            <w:shd w:val="clear" w:color="auto" w:fill="auto"/>
            <w:vAlign w:val="bottom"/>
          </w:tcPr>
          <w:p w14:paraId="4A0D3E95" w14:textId="3ADEBF2F" w:rsidR="004346A7" w:rsidRPr="004346A7" w:rsidRDefault="004346A7" w:rsidP="004346A7">
            <w:pPr>
              <w:autoSpaceDE w:val="0"/>
              <w:autoSpaceDN w:val="0"/>
              <w:adjustRightInd w:val="0"/>
              <w:jc w:val="center"/>
              <w:rPr>
                <w:rFonts w:ascii="Arial Narrow" w:hAnsi="Arial Narrow" w:cs="Arial"/>
                <w:sz w:val="20"/>
                <w:szCs w:val="20"/>
              </w:rPr>
            </w:pPr>
            <w:r w:rsidRPr="004346A7">
              <w:rPr>
                <w:rFonts w:ascii="Arial Narrow" w:hAnsi="Arial Narrow" w:cs="Calibri"/>
                <w:color w:val="000000"/>
                <w:sz w:val="20"/>
                <w:szCs w:val="20"/>
              </w:rPr>
              <w:t>69</w:t>
            </w:r>
          </w:p>
        </w:tc>
        <w:tc>
          <w:tcPr>
            <w:tcW w:w="1530" w:type="dxa"/>
            <w:shd w:val="clear" w:color="auto" w:fill="A6E3C2"/>
            <w:vAlign w:val="bottom"/>
          </w:tcPr>
          <w:p w14:paraId="7926B2D7" w14:textId="0FE9C78C" w:rsidR="004346A7" w:rsidRPr="004346A7" w:rsidRDefault="004346A7" w:rsidP="004346A7">
            <w:pPr>
              <w:autoSpaceDE w:val="0"/>
              <w:autoSpaceDN w:val="0"/>
              <w:adjustRightInd w:val="0"/>
              <w:jc w:val="center"/>
              <w:rPr>
                <w:rFonts w:ascii="Arial Narrow" w:hAnsi="Arial Narrow" w:cs="Arial"/>
                <w:sz w:val="20"/>
                <w:szCs w:val="20"/>
              </w:rPr>
            </w:pPr>
            <w:r w:rsidRPr="004346A7">
              <w:rPr>
                <w:rFonts w:ascii="Arial Narrow" w:hAnsi="Arial Narrow" w:cs="Calibri"/>
                <w:color w:val="000000"/>
                <w:sz w:val="20"/>
                <w:szCs w:val="20"/>
              </w:rPr>
              <w:t>-0.89</w:t>
            </w:r>
          </w:p>
        </w:tc>
      </w:tr>
      <w:tr w:rsidR="004346A7" w:rsidRPr="004C355A" w14:paraId="7A34645A" w14:textId="77777777" w:rsidTr="00390D6B">
        <w:trPr>
          <w:trHeight w:val="290"/>
        </w:trPr>
        <w:tc>
          <w:tcPr>
            <w:tcW w:w="1383" w:type="dxa"/>
            <w:vAlign w:val="bottom"/>
          </w:tcPr>
          <w:p w14:paraId="06633F00" w14:textId="0859CA9F" w:rsidR="004346A7" w:rsidRPr="004346A7" w:rsidRDefault="004346A7" w:rsidP="004346A7">
            <w:pPr>
              <w:autoSpaceDE w:val="0"/>
              <w:autoSpaceDN w:val="0"/>
              <w:adjustRightInd w:val="0"/>
              <w:jc w:val="center"/>
              <w:rPr>
                <w:rFonts w:ascii="Arial Narrow" w:hAnsi="Arial Narrow"/>
                <w:color w:val="000000"/>
                <w:sz w:val="20"/>
                <w:szCs w:val="20"/>
              </w:rPr>
            </w:pPr>
            <w:r w:rsidRPr="004346A7">
              <w:rPr>
                <w:rFonts w:ascii="Arial Narrow" w:hAnsi="Arial Narrow" w:cs="Calibri"/>
                <w:color w:val="000000"/>
                <w:sz w:val="20"/>
                <w:szCs w:val="20"/>
              </w:rPr>
              <w:t>Tinker Creek</w:t>
            </w:r>
          </w:p>
        </w:tc>
        <w:tc>
          <w:tcPr>
            <w:tcW w:w="1620" w:type="dxa"/>
            <w:vAlign w:val="bottom"/>
          </w:tcPr>
          <w:p w14:paraId="45659CCB" w14:textId="77BEE8EF"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Tinker Creek</w:t>
            </w:r>
          </w:p>
        </w:tc>
        <w:tc>
          <w:tcPr>
            <w:tcW w:w="1350" w:type="dxa"/>
            <w:vAlign w:val="bottom"/>
          </w:tcPr>
          <w:p w14:paraId="28749B6C" w14:textId="49550F5B"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4ATKR000.69</w:t>
            </w:r>
          </w:p>
        </w:tc>
        <w:tc>
          <w:tcPr>
            <w:tcW w:w="1080" w:type="dxa"/>
            <w:vAlign w:val="bottom"/>
          </w:tcPr>
          <w:p w14:paraId="1C7B4F76" w14:textId="73349AAC"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8/2/2021</w:t>
            </w:r>
          </w:p>
        </w:tc>
        <w:tc>
          <w:tcPr>
            <w:tcW w:w="990" w:type="dxa"/>
            <w:shd w:val="clear" w:color="auto" w:fill="auto"/>
            <w:vAlign w:val="bottom"/>
          </w:tcPr>
          <w:p w14:paraId="4E3E295D" w14:textId="67E55D99"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50</w:t>
            </w:r>
          </w:p>
        </w:tc>
        <w:tc>
          <w:tcPr>
            <w:tcW w:w="1440" w:type="dxa"/>
            <w:shd w:val="clear" w:color="auto" w:fill="auto"/>
            <w:vAlign w:val="bottom"/>
          </w:tcPr>
          <w:p w14:paraId="41C5C4A7" w14:textId="167E81B5"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63</w:t>
            </w:r>
          </w:p>
        </w:tc>
        <w:tc>
          <w:tcPr>
            <w:tcW w:w="1530" w:type="dxa"/>
            <w:shd w:val="clear" w:color="auto" w:fill="C2D3E7"/>
            <w:vAlign w:val="bottom"/>
          </w:tcPr>
          <w:p w14:paraId="5B161BC6" w14:textId="2E2AC7B8"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-0.43</w:t>
            </w:r>
          </w:p>
        </w:tc>
      </w:tr>
      <w:tr w:rsidR="004346A7" w:rsidRPr="004C355A" w14:paraId="6D9E60AA" w14:textId="77777777" w:rsidTr="00390D6B">
        <w:trPr>
          <w:trHeight w:val="290"/>
        </w:trPr>
        <w:tc>
          <w:tcPr>
            <w:tcW w:w="1383" w:type="dxa"/>
            <w:vAlign w:val="bottom"/>
          </w:tcPr>
          <w:p w14:paraId="1D10285E" w14:textId="77777777" w:rsidR="004346A7" w:rsidRPr="004346A7" w:rsidRDefault="004346A7" w:rsidP="004346A7">
            <w:pPr>
              <w:autoSpaceDE w:val="0"/>
              <w:autoSpaceDN w:val="0"/>
              <w:adjustRightInd w:val="0"/>
              <w:jc w:val="center"/>
              <w:rPr>
                <w:rFonts w:ascii="Arial Narrow" w:hAnsi="Arial Narrow" w:cs="Calibri"/>
                <w:color w:val="000000"/>
                <w:sz w:val="20"/>
                <w:szCs w:val="20"/>
              </w:rPr>
            </w:pPr>
          </w:p>
        </w:tc>
        <w:tc>
          <w:tcPr>
            <w:tcW w:w="1620" w:type="dxa"/>
            <w:vAlign w:val="bottom"/>
          </w:tcPr>
          <w:p w14:paraId="0FE96BC7" w14:textId="77777777" w:rsidR="004346A7" w:rsidRPr="004346A7" w:rsidRDefault="004346A7" w:rsidP="004346A7">
            <w:pPr>
              <w:autoSpaceDE w:val="0"/>
              <w:autoSpaceDN w:val="0"/>
              <w:adjustRightInd w:val="0"/>
              <w:jc w:val="center"/>
              <w:rPr>
                <w:rFonts w:ascii="Arial Narrow" w:hAnsi="Arial Narrow" w:cs="Calibri"/>
                <w:color w:val="000000"/>
                <w:sz w:val="20"/>
                <w:szCs w:val="20"/>
              </w:rPr>
            </w:pPr>
          </w:p>
        </w:tc>
        <w:tc>
          <w:tcPr>
            <w:tcW w:w="1350" w:type="dxa"/>
            <w:vAlign w:val="bottom"/>
          </w:tcPr>
          <w:p w14:paraId="08D86BAA" w14:textId="3A3CBC8E"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4ATKR009.30</w:t>
            </w:r>
          </w:p>
        </w:tc>
        <w:tc>
          <w:tcPr>
            <w:tcW w:w="1080" w:type="dxa"/>
            <w:vAlign w:val="bottom"/>
          </w:tcPr>
          <w:p w14:paraId="71A71F56" w14:textId="471A5DD7"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10/9/2018</w:t>
            </w:r>
          </w:p>
        </w:tc>
        <w:tc>
          <w:tcPr>
            <w:tcW w:w="990" w:type="dxa"/>
            <w:shd w:val="clear" w:color="auto" w:fill="auto"/>
            <w:vAlign w:val="bottom"/>
          </w:tcPr>
          <w:p w14:paraId="336A2A7E" w14:textId="598EDB2B"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28</w:t>
            </w:r>
          </w:p>
        </w:tc>
        <w:tc>
          <w:tcPr>
            <w:tcW w:w="1440" w:type="dxa"/>
            <w:shd w:val="clear" w:color="auto" w:fill="auto"/>
            <w:vAlign w:val="bottom"/>
          </w:tcPr>
          <w:p w14:paraId="0AECEE2E" w14:textId="587AE732"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42</w:t>
            </w:r>
          </w:p>
        </w:tc>
        <w:tc>
          <w:tcPr>
            <w:tcW w:w="1530" w:type="dxa"/>
            <w:shd w:val="clear" w:color="auto" w:fill="C2D3E7"/>
            <w:vAlign w:val="bottom"/>
          </w:tcPr>
          <w:p w14:paraId="3E7A1C59" w14:textId="7E045C8D"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0.16</w:t>
            </w:r>
          </w:p>
        </w:tc>
      </w:tr>
      <w:tr w:rsidR="004346A7" w:rsidRPr="004C355A" w14:paraId="711A012C" w14:textId="77777777" w:rsidTr="00390D6B">
        <w:trPr>
          <w:trHeight w:val="290"/>
        </w:trPr>
        <w:tc>
          <w:tcPr>
            <w:tcW w:w="1383" w:type="dxa"/>
            <w:vAlign w:val="bottom"/>
          </w:tcPr>
          <w:p w14:paraId="14AB983D" w14:textId="77777777" w:rsidR="004346A7" w:rsidRPr="004346A7" w:rsidRDefault="004346A7" w:rsidP="004346A7">
            <w:pPr>
              <w:autoSpaceDE w:val="0"/>
              <w:autoSpaceDN w:val="0"/>
              <w:adjustRightInd w:val="0"/>
              <w:jc w:val="center"/>
              <w:rPr>
                <w:rFonts w:ascii="Arial Narrow" w:hAnsi="Arial Narrow" w:cs="Calibri"/>
                <w:color w:val="000000"/>
                <w:sz w:val="20"/>
                <w:szCs w:val="20"/>
              </w:rPr>
            </w:pPr>
          </w:p>
        </w:tc>
        <w:tc>
          <w:tcPr>
            <w:tcW w:w="1620" w:type="dxa"/>
            <w:vAlign w:val="bottom"/>
          </w:tcPr>
          <w:p w14:paraId="15FC0C1E" w14:textId="77777777" w:rsidR="004346A7" w:rsidRPr="004346A7" w:rsidRDefault="004346A7" w:rsidP="004346A7">
            <w:pPr>
              <w:autoSpaceDE w:val="0"/>
              <w:autoSpaceDN w:val="0"/>
              <w:adjustRightInd w:val="0"/>
              <w:jc w:val="center"/>
              <w:rPr>
                <w:rFonts w:ascii="Arial Narrow" w:hAnsi="Arial Narrow" w:cs="Calibri"/>
                <w:color w:val="000000"/>
                <w:sz w:val="20"/>
                <w:szCs w:val="20"/>
              </w:rPr>
            </w:pPr>
          </w:p>
        </w:tc>
        <w:tc>
          <w:tcPr>
            <w:tcW w:w="1350" w:type="dxa"/>
            <w:vAlign w:val="bottom"/>
          </w:tcPr>
          <w:p w14:paraId="016997F8" w14:textId="085F82F0"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4ATKR009.30</w:t>
            </w:r>
          </w:p>
        </w:tc>
        <w:tc>
          <w:tcPr>
            <w:tcW w:w="1080" w:type="dxa"/>
            <w:vAlign w:val="bottom"/>
          </w:tcPr>
          <w:p w14:paraId="4AF7B9FE" w14:textId="532EF273"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10/8/2019</w:t>
            </w:r>
          </w:p>
        </w:tc>
        <w:tc>
          <w:tcPr>
            <w:tcW w:w="990" w:type="dxa"/>
            <w:shd w:val="clear" w:color="auto" w:fill="auto"/>
            <w:vAlign w:val="bottom"/>
          </w:tcPr>
          <w:p w14:paraId="1CA72842" w14:textId="4B1807A2"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38</w:t>
            </w:r>
          </w:p>
        </w:tc>
        <w:tc>
          <w:tcPr>
            <w:tcW w:w="1440" w:type="dxa"/>
            <w:shd w:val="clear" w:color="auto" w:fill="auto"/>
            <w:vAlign w:val="bottom"/>
          </w:tcPr>
          <w:p w14:paraId="53C028E4" w14:textId="73E9B43B"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53</w:t>
            </w:r>
          </w:p>
        </w:tc>
        <w:tc>
          <w:tcPr>
            <w:tcW w:w="1530" w:type="dxa"/>
            <w:shd w:val="clear" w:color="auto" w:fill="C2D3E7"/>
            <w:vAlign w:val="bottom"/>
          </w:tcPr>
          <w:p w14:paraId="0DEDA685" w14:textId="67B4283A"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-0.36</w:t>
            </w:r>
          </w:p>
        </w:tc>
      </w:tr>
      <w:tr w:rsidR="004346A7" w:rsidRPr="004C355A" w14:paraId="3DDF7C4B" w14:textId="77777777" w:rsidTr="004346A7">
        <w:trPr>
          <w:trHeight w:val="290"/>
        </w:trPr>
        <w:tc>
          <w:tcPr>
            <w:tcW w:w="1383" w:type="dxa"/>
            <w:vAlign w:val="bottom"/>
          </w:tcPr>
          <w:p w14:paraId="71E6ECB3" w14:textId="77777777" w:rsidR="004346A7" w:rsidRPr="004346A7" w:rsidRDefault="004346A7" w:rsidP="004346A7">
            <w:pPr>
              <w:autoSpaceDE w:val="0"/>
              <w:autoSpaceDN w:val="0"/>
              <w:adjustRightInd w:val="0"/>
              <w:jc w:val="center"/>
              <w:rPr>
                <w:rFonts w:ascii="Arial Narrow" w:hAnsi="Arial Narrow" w:cs="Calibri"/>
                <w:color w:val="000000"/>
                <w:sz w:val="20"/>
                <w:szCs w:val="20"/>
              </w:rPr>
            </w:pPr>
          </w:p>
        </w:tc>
        <w:tc>
          <w:tcPr>
            <w:tcW w:w="1620" w:type="dxa"/>
            <w:vAlign w:val="bottom"/>
          </w:tcPr>
          <w:p w14:paraId="4313724F" w14:textId="77777777" w:rsidR="004346A7" w:rsidRPr="004346A7" w:rsidRDefault="004346A7" w:rsidP="004346A7">
            <w:pPr>
              <w:autoSpaceDE w:val="0"/>
              <w:autoSpaceDN w:val="0"/>
              <w:adjustRightInd w:val="0"/>
              <w:jc w:val="center"/>
              <w:rPr>
                <w:rFonts w:ascii="Arial Narrow" w:hAnsi="Arial Narrow" w:cs="Calibri"/>
                <w:color w:val="000000"/>
                <w:sz w:val="20"/>
                <w:szCs w:val="20"/>
              </w:rPr>
            </w:pPr>
          </w:p>
        </w:tc>
        <w:tc>
          <w:tcPr>
            <w:tcW w:w="1350" w:type="dxa"/>
            <w:vAlign w:val="bottom"/>
          </w:tcPr>
          <w:p w14:paraId="5C150E19" w14:textId="05782F63"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4ATKR010.54</w:t>
            </w:r>
          </w:p>
        </w:tc>
        <w:tc>
          <w:tcPr>
            <w:tcW w:w="1080" w:type="dxa"/>
            <w:vAlign w:val="bottom"/>
          </w:tcPr>
          <w:p w14:paraId="2ECAC746" w14:textId="6EBE952C"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10/4/2007</w:t>
            </w:r>
          </w:p>
        </w:tc>
        <w:tc>
          <w:tcPr>
            <w:tcW w:w="990" w:type="dxa"/>
            <w:shd w:val="clear" w:color="auto" w:fill="auto"/>
            <w:vAlign w:val="bottom"/>
          </w:tcPr>
          <w:p w14:paraId="344B9B60" w14:textId="206D9945"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55</w:t>
            </w:r>
          </w:p>
        </w:tc>
        <w:tc>
          <w:tcPr>
            <w:tcW w:w="1440" w:type="dxa"/>
            <w:shd w:val="clear" w:color="auto" w:fill="auto"/>
            <w:vAlign w:val="bottom"/>
          </w:tcPr>
          <w:p w14:paraId="53948EA3" w14:textId="279DAF47"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68</w:t>
            </w:r>
          </w:p>
        </w:tc>
        <w:tc>
          <w:tcPr>
            <w:tcW w:w="1530" w:type="dxa"/>
            <w:shd w:val="clear" w:color="auto" w:fill="FFFFA6"/>
            <w:vAlign w:val="bottom"/>
          </w:tcPr>
          <w:p w14:paraId="0530D81D" w14:textId="675A0E02"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-1.33</w:t>
            </w:r>
          </w:p>
        </w:tc>
      </w:tr>
      <w:tr w:rsidR="004346A7" w:rsidRPr="004C355A" w14:paraId="4066C51A" w14:textId="77777777" w:rsidTr="00390D6B">
        <w:trPr>
          <w:trHeight w:val="290"/>
        </w:trPr>
        <w:tc>
          <w:tcPr>
            <w:tcW w:w="1383" w:type="dxa"/>
            <w:vAlign w:val="bottom"/>
          </w:tcPr>
          <w:p w14:paraId="63A9DD22" w14:textId="77777777" w:rsidR="004346A7" w:rsidRPr="004346A7" w:rsidRDefault="004346A7" w:rsidP="004346A7">
            <w:pPr>
              <w:autoSpaceDE w:val="0"/>
              <w:autoSpaceDN w:val="0"/>
              <w:adjustRightInd w:val="0"/>
              <w:jc w:val="center"/>
              <w:rPr>
                <w:rFonts w:ascii="Arial Narrow" w:hAnsi="Arial Narrow" w:cs="Calibri"/>
                <w:color w:val="000000"/>
                <w:sz w:val="20"/>
                <w:szCs w:val="20"/>
              </w:rPr>
            </w:pPr>
          </w:p>
        </w:tc>
        <w:tc>
          <w:tcPr>
            <w:tcW w:w="1620" w:type="dxa"/>
            <w:vAlign w:val="bottom"/>
          </w:tcPr>
          <w:p w14:paraId="06954D2D" w14:textId="77777777" w:rsidR="004346A7" w:rsidRPr="004346A7" w:rsidRDefault="004346A7" w:rsidP="004346A7">
            <w:pPr>
              <w:autoSpaceDE w:val="0"/>
              <w:autoSpaceDN w:val="0"/>
              <w:adjustRightInd w:val="0"/>
              <w:jc w:val="center"/>
              <w:rPr>
                <w:rFonts w:ascii="Arial Narrow" w:hAnsi="Arial Narrow" w:cs="Calibri"/>
                <w:color w:val="000000"/>
                <w:sz w:val="20"/>
                <w:szCs w:val="20"/>
              </w:rPr>
            </w:pPr>
          </w:p>
        </w:tc>
        <w:tc>
          <w:tcPr>
            <w:tcW w:w="1350" w:type="dxa"/>
            <w:vAlign w:val="bottom"/>
          </w:tcPr>
          <w:p w14:paraId="28BE7970" w14:textId="04D84D0E"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4ATKR010.54</w:t>
            </w:r>
          </w:p>
        </w:tc>
        <w:tc>
          <w:tcPr>
            <w:tcW w:w="1080" w:type="dxa"/>
            <w:vAlign w:val="bottom"/>
          </w:tcPr>
          <w:p w14:paraId="2E45791B" w14:textId="7910BBE5"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10/7/2008</w:t>
            </w:r>
          </w:p>
        </w:tc>
        <w:tc>
          <w:tcPr>
            <w:tcW w:w="990" w:type="dxa"/>
            <w:shd w:val="clear" w:color="auto" w:fill="auto"/>
            <w:vAlign w:val="bottom"/>
          </w:tcPr>
          <w:p w14:paraId="3A43DC39" w14:textId="120527AC"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36</w:t>
            </w:r>
          </w:p>
        </w:tc>
        <w:tc>
          <w:tcPr>
            <w:tcW w:w="1440" w:type="dxa"/>
            <w:shd w:val="clear" w:color="auto" w:fill="auto"/>
            <w:vAlign w:val="bottom"/>
          </w:tcPr>
          <w:p w14:paraId="58644142" w14:textId="6ACF9F1D"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52</w:t>
            </w:r>
          </w:p>
        </w:tc>
        <w:tc>
          <w:tcPr>
            <w:tcW w:w="1530" w:type="dxa"/>
            <w:shd w:val="clear" w:color="auto" w:fill="C2D3E7"/>
            <w:vAlign w:val="bottom"/>
          </w:tcPr>
          <w:p w14:paraId="192876EB" w14:textId="3A180D21"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-0.40</w:t>
            </w:r>
          </w:p>
        </w:tc>
      </w:tr>
      <w:tr w:rsidR="004346A7" w:rsidRPr="004C355A" w14:paraId="397C8165" w14:textId="77777777" w:rsidTr="00390D6B">
        <w:trPr>
          <w:trHeight w:val="290"/>
        </w:trPr>
        <w:tc>
          <w:tcPr>
            <w:tcW w:w="1383" w:type="dxa"/>
            <w:vAlign w:val="bottom"/>
          </w:tcPr>
          <w:p w14:paraId="03BE9B36" w14:textId="77777777" w:rsidR="004346A7" w:rsidRPr="004346A7" w:rsidRDefault="004346A7" w:rsidP="004346A7">
            <w:pPr>
              <w:autoSpaceDE w:val="0"/>
              <w:autoSpaceDN w:val="0"/>
              <w:adjustRightInd w:val="0"/>
              <w:jc w:val="center"/>
              <w:rPr>
                <w:rFonts w:ascii="Arial Narrow" w:hAnsi="Arial Narrow" w:cs="Calibri"/>
                <w:color w:val="000000"/>
                <w:sz w:val="20"/>
                <w:szCs w:val="20"/>
              </w:rPr>
            </w:pPr>
          </w:p>
        </w:tc>
        <w:tc>
          <w:tcPr>
            <w:tcW w:w="1620" w:type="dxa"/>
            <w:vAlign w:val="bottom"/>
          </w:tcPr>
          <w:p w14:paraId="4255263B" w14:textId="77777777" w:rsidR="004346A7" w:rsidRPr="004346A7" w:rsidRDefault="004346A7" w:rsidP="004346A7">
            <w:pPr>
              <w:autoSpaceDE w:val="0"/>
              <w:autoSpaceDN w:val="0"/>
              <w:adjustRightInd w:val="0"/>
              <w:jc w:val="center"/>
              <w:rPr>
                <w:rFonts w:ascii="Arial Narrow" w:hAnsi="Arial Narrow" w:cs="Calibri"/>
                <w:color w:val="000000"/>
                <w:sz w:val="20"/>
                <w:szCs w:val="20"/>
              </w:rPr>
            </w:pPr>
          </w:p>
        </w:tc>
        <w:tc>
          <w:tcPr>
            <w:tcW w:w="1350" w:type="dxa"/>
            <w:vAlign w:val="bottom"/>
          </w:tcPr>
          <w:p w14:paraId="57A88770" w14:textId="47BC6C8D"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4ATKR015.40</w:t>
            </w:r>
          </w:p>
        </w:tc>
        <w:tc>
          <w:tcPr>
            <w:tcW w:w="1080" w:type="dxa"/>
            <w:vAlign w:val="bottom"/>
          </w:tcPr>
          <w:p w14:paraId="7760C400" w14:textId="229D3497"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10/11/2007</w:t>
            </w:r>
          </w:p>
        </w:tc>
        <w:tc>
          <w:tcPr>
            <w:tcW w:w="990" w:type="dxa"/>
            <w:shd w:val="clear" w:color="auto" w:fill="auto"/>
            <w:vAlign w:val="bottom"/>
          </w:tcPr>
          <w:p w14:paraId="564C3EEB" w14:textId="03F756C2"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76</w:t>
            </w:r>
          </w:p>
        </w:tc>
        <w:tc>
          <w:tcPr>
            <w:tcW w:w="1440" w:type="dxa"/>
            <w:shd w:val="clear" w:color="auto" w:fill="auto"/>
            <w:vAlign w:val="bottom"/>
          </w:tcPr>
          <w:p w14:paraId="46168E38" w14:textId="42C7F20B"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79</w:t>
            </w:r>
          </w:p>
        </w:tc>
        <w:tc>
          <w:tcPr>
            <w:tcW w:w="1530" w:type="dxa"/>
            <w:shd w:val="clear" w:color="auto" w:fill="FFA6A6"/>
            <w:vAlign w:val="bottom"/>
          </w:tcPr>
          <w:p w14:paraId="6A5AD3CE" w14:textId="0B9D783A"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-2.03</w:t>
            </w:r>
          </w:p>
        </w:tc>
      </w:tr>
      <w:tr w:rsidR="004346A7" w:rsidRPr="004C355A" w14:paraId="10AA2F32" w14:textId="77777777" w:rsidTr="00390D6B">
        <w:trPr>
          <w:trHeight w:val="290"/>
        </w:trPr>
        <w:tc>
          <w:tcPr>
            <w:tcW w:w="1383" w:type="dxa"/>
            <w:vAlign w:val="bottom"/>
          </w:tcPr>
          <w:p w14:paraId="57D41C27" w14:textId="77777777" w:rsidR="004346A7" w:rsidRPr="004346A7" w:rsidRDefault="004346A7" w:rsidP="004346A7">
            <w:pPr>
              <w:autoSpaceDE w:val="0"/>
              <w:autoSpaceDN w:val="0"/>
              <w:adjustRightInd w:val="0"/>
              <w:jc w:val="center"/>
              <w:rPr>
                <w:rFonts w:ascii="Arial Narrow" w:hAnsi="Arial Narrow" w:cs="Calibri"/>
                <w:color w:val="000000"/>
                <w:sz w:val="20"/>
                <w:szCs w:val="20"/>
              </w:rPr>
            </w:pPr>
          </w:p>
        </w:tc>
        <w:tc>
          <w:tcPr>
            <w:tcW w:w="1620" w:type="dxa"/>
            <w:vAlign w:val="bottom"/>
          </w:tcPr>
          <w:p w14:paraId="7F48F262" w14:textId="3319EF96" w:rsidR="004346A7" w:rsidRPr="004346A7" w:rsidRDefault="004346A7" w:rsidP="004346A7">
            <w:pPr>
              <w:autoSpaceDE w:val="0"/>
              <w:autoSpaceDN w:val="0"/>
              <w:adjustRightInd w:val="0"/>
              <w:jc w:val="center"/>
              <w:rPr>
                <w:rFonts w:ascii="Arial Narrow" w:hAnsi="Arial Narrow" w:cs="Calibri"/>
                <w:color w:val="000000"/>
                <w:sz w:val="20"/>
                <w:szCs w:val="20"/>
              </w:rPr>
            </w:pPr>
            <w:proofErr w:type="spellStart"/>
            <w:r w:rsidRPr="004346A7">
              <w:rPr>
                <w:rFonts w:ascii="Arial Narrow" w:hAnsi="Arial Narrow" w:cs="Calibri"/>
                <w:color w:val="000000"/>
                <w:sz w:val="20"/>
                <w:szCs w:val="20"/>
              </w:rPr>
              <w:t>Carvin</w:t>
            </w:r>
            <w:proofErr w:type="spellEnd"/>
            <w:r w:rsidRPr="004346A7">
              <w:rPr>
                <w:rFonts w:ascii="Arial Narrow" w:hAnsi="Arial Narrow" w:cs="Calibri"/>
                <w:color w:val="000000"/>
                <w:sz w:val="20"/>
                <w:szCs w:val="20"/>
              </w:rPr>
              <w:t xml:space="preserve"> Creek</w:t>
            </w:r>
          </w:p>
        </w:tc>
        <w:tc>
          <w:tcPr>
            <w:tcW w:w="1350" w:type="dxa"/>
            <w:vAlign w:val="bottom"/>
          </w:tcPr>
          <w:p w14:paraId="2C87A139" w14:textId="05090EE9"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4ACRV005.10</w:t>
            </w:r>
          </w:p>
        </w:tc>
        <w:tc>
          <w:tcPr>
            <w:tcW w:w="1080" w:type="dxa"/>
            <w:vAlign w:val="bottom"/>
          </w:tcPr>
          <w:p w14:paraId="6A40D8DA" w14:textId="478DA3B6"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9/21/2015</w:t>
            </w:r>
          </w:p>
        </w:tc>
        <w:tc>
          <w:tcPr>
            <w:tcW w:w="990" w:type="dxa"/>
            <w:shd w:val="clear" w:color="auto" w:fill="auto"/>
            <w:vAlign w:val="bottom"/>
          </w:tcPr>
          <w:p w14:paraId="54CC1888" w14:textId="1FCE5742"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13</w:t>
            </w:r>
          </w:p>
        </w:tc>
        <w:tc>
          <w:tcPr>
            <w:tcW w:w="1440" w:type="dxa"/>
            <w:shd w:val="clear" w:color="auto" w:fill="auto"/>
            <w:vAlign w:val="bottom"/>
          </w:tcPr>
          <w:p w14:paraId="34D6047B" w14:textId="49F64628"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19</w:t>
            </w:r>
          </w:p>
        </w:tc>
        <w:tc>
          <w:tcPr>
            <w:tcW w:w="1530" w:type="dxa"/>
            <w:shd w:val="clear" w:color="auto" w:fill="C2D3E7"/>
            <w:vAlign w:val="bottom"/>
          </w:tcPr>
          <w:p w14:paraId="1176ABD1" w14:textId="07EE5BCE"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0.28</w:t>
            </w:r>
          </w:p>
        </w:tc>
      </w:tr>
      <w:tr w:rsidR="004346A7" w:rsidRPr="004C355A" w14:paraId="389B63D2" w14:textId="77777777" w:rsidTr="00390D6B">
        <w:trPr>
          <w:trHeight w:val="290"/>
        </w:trPr>
        <w:tc>
          <w:tcPr>
            <w:tcW w:w="1383" w:type="dxa"/>
            <w:vAlign w:val="bottom"/>
          </w:tcPr>
          <w:p w14:paraId="15391700" w14:textId="77777777" w:rsidR="004346A7" w:rsidRPr="004346A7" w:rsidRDefault="004346A7" w:rsidP="004346A7">
            <w:pPr>
              <w:autoSpaceDE w:val="0"/>
              <w:autoSpaceDN w:val="0"/>
              <w:adjustRightInd w:val="0"/>
              <w:jc w:val="center"/>
              <w:rPr>
                <w:rFonts w:ascii="Arial Narrow" w:hAnsi="Arial Narrow" w:cs="Calibri"/>
                <w:color w:val="000000"/>
                <w:sz w:val="20"/>
                <w:szCs w:val="20"/>
              </w:rPr>
            </w:pPr>
          </w:p>
        </w:tc>
        <w:tc>
          <w:tcPr>
            <w:tcW w:w="1620" w:type="dxa"/>
            <w:vAlign w:val="bottom"/>
          </w:tcPr>
          <w:p w14:paraId="4A340795" w14:textId="77777777" w:rsidR="004346A7" w:rsidRPr="004346A7" w:rsidRDefault="004346A7" w:rsidP="004346A7">
            <w:pPr>
              <w:autoSpaceDE w:val="0"/>
              <w:autoSpaceDN w:val="0"/>
              <w:adjustRightInd w:val="0"/>
              <w:jc w:val="center"/>
              <w:rPr>
                <w:rFonts w:ascii="Arial Narrow" w:hAnsi="Arial Narrow" w:cs="Calibri"/>
                <w:color w:val="000000"/>
                <w:sz w:val="20"/>
                <w:szCs w:val="20"/>
              </w:rPr>
            </w:pPr>
          </w:p>
        </w:tc>
        <w:tc>
          <w:tcPr>
            <w:tcW w:w="1350" w:type="dxa"/>
            <w:vAlign w:val="bottom"/>
          </w:tcPr>
          <w:p w14:paraId="4913BBE4" w14:textId="5E449732"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4ACRV005.10</w:t>
            </w:r>
          </w:p>
        </w:tc>
        <w:tc>
          <w:tcPr>
            <w:tcW w:w="1080" w:type="dxa"/>
            <w:vAlign w:val="bottom"/>
          </w:tcPr>
          <w:p w14:paraId="151BEEBA" w14:textId="08693D32"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10/8/2015</w:t>
            </w:r>
          </w:p>
        </w:tc>
        <w:tc>
          <w:tcPr>
            <w:tcW w:w="990" w:type="dxa"/>
            <w:shd w:val="clear" w:color="auto" w:fill="auto"/>
            <w:vAlign w:val="bottom"/>
          </w:tcPr>
          <w:p w14:paraId="6BA20153" w14:textId="485D6D72"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11</w:t>
            </w:r>
          </w:p>
        </w:tc>
        <w:tc>
          <w:tcPr>
            <w:tcW w:w="1440" w:type="dxa"/>
            <w:shd w:val="clear" w:color="auto" w:fill="auto"/>
            <w:vAlign w:val="bottom"/>
          </w:tcPr>
          <w:p w14:paraId="4119D05A" w14:textId="433C96CA"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30</w:t>
            </w:r>
          </w:p>
        </w:tc>
        <w:tc>
          <w:tcPr>
            <w:tcW w:w="1530" w:type="dxa"/>
            <w:shd w:val="clear" w:color="auto" w:fill="C2D3E7"/>
            <w:vAlign w:val="bottom"/>
          </w:tcPr>
          <w:p w14:paraId="165AE8A3" w14:textId="06719E33"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0.22</w:t>
            </w:r>
          </w:p>
        </w:tc>
      </w:tr>
      <w:tr w:rsidR="004346A7" w:rsidRPr="004C355A" w14:paraId="074FDCB5" w14:textId="77777777" w:rsidTr="00390D6B">
        <w:trPr>
          <w:trHeight w:val="290"/>
        </w:trPr>
        <w:tc>
          <w:tcPr>
            <w:tcW w:w="1383" w:type="dxa"/>
            <w:vAlign w:val="bottom"/>
          </w:tcPr>
          <w:p w14:paraId="4D0F9AE2" w14:textId="4FCEC3B2"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Roanoke River</w:t>
            </w:r>
          </w:p>
        </w:tc>
        <w:tc>
          <w:tcPr>
            <w:tcW w:w="1620" w:type="dxa"/>
            <w:vAlign w:val="bottom"/>
          </w:tcPr>
          <w:p w14:paraId="6AB5A033" w14:textId="4A367435"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Roanoke River</w:t>
            </w:r>
          </w:p>
        </w:tc>
        <w:tc>
          <w:tcPr>
            <w:tcW w:w="1350" w:type="dxa"/>
            <w:vAlign w:val="bottom"/>
          </w:tcPr>
          <w:p w14:paraId="54CFA509" w14:textId="2614E85A"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4AROA198.08</w:t>
            </w:r>
          </w:p>
        </w:tc>
        <w:tc>
          <w:tcPr>
            <w:tcW w:w="1080" w:type="dxa"/>
            <w:vAlign w:val="bottom"/>
          </w:tcPr>
          <w:p w14:paraId="3CFB2250" w14:textId="0B228909"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8/2/2021</w:t>
            </w:r>
          </w:p>
        </w:tc>
        <w:tc>
          <w:tcPr>
            <w:tcW w:w="990" w:type="dxa"/>
            <w:shd w:val="clear" w:color="auto" w:fill="auto"/>
            <w:vAlign w:val="bottom"/>
          </w:tcPr>
          <w:p w14:paraId="09601AF4" w14:textId="46EFC48F"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24</w:t>
            </w:r>
          </w:p>
        </w:tc>
        <w:tc>
          <w:tcPr>
            <w:tcW w:w="1440" w:type="dxa"/>
            <w:shd w:val="clear" w:color="auto" w:fill="auto"/>
            <w:vAlign w:val="bottom"/>
          </w:tcPr>
          <w:p w14:paraId="46F6A57B" w14:textId="775474D1"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34</w:t>
            </w:r>
          </w:p>
        </w:tc>
        <w:tc>
          <w:tcPr>
            <w:tcW w:w="1530" w:type="dxa"/>
            <w:shd w:val="clear" w:color="auto" w:fill="FFFFA6"/>
            <w:vAlign w:val="bottom"/>
          </w:tcPr>
          <w:p w14:paraId="7F374B47" w14:textId="7E127214"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0.58</w:t>
            </w:r>
          </w:p>
        </w:tc>
      </w:tr>
      <w:tr w:rsidR="004346A7" w:rsidRPr="004C355A" w14:paraId="15316F4A" w14:textId="77777777" w:rsidTr="00390D6B">
        <w:trPr>
          <w:trHeight w:val="290"/>
        </w:trPr>
        <w:tc>
          <w:tcPr>
            <w:tcW w:w="1383" w:type="dxa"/>
            <w:vAlign w:val="bottom"/>
          </w:tcPr>
          <w:p w14:paraId="070AF4B4" w14:textId="77777777" w:rsidR="004346A7" w:rsidRPr="004346A7" w:rsidRDefault="004346A7" w:rsidP="004346A7">
            <w:pPr>
              <w:autoSpaceDE w:val="0"/>
              <w:autoSpaceDN w:val="0"/>
              <w:adjustRightInd w:val="0"/>
              <w:jc w:val="center"/>
              <w:rPr>
                <w:rFonts w:ascii="Arial Narrow" w:hAnsi="Arial Narrow" w:cs="Calibri"/>
                <w:color w:val="000000"/>
                <w:sz w:val="20"/>
                <w:szCs w:val="20"/>
              </w:rPr>
            </w:pPr>
          </w:p>
        </w:tc>
        <w:tc>
          <w:tcPr>
            <w:tcW w:w="1620" w:type="dxa"/>
            <w:vAlign w:val="bottom"/>
          </w:tcPr>
          <w:p w14:paraId="4A5A610D" w14:textId="77777777" w:rsidR="004346A7" w:rsidRPr="004346A7" w:rsidRDefault="004346A7" w:rsidP="004346A7">
            <w:pPr>
              <w:autoSpaceDE w:val="0"/>
              <w:autoSpaceDN w:val="0"/>
              <w:adjustRightInd w:val="0"/>
              <w:jc w:val="center"/>
              <w:rPr>
                <w:rFonts w:ascii="Arial Narrow" w:hAnsi="Arial Narrow" w:cs="Calibri"/>
                <w:color w:val="000000"/>
                <w:sz w:val="20"/>
                <w:szCs w:val="20"/>
              </w:rPr>
            </w:pPr>
          </w:p>
        </w:tc>
        <w:tc>
          <w:tcPr>
            <w:tcW w:w="1350" w:type="dxa"/>
            <w:vAlign w:val="bottom"/>
          </w:tcPr>
          <w:p w14:paraId="084A0A64" w14:textId="24AF68B8"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4AROA202.20</w:t>
            </w:r>
          </w:p>
        </w:tc>
        <w:tc>
          <w:tcPr>
            <w:tcW w:w="1080" w:type="dxa"/>
            <w:vAlign w:val="bottom"/>
          </w:tcPr>
          <w:p w14:paraId="1B7D4990" w14:textId="785133A1"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8/3/2021</w:t>
            </w:r>
          </w:p>
        </w:tc>
        <w:tc>
          <w:tcPr>
            <w:tcW w:w="990" w:type="dxa"/>
            <w:shd w:val="clear" w:color="auto" w:fill="auto"/>
            <w:vAlign w:val="bottom"/>
          </w:tcPr>
          <w:p w14:paraId="307BEBBC" w14:textId="5E36B10E"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26</w:t>
            </w:r>
          </w:p>
        </w:tc>
        <w:tc>
          <w:tcPr>
            <w:tcW w:w="1440" w:type="dxa"/>
            <w:shd w:val="clear" w:color="auto" w:fill="auto"/>
            <w:vAlign w:val="bottom"/>
          </w:tcPr>
          <w:p w14:paraId="1D0F5DA5" w14:textId="733352CE"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42</w:t>
            </w:r>
          </w:p>
        </w:tc>
        <w:tc>
          <w:tcPr>
            <w:tcW w:w="1530" w:type="dxa"/>
            <w:shd w:val="clear" w:color="auto" w:fill="C2D3E7"/>
            <w:vAlign w:val="bottom"/>
          </w:tcPr>
          <w:p w14:paraId="71884E51" w14:textId="12FC982F"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0.27</w:t>
            </w:r>
          </w:p>
        </w:tc>
      </w:tr>
      <w:tr w:rsidR="004346A7" w:rsidRPr="004C355A" w14:paraId="69F1A2F6" w14:textId="77777777" w:rsidTr="00390D6B">
        <w:trPr>
          <w:trHeight w:val="290"/>
        </w:trPr>
        <w:tc>
          <w:tcPr>
            <w:tcW w:w="1383" w:type="dxa"/>
            <w:vAlign w:val="bottom"/>
          </w:tcPr>
          <w:p w14:paraId="785DBEDE" w14:textId="77777777" w:rsidR="004346A7" w:rsidRPr="004346A7" w:rsidRDefault="004346A7" w:rsidP="004346A7">
            <w:pPr>
              <w:autoSpaceDE w:val="0"/>
              <w:autoSpaceDN w:val="0"/>
              <w:adjustRightInd w:val="0"/>
              <w:jc w:val="center"/>
              <w:rPr>
                <w:rFonts w:ascii="Arial Narrow" w:hAnsi="Arial Narrow" w:cs="Calibri"/>
                <w:color w:val="000000"/>
                <w:sz w:val="20"/>
                <w:szCs w:val="20"/>
              </w:rPr>
            </w:pPr>
          </w:p>
        </w:tc>
        <w:tc>
          <w:tcPr>
            <w:tcW w:w="1620" w:type="dxa"/>
            <w:vAlign w:val="bottom"/>
          </w:tcPr>
          <w:p w14:paraId="3F703F76" w14:textId="77777777" w:rsidR="004346A7" w:rsidRPr="004346A7" w:rsidRDefault="004346A7" w:rsidP="004346A7">
            <w:pPr>
              <w:autoSpaceDE w:val="0"/>
              <w:autoSpaceDN w:val="0"/>
              <w:adjustRightInd w:val="0"/>
              <w:jc w:val="center"/>
              <w:rPr>
                <w:rFonts w:ascii="Arial Narrow" w:hAnsi="Arial Narrow" w:cs="Calibri"/>
                <w:color w:val="000000"/>
                <w:sz w:val="20"/>
                <w:szCs w:val="20"/>
              </w:rPr>
            </w:pPr>
          </w:p>
        </w:tc>
        <w:tc>
          <w:tcPr>
            <w:tcW w:w="1350" w:type="dxa"/>
            <w:vAlign w:val="bottom"/>
          </w:tcPr>
          <w:p w14:paraId="503F7299" w14:textId="7F66F38D"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4AROA210.56</w:t>
            </w:r>
          </w:p>
        </w:tc>
        <w:tc>
          <w:tcPr>
            <w:tcW w:w="1080" w:type="dxa"/>
            <w:vAlign w:val="bottom"/>
          </w:tcPr>
          <w:p w14:paraId="2D1C4487" w14:textId="2B9A5612"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9/23/2009</w:t>
            </w:r>
          </w:p>
        </w:tc>
        <w:tc>
          <w:tcPr>
            <w:tcW w:w="990" w:type="dxa"/>
            <w:shd w:val="clear" w:color="auto" w:fill="auto"/>
            <w:vAlign w:val="bottom"/>
          </w:tcPr>
          <w:p w14:paraId="307DCCEE" w14:textId="5AE4AF1A"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37</w:t>
            </w:r>
          </w:p>
        </w:tc>
        <w:tc>
          <w:tcPr>
            <w:tcW w:w="1440" w:type="dxa"/>
            <w:shd w:val="clear" w:color="auto" w:fill="auto"/>
            <w:vAlign w:val="bottom"/>
          </w:tcPr>
          <w:p w14:paraId="652B90CA" w14:textId="121E6BFD"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49</w:t>
            </w:r>
          </w:p>
        </w:tc>
        <w:tc>
          <w:tcPr>
            <w:tcW w:w="1530" w:type="dxa"/>
            <w:shd w:val="clear" w:color="auto" w:fill="C2D3E7"/>
            <w:vAlign w:val="bottom"/>
          </w:tcPr>
          <w:p w14:paraId="535E766A" w14:textId="34217FD5"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-0.12</w:t>
            </w:r>
          </w:p>
        </w:tc>
      </w:tr>
      <w:tr w:rsidR="004346A7" w:rsidRPr="004C355A" w14:paraId="01617FF5" w14:textId="77777777" w:rsidTr="00390D6B">
        <w:trPr>
          <w:trHeight w:val="290"/>
        </w:trPr>
        <w:tc>
          <w:tcPr>
            <w:tcW w:w="1383" w:type="dxa"/>
            <w:vAlign w:val="bottom"/>
          </w:tcPr>
          <w:p w14:paraId="4AE42926" w14:textId="77777777" w:rsidR="004346A7" w:rsidRPr="004346A7" w:rsidRDefault="004346A7" w:rsidP="004346A7">
            <w:pPr>
              <w:autoSpaceDE w:val="0"/>
              <w:autoSpaceDN w:val="0"/>
              <w:adjustRightInd w:val="0"/>
              <w:jc w:val="center"/>
              <w:rPr>
                <w:rFonts w:ascii="Arial Narrow" w:hAnsi="Arial Narrow" w:cs="Calibri"/>
                <w:color w:val="000000"/>
                <w:sz w:val="20"/>
                <w:szCs w:val="20"/>
              </w:rPr>
            </w:pPr>
          </w:p>
        </w:tc>
        <w:tc>
          <w:tcPr>
            <w:tcW w:w="1620" w:type="dxa"/>
            <w:vAlign w:val="bottom"/>
          </w:tcPr>
          <w:p w14:paraId="2E0B64CE" w14:textId="77777777" w:rsidR="004346A7" w:rsidRPr="004346A7" w:rsidRDefault="004346A7" w:rsidP="004346A7">
            <w:pPr>
              <w:autoSpaceDE w:val="0"/>
              <w:autoSpaceDN w:val="0"/>
              <w:adjustRightInd w:val="0"/>
              <w:jc w:val="center"/>
              <w:rPr>
                <w:rFonts w:ascii="Arial Narrow" w:hAnsi="Arial Narrow" w:cs="Calibri"/>
                <w:color w:val="000000"/>
                <w:sz w:val="20"/>
                <w:szCs w:val="20"/>
              </w:rPr>
            </w:pPr>
          </w:p>
        </w:tc>
        <w:tc>
          <w:tcPr>
            <w:tcW w:w="1350" w:type="dxa"/>
            <w:vAlign w:val="bottom"/>
          </w:tcPr>
          <w:p w14:paraId="0627100D" w14:textId="0431EDB1"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4AROA216.75</w:t>
            </w:r>
          </w:p>
        </w:tc>
        <w:tc>
          <w:tcPr>
            <w:tcW w:w="1080" w:type="dxa"/>
            <w:vAlign w:val="bottom"/>
          </w:tcPr>
          <w:p w14:paraId="239F74B4" w14:textId="0A785494"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9/14/2017</w:t>
            </w:r>
          </w:p>
        </w:tc>
        <w:tc>
          <w:tcPr>
            <w:tcW w:w="990" w:type="dxa"/>
            <w:shd w:val="clear" w:color="auto" w:fill="auto"/>
            <w:vAlign w:val="bottom"/>
          </w:tcPr>
          <w:p w14:paraId="374CD6C9" w14:textId="45516ADC"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19</w:t>
            </w:r>
          </w:p>
        </w:tc>
        <w:tc>
          <w:tcPr>
            <w:tcW w:w="1440" w:type="dxa"/>
            <w:shd w:val="clear" w:color="auto" w:fill="auto"/>
            <w:vAlign w:val="bottom"/>
          </w:tcPr>
          <w:p w14:paraId="19D8BC1B" w14:textId="5F7D637F"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35</w:t>
            </w:r>
          </w:p>
        </w:tc>
        <w:tc>
          <w:tcPr>
            <w:tcW w:w="1530" w:type="dxa"/>
            <w:shd w:val="clear" w:color="auto" w:fill="C2D3E7"/>
            <w:vAlign w:val="bottom"/>
          </w:tcPr>
          <w:p w14:paraId="2AB51E8B" w14:textId="685ED65A"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0.30</w:t>
            </w:r>
          </w:p>
        </w:tc>
      </w:tr>
      <w:tr w:rsidR="004346A7" w:rsidRPr="004C355A" w14:paraId="5EEC6BF3" w14:textId="77777777" w:rsidTr="004346A7">
        <w:trPr>
          <w:trHeight w:val="290"/>
        </w:trPr>
        <w:tc>
          <w:tcPr>
            <w:tcW w:w="1383" w:type="dxa"/>
            <w:vAlign w:val="bottom"/>
          </w:tcPr>
          <w:p w14:paraId="65BABBBD" w14:textId="77777777" w:rsidR="004346A7" w:rsidRPr="004346A7" w:rsidRDefault="004346A7" w:rsidP="004346A7">
            <w:pPr>
              <w:autoSpaceDE w:val="0"/>
              <w:autoSpaceDN w:val="0"/>
              <w:adjustRightInd w:val="0"/>
              <w:jc w:val="center"/>
              <w:rPr>
                <w:rFonts w:ascii="Arial Narrow" w:hAnsi="Arial Narrow" w:cs="Calibri"/>
                <w:color w:val="000000"/>
                <w:sz w:val="20"/>
                <w:szCs w:val="20"/>
              </w:rPr>
            </w:pPr>
          </w:p>
        </w:tc>
        <w:tc>
          <w:tcPr>
            <w:tcW w:w="1620" w:type="dxa"/>
            <w:vAlign w:val="bottom"/>
          </w:tcPr>
          <w:p w14:paraId="47C134D3" w14:textId="19522505"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Gish Branch</w:t>
            </w:r>
          </w:p>
        </w:tc>
        <w:tc>
          <w:tcPr>
            <w:tcW w:w="1350" w:type="dxa"/>
            <w:vAlign w:val="bottom"/>
          </w:tcPr>
          <w:p w14:paraId="5A146375" w14:textId="7F6300FC"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4AGSH001.28</w:t>
            </w:r>
          </w:p>
        </w:tc>
        <w:tc>
          <w:tcPr>
            <w:tcW w:w="1080" w:type="dxa"/>
            <w:vAlign w:val="bottom"/>
          </w:tcPr>
          <w:p w14:paraId="5B38736B" w14:textId="1429D164"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8/29/2012</w:t>
            </w:r>
          </w:p>
        </w:tc>
        <w:tc>
          <w:tcPr>
            <w:tcW w:w="990" w:type="dxa"/>
            <w:shd w:val="clear" w:color="auto" w:fill="auto"/>
            <w:vAlign w:val="bottom"/>
          </w:tcPr>
          <w:p w14:paraId="1FB0A9A3" w14:textId="235296F6"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36</w:t>
            </w:r>
          </w:p>
        </w:tc>
        <w:tc>
          <w:tcPr>
            <w:tcW w:w="1440" w:type="dxa"/>
            <w:shd w:val="clear" w:color="auto" w:fill="auto"/>
            <w:vAlign w:val="bottom"/>
          </w:tcPr>
          <w:p w14:paraId="57689CEB" w14:textId="32762699"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32</w:t>
            </w:r>
          </w:p>
        </w:tc>
        <w:tc>
          <w:tcPr>
            <w:tcW w:w="1530" w:type="dxa"/>
            <w:shd w:val="clear" w:color="auto" w:fill="FFFFA6"/>
            <w:vAlign w:val="bottom"/>
          </w:tcPr>
          <w:p w14:paraId="6358C0E1" w14:textId="79B37D24"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-1.33</w:t>
            </w:r>
          </w:p>
        </w:tc>
      </w:tr>
      <w:tr w:rsidR="004346A7" w:rsidRPr="004C355A" w14:paraId="2C1619A4" w14:textId="77777777" w:rsidTr="00390D6B">
        <w:trPr>
          <w:trHeight w:val="290"/>
        </w:trPr>
        <w:tc>
          <w:tcPr>
            <w:tcW w:w="1383" w:type="dxa"/>
            <w:vAlign w:val="bottom"/>
          </w:tcPr>
          <w:p w14:paraId="4DAEEB57" w14:textId="77777777" w:rsidR="004346A7" w:rsidRPr="004346A7" w:rsidRDefault="004346A7" w:rsidP="004346A7">
            <w:pPr>
              <w:autoSpaceDE w:val="0"/>
              <w:autoSpaceDN w:val="0"/>
              <w:adjustRightInd w:val="0"/>
              <w:jc w:val="center"/>
              <w:rPr>
                <w:rFonts w:ascii="Arial Narrow" w:hAnsi="Arial Narrow" w:cs="Calibri"/>
                <w:color w:val="000000"/>
                <w:sz w:val="20"/>
                <w:szCs w:val="20"/>
              </w:rPr>
            </w:pPr>
          </w:p>
        </w:tc>
        <w:tc>
          <w:tcPr>
            <w:tcW w:w="1620" w:type="dxa"/>
            <w:vAlign w:val="bottom"/>
          </w:tcPr>
          <w:p w14:paraId="4A873CC0" w14:textId="75D4CBCE"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Mason Creek UT</w:t>
            </w:r>
          </w:p>
        </w:tc>
        <w:tc>
          <w:tcPr>
            <w:tcW w:w="1350" w:type="dxa"/>
            <w:vAlign w:val="bottom"/>
          </w:tcPr>
          <w:p w14:paraId="41326AEA" w14:textId="7F9B963E"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4AXNB000.60</w:t>
            </w:r>
          </w:p>
        </w:tc>
        <w:tc>
          <w:tcPr>
            <w:tcW w:w="1080" w:type="dxa"/>
            <w:vAlign w:val="bottom"/>
          </w:tcPr>
          <w:p w14:paraId="463C72B1" w14:textId="0EDFC4D5"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9/20/2006</w:t>
            </w:r>
          </w:p>
        </w:tc>
        <w:tc>
          <w:tcPr>
            <w:tcW w:w="990" w:type="dxa"/>
            <w:shd w:val="clear" w:color="auto" w:fill="auto"/>
            <w:vAlign w:val="bottom"/>
          </w:tcPr>
          <w:p w14:paraId="1808C86B" w14:textId="398EE00B"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7</w:t>
            </w:r>
          </w:p>
        </w:tc>
        <w:tc>
          <w:tcPr>
            <w:tcW w:w="1440" w:type="dxa"/>
            <w:shd w:val="clear" w:color="auto" w:fill="auto"/>
            <w:vAlign w:val="bottom"/>
          </w:tcPr>
          <w:p w14:paraId="23FD7BBA" w14:textId="3935D678"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16</w:t>
            </w:r>
          </w:p>
        </w:tc>
        <w:tc>
          <w:tcPr>
            <w:tcW w:w="1530" w:type="dxa"/>
            <w:shd w:val="clear" w:color="auto" w:fill="C2D3E7"/>
            <w:vAlign w:val="bottom"/>
          </w:tcPr>
          <w:p w14:paraId="4E8053A7" w14:textId="61719694"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-0.34</w:t>
            </w:r>
          </w:p>
        </w:tc>
      </w:tr>
      <w:tr w:rsidR="004346A7" w:rsidRPr="004C355A" w14:paraId="44C6FB9B" w14:textId="77777777" w:rsidTr="00390D6B">
        <w:trPr>
          <w:trHeight w:val="290"/>
        </w:trPr>
        <w:tc>
          <w:tcPr>
            <w:tcW w:w="1383" w:type="dxa"/>
            <w:vAlign w:val="bottom"/>
          </w:tcPr>
          <w:p w14:paraId="203E6842" w14:textId="77777777" w:rsidR="004346A7" w:rsidRPr="004346A7" w:rsidRDefault="004346A7" w:rsidP="004346A7">
            <w:pPr>
              <w:autoSpaceDE w:val="0"/>
              <w:autoSpaceDN w:val="0"/>
              <w:adjustRightInd w:val="0"/>
              <w:jc w:val="center"/>
              <w:rPr>
                <w:rFonts w:ascii="Arial Narrow" w:hAnsi="Arial Narrow" w:cs="Calibri"/>
                <w:color w:val="000000"/>
                <w:sz w:val="20"/>
                <w:szCs w:val="20"/>
              </w:rPr>
            </w:pPr>
          </w:p>
        </w:tc>
        <w:tc>
          <w:tcPr>
            <w:tcW w:w="1620" w:type="dxa"/>
            <w:vAlign w:val="bottom"/>
          </w:tcPr>
          <w:p w14:paraId="15327A34" w14:textId="5DAA9590"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Mud Lick Creek</w:t>
            </w:r>
          </w:p>
        </w:tc>
        <w:tc>
          <w:tcPr>
            <w:tcW w:w="1350" w:type="dxa"/>
            <w:vAlign w:val="bottom"/>
          </w:tcPr>
          <w:p w14:paraId="4C86E8A5" w14:textId="7438A16E"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4AMDL002.93</w:t>
            </w:r>
          </w:p>
        </w:tc>
        <w:tc>
          <w:tcPr>
            <w:tcW w:w="1080" w:type="dxa"/>
            <w:vAlign w:val="bottom"/>
          </w:tcPr>
          <w:p w14:paraId="6E97CDEB" w14:textId="3B95FD49"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10/4/2007</w:t>
            </w:r>
          </w:p>
        </w:tc>
        <w:tc>
          <w:tcPr>
            <w:tcW w:w="990" w:type="dxa"/>
            <w:shd w:val="clear" w:color="auto" w:fill="auto"/>
            <w:vAlign w:val="bottom"/>
          </w:tcPr>
          <w:p w14:paraId="50C39141" w14:textId="0422AAF8"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49</w:t>
            </w:r>
          </w:p>
        </w:tc>
        <w:tc>
          <w:tcPr>
            <w:tcW w:w="1440" w:type="dxa"/>
            <w:shd w:val="clear" w:color="auto" w:fill="auto"/>
            <w:vAlign w:val="bottom"/>
          </w:tcPr>
          <w:p w14:paraId="79A83F34" w14:textId="4105B094"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63</w:t>
            </w:r>
          </w:p>
        </w:tc>
        <w:tc>
          <w:tcPr>
            <w:tcW w:w="1530" w:type="dxa"/>
            <w:shd w:val="clear" w:color="auto" w:fill="C2D3E7"/>
            <w:vAlign w:val="bottom"/>
          </w:tcPr>
          <w:p w14:paraId="468DB0DD" w14:textId="1253F85B"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-0.40</w:t>
            </w:r>
          </w:p>
        </w:tc>
      </w:tr>
      <w:tr w:rsidR="004346A7" w:rsidRPr="004C355A" w14:paraId="6D16D4B0" w14:textId="77777777" w:rsidTr="00390D6B">
        <w:trPr>
          <w:trHeight w:val="290"/>
        </w:trPr>
        <w:tc>
          <w:tcPr>
            <w:tcW w:w="1383" w:type="dxa"/>
            <w:tcBorders>
              <w:bottom w:val="single" w:sz="4" w:space="0" w:color="auto"/>
            </w:tcBorders>
            <w:vAlign w:val="bottom"/>
          </w:tcPr>
          <w:p w14:paraId="547723FC" w14:textId="77777777" w:rsidR="004346A7" w:rsidRPr="004346A7" w:rsidRDefault="004346A7" w:rsidP="004346A7">
            <w:pPr>
              <w:autoSpaceDE w:val="0"/>
              <w:autoSpaceDN w:val="0"/>
              <w:adjustRightInd w:val="0"/>
              <w:jc w:val="center"/>
              <w:rPr>
                <w:rFonts w:ascii="Arial Narrow" w:hAnsi="Arial Narrow" w:cs="Calibri"/>
                <w:color w:val="000000"/>
                <w:sz w:val="20"/>
                <w:szCs w:val="20"/>
              </w:rPr>
            </w:pPr>
          </w:p>
        </w:tc>
        <w:tc>
          <w:tcPr>
            <w:tcW w:w="1620" w:type="dxa"/>
            <w:tcBorders>
              <w:bottom w:val="single" w:sz="4" w:space="0" w:color="auto"/>
            </w:tcBorders>
            <w:vAlign w:val="bottom"/>
          </w:tcPr>
          <w:p w14:paraId="79AC57E8" w14:textId="3A6B85B0"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Ore Branch</w:t>
            </w:r>
          </w:p>
        </w:tc>
        <w:tc>
          <w:tcPr>
            <w:tcW w:w="1350" w:type="dxa"/>
            <w:tcBorders>
              <w:bottom w:val="single" w:sz="4" w:space="0" w:color="auto"/>
            </w:tcBorders>
            <w:vAlign w:val="bottom"/>
          </w:tcPr>
          <w:p w14:paraId="63B5458E" w14:textId="49F4877B"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4AORE000.01</w:t>
            </w:r>
          </w:p>
        </w:tc>
        <w:tc>
          <w:tcPr>
            <w:tcW w:w="1080" w:type="dxa"/>
            <w:vAlign w:val="bottom"/>
          </w:tcPr>
          <w:p w14:paraId="3C3A568A" w14:textId="44FE4BA8"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10/24/2011</w:t>
            </w:r>
          </w:p>
        </w:tc>
        <w:tc>
          <w:tcPr>
            <w:tcW w:w="990" w:type="dxa"/>
            <w:shd w:val="clear" w:color="auto" w:fill="auto"/>
            <w:vAlign w:val="bottom"/>
          </w:tcPr>
          <w:p w14:paraId="2516D2F0" w14:textId="6AA93AEE"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1</w:t>
            </w:r>
          </w:p>
        </w:tc>
        <w:tc>
          <w:tcPr>
            <w:tcW w:w="1440" w:type="dxa"/>
            <w:shd w:val="clear" w:color="auto" w:fill="auto"/>
            <w:vAlign w:val="bottom"/>
          </w:tcPr>
          <w:p w14:paraId="77A6FCC1" w14:textId="7946A090"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5</w:t>
            </w:r>
          </w:p>
        </w:tc>
        <w:tc>
          <w:tcPr>
            <w:tcW w:w="1530" w:type="dxa"/>
            <w:shd w:val="clear" w:color="auto" w:fill="C2D3E7"/>
            <w:vAlign w:val="bottom"/>
          </w:tcPr>
          <w:p w14:paraId="5C3B6176" w14:textId="258AA7EE" w:rsidR="004346A7" w:rsidRPr="004346A7" w:rsidRDefault="004346A7" w:rsidP="004346A7">
            <w:pPr>
              <w:autoSpaceDE w:val="0"/>
              <w:autoSpaceDN w:val="0"/>
              <w:adjustRightInd w:val="0"/>
              <w:jc w:val="center"/>
              <w:rPr>
                <w:rFonts w:ascii="Arial Narrow" w:hAnsi="Arial Narrow" w:cs="Calibri"/>
                <w:color w:val="000000"/>
                <w:sz w:val="20"/>
                <w:szCs w:val="20"/>
              </w:rPr>
            </w:pPr>
            <w:r w:rsidRPr="004346A7">
              <w:rPr>
                <w:rFonts w:ascii="Arial Narrow" w:hAnsi="Arial Narrow" w:cs="Calibri"/>
                <w:color w:val="000000"/>
                <w:sz w:val="20"/>
                <w:szCs w:val="20"/>
              </w:rPr>
              <w:t>-0.29</w:t>
            </w:r>
          </w:p>
        </w:tc>
      </w:tr>
    </w:tbl>
    <w:p w14:paraId="2B00AA3F" w14:textId="4E811598" w:rsidR="002E0789" w:rsidRDefault="002E0789" w:rsidP="002E0789">
      <w:pPr>
        <w:pStyle w:val="BlockText"/>
        <w:spacing w:before="0" w:after="0" w:line="240" w:lineRule="auto"/>
        <w:rPr>
          <w:rFonts w:ascii="Arial Narrow" w:hAnsi="Arial Narrow"/>
          <w:sz w:val="20"/>
          <w:szCs w:val="20"/>
        </w:rPr>
      </w:pPr>
      <w:r w:rsidRPr="004C355A">
        <w:rPr>
          <w:rFonts w:ascii="Arial Narrow" w:hAnsi="Arial Narrow"/>
          <w:sz w:val="20"/>
          <w:szCs w:val="20"/>
          <w:vertAlign w:val="superscript"/>
        </w:rPr>
        <w:t>1</w:t>
      </w:r>
      <w:r w:rsidRPr="004C355A">
        <w:rPr>
          <w:rFonts w:ascii="Arial Narrow" w:hAnsi="Arial Narrow"/>
          <w:sz w:val="20"/>
          <w:szCs w:val="20"/>
        </w:rPr>
        <w:t xml:space="preserve"> Values in blue are in the no probability range for stressor effects. </w:t>
      </w:r>
      <w:r w:rsidR="00435FA2">
        <w:rPr>
          <w:rFonts w:ascii="Arial Narrow" w:hAnsi="Arial Narrow"/>
          <w:sz w:val="20"/>
          <w:szCs w:val="20"/>
        </w:rPr>
        <w:t xml:space="preserve">Values in green are in the low probability range for stressor effects. </w:t>
      </w:r>
      <w:r w:rsidRPr="004C355A">
        <w:rPr>
          <w:rFonts w:ascii="Arial Narrow" w:hAnsi="Arial Narrow"/>
          <w:sz w:val="20"/>
          <w:szCs w:val="20"/>
        </w:rPr>
        <w:t xml:space="preserve">Values in </w:t>
      </w:r>
      <w:r w:rsidR="004C355A">
        <w:rPr>
          <w:rFonts w:ascii="Arial Narrow" w:hAnsi="Arial Narrow"/>
          <w:sz w:val="20"/>
          <w:szCs w:val="20"/>
        </w:rPr>
        <w:t xml:space="preserve">yellow are in the medium probability range for stressor effects, and values in </w:t>
      </w:r>
      <w:r w:rsidR="002D0AA7" w:rsidRPr="004C355A">
        <w:rPr>
          <w:rFonts w:ascii="Arial Narrow" w:hAnsi="Arial Narrow"/>
          <w:sz w:val="20"/>
          <w:szCs w:val="20"/>
        </w:rPr>
        <w:t>red</w:t>
      </w:r>
      <w:r w:rsidRPr="004C355A">
        <w:rPr>
          <w:rFonts w:ascii="Arial Narrow" w:hAnsi="Arial Narrow"/>
          <w:sz w:val="20"/>
          <w:szCs w:val="20"/>
        </w:rPr>
        <w:t xml:space="preserve"> are in the </w:t>
      </w:r>
      <w:r w:rsidR="002D0AA7" w:rsidRPr="004C355A">
        <w:rPr>
          <w:rFonts w:ascii="Arial Narrow" w:hAnsi="Arial Narrow"/>
          <w:sz w:val="20"/>
          <w:szCs w:val="20"/>
        </w:rPr>
        <w:t>high</w:t>
      </w:r>
      <w:r w:rsidRPr="004C355A">
        <w:rPr>
          <w:rFonts w:ascii="Arial Narrow" w:hAnsi="Arial Narrow"/>
          <w:sz w:val="20"/>
          <w:szCs w:val="20"/>
        </w:rPr>
        <w:t xml:space="preserve"> probability range. </w:t>
      </w:r>
    </w:p>
    <w:p w14:paraId="49264B46" w14:textId="77777777" w:rsidR="00721AC7" w:rsidRPr="004C355A" w:rsidRDefault="00721AC7" w:rsidP="002E0789">
      <w:pPr>
        <w:pStyle w:val="BlockText"/>
        <w:spacing w:before="0" w:after="0" w:line="240" w:lineRule="auto"/>
        <w:rPr>
          <w:rFonts w:ascii="Arial Narrow" w:hAnsi="Arial Narrow"/>
          <w:sz w:val="20"/>
          <w:szCs w:val="20"/>
        </w:rPr>
      </w:pPr>
    </w:p>
    <w:p w14:paraId="1D3AE673" w14:textId="2C757DFE" w:rsidR="008F08A3" w:rsidRPr="00FA3FDD" w:rsidRDefault="008F08A3" w:rsidP="00BA50C9">
      <w:pPr>
        <w:pStyle w:val="Heading2"/>
      </w:pPr>
      <w:bookmarkStart w:id="71" w:name="_Toc162948161"/>
      <w:r w:rsidRPr="00FA3FDD">
        <w:t xml:space="preserve">Land </w:t>
      </w:r>
      <w:r w:rsidR="006E6038" w:rsidRPr="00FA3FDD">
        <w:t>Cover</w:t>
      </w:r>
      <w:r w:rsidRPr="00FA3FDD">
        <w:t xml:space="preserve"> Assessment</w:t>
      </w:r>
      <w:bookmarkEnd w:id="71"/>
    </w:p>
    <w:p w14:paraId="69940E10" w14:textId="6C66DE03" w:rsidR="00EE115E" w:rsidRPr="00FA3FDD" w:rsidRDefault="00050591" w:rsidP="00050591">
      <w:pPr>
        <w:pStyle w:val="BlockText"/>
      </w:pPr>
      <w:r w:rsidRPr="00FA3FDD">
        <w:t xml:space="preserve">While a more detailed land </w:t>
      </w:r>
      <w:r w:rsidR="006E6038" w:rsidRPr="00FA3FDD">
        <w:t>cover</w:t>
      </w:r>
      <w:r w:rsidRPr="00FA3FDD">
        <w:t xml:space="preserve"> assessment will be part of the </w:t>
      </w:r>
      <w:r w:rsidR="00CC75A0">
        <w:t xml:space="preserve">Roanoke River Project </w:t>
      </w:r>
      <w:r w:rsidRPr="00FA3FDD">
        <w:t xml:space="preserve">TMDL Report, the stressor analysis evaluated the potential connections between land </w:t>
      </w:r>
      <w:r w:rsidR="006E6038" w:rsidRPr="00FA3FDD">
        <w:t>cover</w:t>
      </w:r>
      <w:r w:rsidRPr="00FA3FDD">
        <w:t xml:space="preserve"> patterns within the watershed and impaired benthic stations. </w:t>
      </w:r>
      <w:r w:rsidR="00DA7D6F" w:rsidRPr="00FA3FDD">
        <w:fldChar w:fldCharType="begin"/>
      </w:r>
      <w:r w:rsidR="00DA7D6F" w:rsidRPr="00FA3FDD">
        <w:instrText xml:space="preserve"> REF _Ref43387759 \h </w:instrText>
      </w:r>
      <w:r w:rsidR="00867C44" w:rsidRPr="00FA3FDD">
        <w:instrText xml:space="preserve"> \* MERGEFORMAT </w:instrText>
      </w:r>
      <w:r w:rsidR="00DA7D6F" w:rsidRPr="00FA3FDD">
        <w:fldChar w:fldCharType="separate"/>
      </w:r>
      <w:r w:rsidR="004A78BF" w:rsidRPr="00FA3FDD">
        <w:t xml:space="preserve">Table </w:t>
      </w:r>
      <w:r w:rsidR="004A78BF">
        <w:rPr>
          <w:noProof/>
        </w:rPr>
        <w:t>9</w:t>
      </w:r>
      <w:r w:rsidR="00DA7D6F" w:rsidRPr="00FA3FDD">
        <w:fldChar w:fldCharType="end"/>
      </w:r>
      <w:r w:rsidR="00DA7D6F" w:rsidRPr="00FA3FDD">
        <w:t xml:space="preserve"> </w:t>
      </w:r>
      <w:r w:rsidRPr="00FA3FDD">
        <w:t xml:space="preserve">shows the land </w:t>
      </w:r>
      <w:r w:rsidR="006E6038" w:rsidRPr="00FA3FDD">
        <w:t>cover</w:t>
      </w:r>
      <w:r w:rsidRPr="00FA3FDD">
        <w:t xml:space="preserve"> contributing to each of the benthic monitoring stations</w:t>
      </w:r>
      <w:r w:rsidR="00CC75A0">
        <w:t xml:space="preserve"> in the three impaired streams</w:t>
      </w:r>
      <w:r w:rsidRPr="00FA3FDD">
        <w:t xml:space="preserve">. </w:t>
      </w:r>
      <w:r w:rsidR="00CC75A0">
        <w:t>The Wolf Creek watershed was dominated by urban and residential grasses (37%) and trees (18%), forest (24%), and impervious (16%). The watershed draining to the impaired Tinker Creek station was dominated by forest (43%), urban and residential grasses (18%) and trees (13%), and impervious (15%). Moving upstream from this station, impervious areas decreased</w:t>
      </w:r>
      <w:r w:rsidR="001851AB">
        <w:t xml:space="preserve"> and pasture increased. The watershed draining to the most downstream impaired Roanoke River station (4AROA198.08) was dominated by forest (60%), urban and residential grasses (12%) and trees (9%), and impervious (9%).</w:t>
      </w:r>
      <w:r w:rsidR="00CC75A0">
        <w:t xml:space="preserve"> </w:t>
      </w:r>
      <w:r w:rsidR="001851AB">
        <w:t>Moving upstream from this station, impervious areas and urban and residential grasses and trees decreased while forest increased.</w:t>
      </w:r>
      <w:r w:rsidR="00B60717">
        <w:t xml:space="preserve"> </w:t>
      </w:r>
    </w:p>
    <w:p w14:paraId="222C0017" w14:textId="490DFCB5" w:rsidR="00DD3B0C" w:rsidRPr="00FA3FDD" w:rsidRDefault="00050591" w:rsidP="009B021C">
      <w:pPr>
        <w:pStyle w:val="BlockText"/>
      </w:pPr>
      <w:r w:rsidRPr="00FA3FDD">
        <w:t>Regression analys</w:t>
      </w:r>
      <w:r w:rsidR="00424B22">
        <w:t>i</w:t>
      </w:r>
      <w:r w:rsidRPr="00FA3FDD">
        <w:t>s w</w:t>
      </w:r>
      <w:r w:rsidR="00424B22">
        <w:t>as</w:t>
      </w:r>
      <w:r w:rsidRPr="00FA3FDD">
        <w:t xml:space="preserve"> used to compare these land </w:t>
      </w:r>
      <w:r w:rsidR="00AE3FE5" w:rsidRPr="00FA3FDD">
        <w:t xml:space="preserve">cover </w:t>
      </w:r>
      <w:r w:rsidRPr="00FA3FDD">
        <w:t>trends to benthic SCI scores at the respective stations</w:t>
      </w:r>
      <w:r w:rsidR="001851AB">
        <w:t xml:space="preserve"> </w:t>
      </w:r>
      <w:r w:rsidR="00AE3FE5" w:rsidRPr="00FA3FDD">
        <w:t>(</w:t>
      </w:r>
      <w:r w:rsidR="00AE3FE5" w:rsidRPr="00FA3FDD">
        <w:fldChar w:fldCharType="begin"/>
      </w:r>
      <w:r w:rsidR="00AE3FE5" w:rsidRPr="00FA3FDD">
        <w:instrText xml:space="preserve"> REF _Ref76131799 \h </w:instrText>
      </w:r>
      <w:r w:rsidR="007A0C83" w:rsidRPr="00FA3FDD">
        <w:instrText xml:space="preserve"> \* MERGEFORMAT </w:instrText>
      </w:r>
      <w:r w:rsidR="00AE3FE5" w:rsidRPr="00FA3FDD">
        <w:fldChar w:fldCharType="separate"/>
      </w:r>
      <w:r w:rsidR="004A78BF" w:rsidRPr="00FA3FDD">
        <w:t xml:space="preserve">Table </w:t>
      </w:r>
      <w:r w:rsidR="004A78BF">
        <w:rPr>
          <w:noProof/>
        </w:rPr>
        <w:t>10</w:t>
      </w:r>
      <w:r w:rsidR="00AE3FE5" w:rsidRPr="00FA3FDD">
        <w:fldChar w:fldCharType="end"/>
      </w:r>
      <w:r w:rsidR="00AE3FE5" w:rsidRPr="00FA3FDD">
        <w:t>).</w:t>
      </w:r>
      <w:r w:rsidR="00C0653D" w:rsidRPr="00FA3FDD">
        <w:t xml:space="preserve"> </w:t>
      </w:r>
      <w:r w:rsidR="001851AB">
        <w:t xml:space="preserve">Statistically significant regressions were observed between </w:t>
      </w:r>
      <w:r w:rsidR="00AE3FE5" w:rsidRPr="00FA3FDD">
        <w:t xml:space="preserve">SCI scores </w:t>
      </w:r>
      <w:r w:rsidR="001851AB">
        <w:t>and impervious, urban/residential grasses, and wetlands/other. The strongest predictor of SCI scores was impervious land cover (r</w:t>
      </w:r>
      <w:r w:rsidR="001851AB" w:rsidRPr="001851AB">
        <w:rPr>
          <w:vertAlign w:val="superscript"/>
        </w:rPr>
        <w:t>2</w:t>
      </w:r>
      <w:r w:rsidR="001851AB">
        <w:t xml:space="preserve"> = 0.58), which increased with decreasing SCI scores. Urban/residential grasses were also negatively correlated with SCI scores, while wetlands were positively correlated. SCI scores increased with increasing wetlands in the watershed. These results suggest that as these watersheds </w:t>
      </w:r>
      <w:r w:rsidR="00BE4009">
        <w:t>progressively become more urbanized from headwaters to outlet, benthic health decreases.</w:t>
      </w:r>
    </w:p>
    <w:p w14:paraId="39478ED8" w14:textId="77777777" w:rsidR="00136016" w:rsidRPr="00FA3FDD" w:rsidRDefault="00136016" w:rsidP="00050591">
      <w:pPr>
        <w:spacing w:before="120" w:after="120" w:line="360" w:lineRule="auto"/>
        <w:sectPr w:rsidR="00136016" w:rsidRPr="00FA3FDD" w:rsidSect="00DA07E7">
          <w:headerReference w:type="even" r:id="rId31"/>
          <w:headerReference w:type="default" r:id="rId32"/>
          <w:footerReference w:type="default" r:id="rId33"/>
          <w:headerReference w:type="first" r:id="rId34"/>
          <w:pgSz w:w="12240" w:h="15840"/>
          <w:pgMar w:top="1440" w:right="1440" w:bottom="1440" w:left="1440" w:header="576" w:footer="720" w:gutter="0"/>
          <w:pgNumType w:start="1"/>
          <w:cols w:space="720"/>
          <w:docGrid w:linePitch="360"/>
        </w:sectPr>
      </w:pPr>
    </w:p>
    <w:p w14:paraId="18966BD3" w14:textId="15F66F75" w:rsidR="00DA7D6F" w:rsidRPr="00FA3FDD" w:rsidRDefault="00DA7D6F" w:rsidP="008F4D3E">
      <w:pPr>
        <w:pStyle w:val="Caption"/>
      </w:pPr>
      <w:bookmarkStart w:id="72" w:name="_Ref43387759"/>
      <w:bookmarkStart w:id="73" w:name="_Toc162948276"/>
      <w:r w:rsidRPr="00FA3FDD">
        <w:t xml:space="preserve">Table </w:t>
      </w:r>
      <w:r w:rsidR="00083B7E" w:rsidRPr="00FA3FDD">
        <w:rPr>
          <w:noProof/>
        </w:rPr>
        <w:fldChar w:fldCharType="begin"/>
      </w:r>
      <w:r w:rsidR="00083B7E" w:rsidRPr="00FA3FDD">
        <w:rPr>
          <w:noProof/>
        </w:rPr>
        <w:instrText xml:space="preserve"> SEQ Table \* ARABIC </w:instrText>
      </w:r>
      <w:r w:rsidR="00083B7E" w:rsidRPr="00FA3FDD">
        <w:rPr>
          <w:noProof/>
        </w:rPr>
        <w:fldChar w:fldCharType="separate"/>
      </w:r>
      <w:r w:rsidR="004A78BF">
        <w:rPr>
          <w:noProof/>
        </w:rPr>
        <w:t>9</w:t>
      </w:r>
      <w:r w:rsidR="00083B7E" w:rsidRPr="00FA3FDD">
        <w:rPr>
          <w:noProof/>
        </w:rPr>
        <w:fldChar w:fldCharType="end"/>
      </w:r>
      <w:bookmarkEnd w:id="72"/>
      <w:r w:rsidRPr="00FA3FDD">
        <w:t xml:space="preserve">. Land </w:t>
      </w:r>
      <w:r w:rsidR="008F4D3E">
        <w:t>cover</w:t>
      </w:r>
      <w:r w:rsidRPr="00FA3FDD">
        <w:t xml:space="preserve"> upstream from benthic monitoring station</w:t>
      </w:r>
      <w:r w:rsidR="00C1484D">
        <w:t>s</w:t>
      </w:r>
      <w:r w:rsidRPr="00FA3FDD">
        <w:t>.</w:t>
      </w:r>
      <w:bookmarkEnd w:id="73"/>
    </w:p>
    <w:tbl>
      <w:tblPr>
        <w:tblStyle w:val="TableGrid"/>
        <w:tblW w:w="13135" w:type="dxa"/>
        <w:jc w:val="center"/>
        <w:tblLayout w:type="fixed"/>
        <w:tblLook w:val="04A0" w:firstRow="1" w:lastRow="0" w:firstColumn="1" w:lastColumn="0" w:noHBand="0" w:noVBand="1"/>
        <w:tblCaption w:val="Land use upstream from each benthic monitoring station in the NF Rivanna River watershed"/>
      </w:tblPr>
      <w:tblGrid>
        <w:gridCol w:w="1435"/>
        <w:gridCol w:w="1350"/>
        <w:gridCol w:w="720"/>
        <w:gridCol w:w="1170"/>
        <w:gridCol w:w="810"/>
        <w:gridCol w:w="810"/>
        <w:gridCol w:w="1080"/>
        <w:gridCol w:w="810"/>
        <w:gridCol w:w="1080"/>
        <w:gridCol w:w="1080"/>
        <w:gridCol w:w="900"/>
        <w:gridCol w:w="990"/>
        <w:gridCol w:w="900"/>
      </w:tblGrid>
      <w:tr w:rsidR="00A279A8" w:rsidRPr="00BF49DD" w14:paraId="57190634" w14:textId="77777777" w:rsidTr="00BF49DD">
        <w:trPr>
          <w:trHeight w:hRule="exact" w:val="586"/>
          <w:tblHeader/>
          <w:jc w:val="center"/>
        </w:trPr>
        <w:tc>
          <w:tcPr>
            <w:tcW w:w="1435" w:type="dxa"/>
            <w:tcBorders>
              <w:bottom w:val="single" w:sz="4" w:space="0" w:color="auto"/>
            </w:tcBorders>
            <w:shd w:val="clear" w:color="auto" w:fill="D9D9D9" w:themeFill="background1" w:themeFillShade="D9"/>
            <w:vAlign w:val="center"/>
          </w:tcPr>
          <w:p w14:paraId="56581AAB" w14:textId="77777777" w:rsidR="00A279A8" w:rsidRPr="00BF49DD" w:rsidRDefault="00A279A8" w:rsidP="00A279A8">
            <w:pPr>
              <w:pStyle w:val="BlockText"/>
              <w:spacing w:before="0" w:after="0" w:line="240" w:lineRule="auto"/>
              <w:jc w:val="center"/>
              <w:rPr>
                <w:rFonts w:ascii="Arial Narrow" w:hAnsi="Arial Narrow"/>
                <w:b/>
                <w:sz w:val="20"/>
                <w:szCs w:val="20"/>
              </w:rPr>
            </w:pPr>
            <w:r w:rsidRPr="00BF49DD">
              <w:rPr>
                <w:rFonts w:ascii="Arial Narrow" w:hAnsi="Arial Narrow"/>
                <w:b/>
                <w:sz w:val="20"/>
                <w:szCs w:val="20"/>
              </w:rPr>
              <w:t>Stream</w:t>
            </w:r>
          </w:p>
        </w:tc>
        <w:tc>
          <w:tcPr>
            <w:tcW w:w="1350" w:type="dxa"/>
            <w:shd w:val="clear" w:color="auto" w:fill="D9D9D9" w:themeFill="background1" w:themeFillShade="D9"/>
            <w:vAlign w:val="center"/>
          </w:tcPr>
          <w:p w14:paraId="0D040344" w14:textId="77777777" w:rsidR="00A279A8" w:rsidRPr="00BF49DD" w:rsidRDefault="00A279A8" w:rsidP="00A279A8">
            <w:pPr>
              <w:pStyle w:val="BlockText"/>
              <w:spacing w:before="0" w:after="0" w:line="240" w:lineRule="auto"/>
              <w:jc w:val="center"/>
              <w:rPr>
                <w:rFonts w:ascii="Arial Narrow" w:hAnsi="Arial Narrow"/>
                <w:b/>
                <w:sz w:val="20"/>
                <w:szCs w:val="20"/>
              </w:rPr>
            </w:pPr>
            <w:r w:rsidRPr="00BF49DD">
              <w:rPr>
                <w:rFonts w:ascii="Arial Narrow" w:hAnsi="Arial Narrow"/>
                <w:b/>
                <w:sz w:val="20"/>
                <w:szCs w:val="20"/>
              </w:rPr>
              <w:t>Station</w:t>
            </w:r>
          </w:p>
        </w:tc>
        <w:tc>
          <w:tcPr>
            <w:tcW w:w="720" w:type="dxa"/>
            <w:shd w:val="clear" w:color="auto" w:fill="D9D9D9" w:themeFill="background1" w:themeFillShade="D9"/>
            <w:vAlign w:val="center"/>
          </w:tcPr>
          <w:p w14:paraId="6DFE05D1" w14:textId="77777777" w:rsidR="00A279A8" w:rsidRPr="00BF49DD" w:rsidRDefault="00A279A8" w:rsidP="00A279A8">
            <w:pPr>
              <w:jc w:val="center"/>
              <w:rPr>
                <w:rFonts w:ascii="Arial Narrow" w:hAnsi="Arial Narrow"/>
                <w:b/>
                <w:bCs/>
                <w:color w:val="000000"/>
                <w:sz w:val="20"/>
                <w:szCs w:val="20"/>
              </w:rPr>
            </w:pPr>
            <w:r w:rsidRPr="00BF49DD">
              <w:rPr>
                <w:rFonts w:ascii="Arial Narrow" w:hAnsi="Arial Narrow"/>
                <w:b/>
                <w:bCs/>
                <w:color w:val="000000"/>
                <w:sz w:val="20"/>
                <w:szCs w:val="20"/>
              </w:rPr>
              <w:t>Water</w:t>
            </w:r>
          </w:p>
        </w:tc>
        <w:tc>
          <w:tcPr>
            <w:tcW w:w="1170" w:type="dxa"/>
            <w:shd w:val="clear" w:color="auto" w:fill="D9D9D9" w:themeFill="background1" w:themeFillShade="D9"/>
            <w:vAlign w:val="center"/>
          </w:tcPr>
          <w:p w14:paraId="45321305" w14:textId="77777777" w:rsidR="00A279A8" w:rsidRPr="00BF49DD" w:rsidRDefault="00A279A8" w:rsidP="00A279A8">
            <w:pPr>
              <w:jc w:val="center"/>
              <w:rPr>
                <w:rFonts w:ascii="Arial Narrow" w:hAnsi="Arial Narrow"/>
                <w:b/>
                <w:bCs/>
                <w:color w:val="000000"/>
                <w:sz w:val="20"/>
                <w:szCs w:val="20"/>
              </w:rPr>
            </w:pPr>
            <w:r w:rsidRPr="00BF49DD">
              <w:rPr>
                <w:rFonts w:ascii="Arial Narrow" w:hAnsi="Arial Narrow"/>
                <w:b/>
                <w:bCs/>
                <w:color w:val="000000"/>
                <w:sz w:val="20"/>
                <w:szCs w:val="20"/>
              </w:rPr>
              <w:t>Impervious</w:t>
            </w:r>
          </w:p>
        </w:tc>
        <w:tc>
          <w:tcPr>
            <w:tcW w:w="810" w:type="dxa"/>
            <w:shd w:val="clear" w:color="auto" w:fill="D9D9D9" w:themeFill="background1" w:themeFillShade="D9"/>
            <w:vAlign w:val="center"/>
          </w:tcPr>
          <w:p w14:paraId="2D107677" w14:textId="77777777" w:rsidR="00A279A8" w:rsidRPr="00BF49DD" w:rsidRDefault="00A279A8" w:rsidP="00A279A8">
            <w:pPr>
              <w:jc w:val="center"/>
              <w:rPr>
                <w:rFonts w:ascii="Arial Narrow" w:hAnsi="Arial Narrow"/>
                <w:b/>
                <w:bCs/>
                <w:color w:val="000000"/>
                <w:sz w:val="20"/>
                <w:szCs w:val="20"/>
              </w:rPr>
            </w:pPr>
            <w:r w:rsidRPr="00BF49DD">
              <w:rPr>
                <w:rFonts w:ascii="Arial Narrow" w:hAnsi="Arial Narrow"/>
                <w:b/>
                <w:bCs/>
                <w:color w:val="000000"/>
                <w:sz w:val="20"/>
                <w:szCs w:val="20"/>
              </w:rPr>
              <w:t>Barren</w:t>
            </w:r>
          </w:p>
        </w:tc>
        <w:tc>
          <w:tcPr>
            <w:tcW w:w="810" w:type="dxa"/>
            <w:shd w:val="clear" w:color="auto" w:fill="D9D9D9" w:themeFill="background1" w:themeFillShade="D9"/>
            <w:vAlign w:val="center"/>
          </w:tcPr>
          <w:p w14:paraId="6B9D904A" w14:textId="77777777" w:rsidR="00A279A8" w:rsidRPr="00BF49DD" w:rsidRDefault="00A279A8" w:rsidP="00A279A8">
            <w:pPr>
              <w:jc w:val="center"/>
              <w:rPr>
                <w:rFonts w:ascii="Arial Narrow" w:hAnsi="Arial Narrow"/>
                <w:b/>
                <w:bCs/>
                <w:color w:val="000000"/>
                <w:sz w:val="20"/>
                <w:szCs w:val="20"/>
              </w:rPr>
            </w:pPr>
            <w:r w:rsidRPr="00BF49DD">
              <w:rPr>
                <w:rFonts w:ascii="Arial Narrow" w:hAnsi="Arial Narrow"/>
                <w:b/>
                <w:bCs/>
                <w:color w:val="000000"/>
                <w:sz w:val="20"/>
                <w:szCs w:val="20"/>
              </w:rPr>
              <w:t>Forest</w:t>
            </w:r>
          </w:p>
        </w:tc>
        <w:tc>
          <w:tcPr>
            <w:tcW w:w="1080" w:type="dxa"/>
            <w:shd w:val="clear" w:color="auto" w:fill="D9D9D9" w:themeFill="background1" w:themeFillShade="D9"/>
            <w:vAlign w:val="center"/>
          </w:tcPr>
          <w:p w14:paraId="16B557A7" w14:textId="77777777" w:rsidR="00A279A8" w:rsidRPr="00BF49DD" w:rsidRDefault="00A279A8" w:rsidP="00A279A8">
            <w:pPr>
              <w:jc w:val="center"/>
              <w:rPr>
                <w:rFonts w:ascii="Arial Narrow" w:hAnsi="Arial Narrow"/>
                <w:b/>
                <w:bCs/>
                <w:color w:val="000000"/>
                <w:sz w:val="20"/>
                <w:szCs w:val="20"/>
              </w:rPr>
            </w:pPr>
            <w:r w:rsidRPr="00BF49DD">
              <w:rPr>
                <w:rFonts w:ascii="Arial Narrow" w:hAnsi="Arial Narrow"/>
                <w:b/>
                <w:bCs/>
                <w:color w:val="000000"/>
                <w:sz w:val="20"/>
                <w:szCs w:val="20"/>
              </w:rPr>
              <w:t>Urban/ Res. Trees</w:t>
            </w:r>
          </w:p>
        </w:tc>
        <w:tc>
          <w:tcPr>
            <w:tcW w:w="810" w:type="dxa"/>
            <w:shd w:val="clear" w:color="auto" w:fill="D9D9D9" w:themeFill="background1" w:themeFillShade="D9"/>
            <w:vAlign w:val="center"/>
          </w:tcPr>
          <w:p w14:paraId="45F06361" w14:textId="77777777" w:rsidR="00A279A8" w:rsidRPr="00BF49DD" w:rsidRDefault="00A279A8" w:rsidP="00A279A8">
            <w:pPr>
              <w:jc w:val="center"/>
              <w:rPr>
                <w:rFonts w:ascii="Arial Narrow" w:hAnsi="Arial Narrow"/>
                <w:b/>
                <w:bCs/>
                <w:color w:val="000000"/>
                <w:sz w:val="20"/>
                <w:szCs w:val="20"/>
              </w:rPr>
            </w:pPr>
            <w:r w:rsidRPr="00BF49DD">
              <w:rPr>
                <w:rFonts w:ascii="Arial Narrow" w:hAnsi="Arial Narrow"/>
                <w:b/>
                <w:bCs/>
                <w:color w:val="000000"/>
                <w:sz w:val="20"/>
                <w:szCs w:val="20"/>
              </w:rPr>
              <w:t>Scrub/ Shrub</w:t>
            </w:r>
          </w:p>
        </w:tc>
        <w:tc>
          <w:tcPr>
            <w:tcW w:w="1080" w:type="dxa"/>
            <w:shd w:val="clear" w:color="auto" w:fill="D9D9D9" w:themeFill="background1" w:themeFillShade="D9"/>
            <w:vAlign w:val="center"/>
          </w:tcPr>
          <w:p w14:paraId="3221658B" w14:textId="77777777" w:rsidR="00A279A8" w:rsidRPr="00BF49DD" w:rsidRDefault="00A279A8" w:rsidP="00A279A8">
            <w:pPr>
              <w:jc w:val="center"/>
              <w:rPr>
                <w:rFonts w:ascii="Arial Narrow" w:hAnsi="Arial Narrow"/>
                <w:b/>
                <w:bCs/>
                <w:color w:val="000000"/>
                <w:sz w:val="20"/>
                <w:szCs w:val="20"/>
              </w:rPr>
            </w:pPr>
            <w:r w:rsidRPr="00BF49DD">
              <w:rPr>
                <w:rFonts w:ascii="Arial Narrow" w:hAnsi="Arial Narrow"/>
                <w:b/>
                <w:bCs/>
                <w:color w:val="000000"/>
                <w:sz w:val="20"/>
                <w:szCs w:val="20"/>
              </w:rPr>
              <w:t>Harvested/Disturbed</w:t>
            </w:r>
          </w:p>
        </w:tc>
        <w:tc>
          <w:tcPr>
            <w:tcW w:w="1080" w:type="dxa"/>
            <w:shd w:val="clear" w:color="auto" w:fill="D9D9D9" w:themeFill="background1" w:themeFillShade="D9"/>
            <w:vAlign w:val="center"/>
          </w:tcPr>
          <w:p w14:paraId="46414F27" w14:textId="77777777" w:rsidR="00A279A8" w:rsidRPr="00BF49DD" w:rsidRDefault="00A279A8" w:rsidP="00A279A8">
            <w:pPr>
              <w:jc w:val="center"/>
              <w:rPr>
                <w:rFonts w:ascii="Arial Narrow" w:hAnsi="Arial Narrow"/>
                <w:b/>
                <w:bCs/>
                <w:color w:val="000000"/>
                <w:sz w:val="20"/>
                <w:szCs w:val="20"/>
              </w:rPr>
            </w:pPr>
            <w:r w:rsidRPr="00BF49DD">
              <w:rPr>
                <w:rFonts w:ascii="Arial Narrow" w:hAnsi="Arial Narrow"/>
                <w:b/>
                <w:bCs/>
                <w:color w:val="000000"/>
                <w:sz w:val="20"/>
                <w:szCs w:val="20"/>
              </w:rPr>
              <w:t>Urban/ Res. Grass</w:t>
            </w:r>
          </w:p>
        </w:tc>
        <w:tc>
          <w:tcPr>
            <w:tcW w:w="900" w:type="dxa"/>
            <w:shd w:val="clear" w:color="auto" w:fill="D9D9D9" w:themeFill="background1" w:themeFillShade="D9"/>
            <w:vAlign w:val="center"/>
          </w:tcPr>
          <w:p w14:paraId="528653D9" w14:textId="77777777" w:rsidR="00A279A8" w:rsidRPr="00BF49DD" w:rsidRDefault="00A279A8" w:rsidP="00A279A8">
            <w:pPr>
              <w:jc w:val="center"/>
              <w:rPr>
                <w:rFonts w:ascii="Arial Narrow" w:hAnsi="Arial Narrow"/>
                <w:b/>
                <w:bCs/>
                <w:color w:val="000000"/>
                <w:sz w:val="20"/>
                <w:szCs w:val="20"/>
              </w:rPr>
            </w:pPr>
            <w:r w:rsidRPr="00BF49DD">
              <w:rPr>
                <w:rFonts w:ascii="Arial Narrow" w:hAnsi="Arial Narrow"/>
                <w:b/>
                <w:bCs/>
                <w:color w:val="000000"/>
                <w:sz w:val="20"/>
                <w:szCs w:val="20"/>
              </w:rPr>
              <w:t>Pasture</w:t>
            </w:r>
          </w:p>
        </w:tc>
        <w:tc>
          <w:tcPr>
            <w:tcW w:w="990" w:type="dxa"/>
            <w:shd w:val="clear" w:color="auto" w:fill="D9D9D9" w:themeFill="background1" w:themeFillShade="D9"/>
            <w:vAlign w:val="center"/>
          </w:tcPr>
          <w:p w14:paraId="064B8D05" w14:textId="77777777" w:rsidR="00A279A8" w:rsidRPr="00BF49DD" w:rsidRDefault="00A279A8" w:rsidP="00A279A8">
            <w:pPr>
              <w:jc w:val="center"/>
              <w:rPr>
                <w:rFonts w:ascii="Arial Narrow" w:hAnsi="Arial Narrow"/>
                <w:b/>
                <w:bCs/>
                <w:color w:val="000000"/>
                <w:sz w:val="20"/>
                <w:szCs w:val="20"/>
              </w:rPr>
            </w:pPr>
            <w:r w:rsidRPr="00BF49DD">
              <w:rPr>
                <w:rFonts w:ascii="Arial Narrow" w:hAnsi="Arial Narrow"/>
                <w:b/>
                <w:bCs/>
                <w:color w:val="000000"/>
                <w:sz w:val="20"/>
                <w:szCs w:val="20"/>
              </w:rPr>
              <w:t>Cropland</w:t>
            </w:r>
          </w:p>
        </w:tc>
        <w:tc>
          <w:tcPr>
            <w:tcW w:w="900" w:type="dxa"/>
            <w:shd w:val="clear" w:color="auto" w:fill="D9D9D9" w:themeFill="background1" w:themeFillShade="D9"/>
            <w:vAlign w:val="center"/>
          </w:tcPr>
          <w:p w14:paraId="1B6D9C7C" w14:textId="560F69C8" w:rsidR="00A279A8" w:rsidRPr="00BF49DD" w:rsidRDefault="000632EF" w:rsidP="00A279A8">
            <w:pPr>
              <w:jc w:val="center"/>
              <w:rPr>
                <w:rFonts w:ascii="Arial Narrow" w:hAnsi="Arial Narrow"/>
                <w:b/>
                <w:bCs/>
                <w:color w:val="000000"/>
                <w:sz w:val="20"/>
                <w:szCs w:val="20"/>
              </w:rPr>
            </w:pPr>
            <w:r w:rsidRPr="00BF49DD">
              <w:rPr>
                <w:rFonts w:ascii="Arial Narrow" w:hAnsi="Arial Narrow"/>
                <w:b/>
                <w:bCs/>
                <w:color w:val="000000"/>
                <w:sz w:val="20"/>
                <w:szCs w:val="20"/>
              </w:rPr>
              <w:t>Wetland/</w:t>
            </w:r>
            <w:r w:rsidR="00BF49DD" w:rsidRPr="00BF49DD">
              <w:rPr>
                <w:rFonts w:ascii="Arial Narrow" w:hAnsi="Arial Narrow"/>
                <w:b/>
                <w:bCs/>
                <w:color w:val="000000"/>
                <w:sz w:val="20"/>
                <w:szCs w:val="20"/>
              </w:rPr>
              <w:t xml:space="preserve"> </w:t>
            </w:r>
            <w:r w:rsidR="00A279A8" w:rsidRPr="00BF49DD">
              <w:rPr>
                <w:rFonts w:ascii="Arial Narrow" w:hAnsi="Arial Narrow"/>
                <w:b/>
                <w:bCs/>
                <w:color w:val="000000"/>
                <w:sz w:val="20"/>
                <w:szCs w:val="20"/>
              </w:rPr>
              <w:t>Other</w:t>
            </w:r>
          </w:p>
        </w:tc>
      </w:tr>
      <w:tr w:rsidR="00BF49DD" w:rsidRPr="00BF49DD" w14:paraId="1DB75CEB" w14:textId="77777777" w:rsidTr="00BF49DD">
        <w:trPr>
          <w:trHeight w:hRule="exact" w:val="331"/>
          <w:jc w:val="center"/>
        </w:trPr>
        <w:tc>
          <w:tcPr>
            <w:tcW w:w="1435" w:type="dxa"/>
            <w:vAlign w:val="bottom"/>
          </w:tcPr>
          <w:p w14:paraId="760FEBD4" w14:textId="49C6CFA0" w:rsidR="00BF49DD" w:rsidRPr="00BF49DD" w:rsidRDefault="00BF49DD" w:rsidP="00BF49DD">
            <w:pPr>
              <w:autoSpaceDE w:val="0"/>
              <w:autoSpaceDN w:val="0"/>
              <w:adjustRightInd w:val="0"/>
              <w:jc w:val="center"/>
              <w:rPr>
                <w:rFonts w:ascii="Arial Narrow" w:hAnsi="Arial Narrow" w:cs="Calibri"/>
                <w:color w:val="000000"/>
                <w:sz w:val="20"/>
                <w:szCs w:val="20"/>
              </w:rPr>
            </w:pPr>
            <w:r w:rsidRPr="00BF49DD">
              <w:rPr>
                <w:rFonts w:ascii="Arial Narrow" w:hAnsi="Arial Narrow" w:cs="Calibri"/>
                <w:color w:val="000000"/>
                <w:sz w:val="20"/>
                <w:szCs w:val="20"/>
              </w:rPr>
              <w:t>Wolf Creek</w:t>
            </w:r>
          </w:p>
        </w:tc>
        <w:tc>
          <w:tcPr>
            <w:tcW w:w="1350" w:type="dxa"/>
            <w:vAlign w:val="bottom"/>
          </w:tcPr>
          <w:p w14:paraId="5BD71648" w14:textId="6B180038" w:rsidR="00BF49DD" w:rsidRPr="00BF49DD" w:rsidRDefault="00BF49DD" w:rsidP="00BF49DD">
            <w:pPr>
              <w:autoSpaceDE w:val="0"/>
              <w:autoSpaceDN w:val="0"/>
              <w:adjustRightInd w:val="0"/>
              <w:jc w:val="center"/>
              <w:rPr>
                <w:rFonts w:ascii="Arial Narrow" w:hAnsi="Arial Narrow" w:cs="Calibri"/>
                <w:color w:val="000000"/>
                <w:sz w:val="20"/>
                <w:szCs w:val="20"/>
              </w:rPr>
            </w:pPr>
            <w:r w:rsidRPr="00BF49DD">
              <w:rPr>
                <w:rFonts w:ascii="Arial Narrow" w:hAnsi="Arial Narrow" w:cs="Calibri"/>
                <w:color w:val="000000"/>
                <w:sz w:val="20"/>
                <w:szCs w:val="20"/>
              </w:rPr>
              <w:t>2AWOR000.34</w:t>
            </w:r>
          </w:p>
        </w:tc>
        <w:tc>
          <w:tcPr>
            <w:tcW w:w="720" w:type="dxa"/>
            <w:vAlign w:val="bottom"/>
          </w:tcPr>
          <w:p w14:paraId="657EA225" w14:textId="771264AA"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0.04%</w:t>
            </w:r>
          </w:p>
        </w:tc>
        <w:tc>
          <w:tcPr>
            <w:tcW w:w="1170" w:type="dxa"/>
            <w:vAlign w:val="bottom"/>
          </w:tcPr>
          <w:p w14:paraId="461F450D" w14:textId="17ACBBFB"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16.30%</w:t>
            </w:r>
          </w:p>
        </w:tc>
        <w:tc>
          <w:tcPr>
            <w:tcW w:w="810" w:type="dxa"/>
            <w:vAlign w:val="bottom"/>
          </w:tcPr>
          <w:p w14:paraId="38A8D4DF" w14:textId="58B44727"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0.41%</w:t>
            </w:r>
          </w:p>
        </w:tc>
        <w:tc>
          <w:tcPr>
            <w:tcW w:w="810" w:type="dxa"/>
            <w:vAlign w:val="bottom"/>
          </w:tcPr>
          <w:p w14:paraId="3FFB3DFD" w14:textId="171A7B23"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24.13%</w:t>
            </w:r>
          </w:p>
        </w:tc>
        <w:tc>
          <w:tcPr>
            <w:tcW w:w="1080" w:type="dxa"/>
            <w:vAlign w:val="bottom"/>
          </w:tcPr>
          <w:p w14:paraId="2485D79F" w14:textId="6DF2AAA1"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17.77%</w:t>
            </w:r>
          </w:p>
        </w:tc>
        <w:tc>
          <w:tcPr>
            <w:tcW w:w="810" w:type="dxa"/>
            <w:vAlign w:val="bottom"/>
          </w:tcPr>
          <w:p w14:paraId="3DADB7E4" w14:textId="1188D62E"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0.17%</w:t>
            </w:r>
          </w:p>
        </w:tc>
        <w:tc>
          <w:tcPr>
            <w:tcW w:w="1080" w:type="dxa"/>
            <w:vAlign w:val="bottom"/>
          </w:tcPr>
          <w:p w14:paraId="4C748A75" w14:textId="498D6792"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0.00%</w:t>
            </w:r>
          </w:p>
        </w:tc>
        <w:tc>
          <w:tcPr>
            <w:tcW w:w="1080" w:type="dxa"/>
            <w:vAlign w:val="bottom"/>
          </w:tcPr>
          <w:p w14:paraId="2DF0822C" w14:textId="50CB231B"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36.63%</w:t>
            </w:r>
          </w:p>
        </w:tc>
        <w:tc>
          <w:tcPr>
            <w:tcW w:w="900" w:type="dxa"/>
            <w:vAlign w:val="bottom"/>
          </w:tcPr>
          <w:p w14:paraId="7EBE9963" w14:textId="1C0E9F33"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4.08%</w:t>
            </w:r>
          </w:p>
        </w:tc>
        <w:tc>
          <w:tcPr>
            <w:tcW w:w="990" w:type="dxa"/>
            <w:vAlign w:val="bottom"/>
          </w:tcPr>
          <w:p w14:paraId="710F6F23" w14:textId="77FE1994"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0.45%</w:t>
            </w:r>
          </w:p>
        </w:tc>
        <w:tc>
          <w:tcPr>
            <w:tcW w:w="900" w:type="dxa"/>
            <w:vAlign w:val="bottom"/>
          </w:tcPr>
          <w:p w14:paraId="78277B70" w14:textId="6A28297D"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0.01%</w:t>
            </w:r>
          </w:p>
        </w:tc>
      </w:tr>
      <w:tr w:rsidR="00BF49DD" w:rsidRPr="00BF49DD" w14:paraId="61EAD0AC" w14:textId="77777777" w:rsidTr="00BF49DD">
        <w:trPr>
          <w:trHeight w:hRule="exact" w:val="331"/>
          <w:jc w:val="center"/>
        </w:trPr>
        <w:tc>
          <w:tcPr>
            <w:tcW w:w="1435" w:type="dxa"/>
            <w:vAlign w:val="bottom"/>
          </w:tcPr>
          <w:p w14:paraId="1E746622" w14:textId="12CD4F0B" w:rsidR="00BF49DD" w:rsidRPr="00BF49DD" w:rsidRDefault="00BF49DD" w:rsidP="00BF49DD">
            <w:pPr>
              <w:autoSpaceDE w:val="0"/>
              <w:autoSpaceDN w:val="0"/>
              <w:adjustRightInd w:val="0"/>
              <w:jc w:val="center"/>
              <w:rPr>
                <w:rFonts w:ascii="Arial Narrow" w:hAnsi="Arial Narrow" w:cs="Calibri"/>
                <w:color w:val="000000"/>
                <w:sz w:val="20"/>
                <w:szCs w:val="20"/>
              </w:rPr>
            </w:pPr>
            <w:r w:rsidRPr="00BF49DD">
              <w:rPr>
                <w:rFonts w:ascii="Arial Narrow" w:hAnsi="Arial Narrow" w:cs="Calibri"/>
                <w:color w:val="000000"/>
                <w:sz w:val="20"/>
                <w:szCs w:val="20"/>
              </w:rPr>
              <w:t>Tinker Creek</w:t>
            </w:r>
          </w:p>
        </w:tc>
        <w:tc>
          <w:tcPr>
            <w:tcW w:w="1350" w:type="dxa"/>
            <w:vAlign w:val="bottom"/>
          </w:tcPr>
          <w:p w14:paraId="727EFA1E" w14:textId="695E25A5" w:rsidR="00BF49DD" w:rsidRPr="00BF49DD" w:rsidRDefault="00BF49DD" w:rsidP="00BF49DD">
            <w:pPr>
              <w:autoSpaceDE w:val="0"/>
              <w:autoSpaceDN w:val="0"/>
              <w:adjustRightInd w:val="0"/>
              <w:jc w:val="center"/>
              <w:rPr>
                <w:rFonts w:ascii="Arial Narrow" w:hAnsi="Arial Narrow" w:cs="Calibri"/>
                <w:color w:val="000000"/>
                <w:sz w:val="20"/>
                <w:szCs w:val="20"/>
              </w:rPr>
            </w:pPr>
            <w:r w:rsidRPr="00BF49DD">
              <w:rPr>
                <w:rFonts w:ascii="Arial Narrow" w:hAnsi="Arial Narrow" w:cs="Calibri"/>
                <w:color w:val="000000"/>
                <w:sz w:val="20"/>
                <w:szCs w:val="20"/>
              </w:rPr>
              <w:t>4ATKR000.69</w:t>
            </w:r>
          </w:p>
        </w:tc>
        <w:tc>
          <w:tcPr>
            <w:tcW w:w="720" w:type="dxa"/>
            <w:vAlign w:val="bottom"/>
          </w:tcPr>
          <w:p w14:paraId="0C4E53F4" w14:textId="21CCA1D0"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1.05%</w:t>
            </w:r>
          </w:p>
        </w:tc>
        <w:tc>
          <w:tcPr>
            <w:tcW w:w="1170" w:type="dxa"/>
            <w:vAlign w:val="bottom"/>
          </w:tcPr>
          <w:p w14:paraId="33F75F47" w14:textId="426876A3"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14.69%</w:t>
            </w:r>
          </w:p>
        </w:tc>
        <w:tc>
          <w:tcPr>
            <w:tcW w:w="810" w:type="dxa"/>
            <w:vAlign w:val="bottom"/>
          </w:tcPr>
          <w:p w14:paraId="340F0401" w14:textId="3C9C2F65"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0.24%</w:t>
            </w:r>
          </w:p>
        </w:tc>
        <w:tc>
          <w:tcPr>
            <w:tcW w:w="810" w:type="dxa"/>
            <w:vAlign w:val="bottom"/>
          </w:tcPr>
          <w:p w14:paraId="3F1972B4" w14:textId="4ED309E9"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42.85%</w:t>
            </w:r>
          </w:p>
        </w:tc>
        <w:tc>
          <w:tcPr>
            <w:tcW w:w="1080" w:type="dxa"/>
            <w:vAlign w:val="bottom"/>
          </w:tcPr>
          <w:p w14:paraId="4E524326" w14:textId="11300FC8"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12.55%</w:t>
            </w:r>
          </w:p>
        </w:tc>
        <w:tc>
          <w:tcPr>
            <w:tcW w:w="810" w:type="dxa"/>
            <w:vAlign w:val="bottom"/>
          </w:tcPr>
          <w:p w14:paraId="44E6E7E4" w14:textId="7BDA20DA"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0.76%</w:t>
            </w:r>
          </w:p>
        </w:tc>
        <w:tc>
          <w:tcPr>
            <w:tcW w:w="1080" w:type="dxa"/>
            <w:vAlign w:val="bottom"/>
          </w:tcPr>
          <w:p w14:paraId="695ADC8F" w14:textId="7A2B4A0C"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0.18%</w:t>
            </w:r>
          </w:p>
        </w:tc>
        <w:tc>
          <w:tcPr>
            <w:tcW w:w="1080" w:type="dxa"/>
            <w:vAlign w:val="bottom"/>
          </w:tcPr>
          <w:p w14:paraId="5DCC45C5" w14:textId="69C49C21"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18.47%</w:t>
            </w:r>
          </w:p>
        </w:tc>
        <w:tc>
          <w:tcPr>
            <w:tcW w:w="900" w:type="dxa"/>
            <w:vAlign w:val="bottom"/>
          </w:tcPr>
          <w:p w14:paraId="009D7F05" w14:textId="36A67BE0"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8.67%</w:t>
            </w:r>
          </w:p>
        </w:tc>
        <w:tc>
          <w:tcPr>
            <w:tcW w:w="990" w:type="dxa"/>
            <w:vAlign w:val="bottom"/>
          </w:tcPr>
          <w:p w14:paraId="351E9E3C" w14:textId="2BEB0AB5"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0.49%</w:t>
            </w:r>
          </w:p>
        </w:tc>
        <w:tc>
          <w:tcPr>
            <w:tcW w:w="900" w:type="dxa"/>
            <w:vAlign w:val="bottom"/>
          </w:tcPr>
          <w:p w14:paraId="72A93F35" w14:textId="73067C6C"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0.06%</w:t>
            </w:r>
          </w:p>
        </w:tc>
      </w:tr>
      <w:tr w:rsidR="00BF49DD" w:rsidRPr="00BF49DD" w14:paraId="49345689" w14:textId="77777777" w:rsidTr="00BF49DD">
        <w:trPr>
          <w:trHeight w:hRule="exact" w:val="331"/>
          <w:jc w:val="center"/>
        </w:trPr>
        <w:tc>
          <w:tcPr>
            <w:tcW w:w="1435" w:type="dxa"/>
            <w:vAlign w:val="bottom"/>
          </w:tcPr>
          <w:p w14:paraId="000A603B" w14:textId="5BD7242D" w:rsidR="00BF49DD" w:rsidRPr="00BF49DD" w:rsidRDefault="00BF49DD" w:rsidP="00BF49DD">
            <w:pPr>
              <w:autoSpaceDE w:val="0"/>
              <w:autoSpaceDN w:val="0"/>
              <w:adjustRightInd w:val="0"/>
              <w:jc w:val="center"/>
              <w:rPr>
                <w:rFonts w:ascii="Arial Narrow" w:hAnsi="Arial Narrow" w:cs="Calibri"/>
                <w:color w:val="000000"/>
                <w:sz w:val="20"/>
                <w:szCs w:val="20"/>
              </w:rPr>
            </w:pPr>
            <w:r w:rsidRPr="00BF49DD">
              <w:rPr>
                <w:rFonts w:ascii="Arial Narrow" w:hAnsi="Arial Narrow" w:cs="Calibri"/>
                <w:color w:val="000000"/>
                <w:sz w:val="20"/>
                <w:szCs w:val="20"/>
              </w:rPr>
              <w:t>Tinker Creek</w:t>
            </w:r>
          </w:p>
        </w:tc>
        <w:tc>
          <w:tcPr>
            <w:tcW w:w="1350" w:type="dxa"/>
            <w:vAlign w:val="bottom"/>
          </w:tcPr>
          <w:p w14:paraId="291A73FA" w14:textId="6793A823" w:rsidR="00BF49DD" w:rsidRPr="00BF49DD" w:rsidRDefault="00BF49DD" w:rsidP="00BF49DD">
            <w:pPr>
              <w:autoSpaceDE w:val="0"/>
              <w:autoSpaceDN w:val="0"/>
              <w:adjustRightInd w:val="0"/>
              <w:jc w:val="center"/>
              <w:rPr>
                <w:rFonts w:ascii="Arial Narrow" w:hAnsi="Arial Narrow" w:cs="Calibri"/>
                <w:color w:val="000000"/>
                <w:sz w:val="20"/>
                <w:szCs w:val="20"/>
              </w:rPr>
            </w:pPr>
            <w:r w:rsidRPr="00BF49DD">
              <w:rPr>
                <w:rFonts w:ascii="Arial Narrow" w:hAnsi="Arial Narrow" w:cs="Calibri"/>
                <w:color w:val="000000"/>
                <w:sz w:val="20"/>
                <w:szCs w:val="20"/>
              </w:rPr>
              <w:t>4ATKR002.26</w:t>
            </w:r>
          </w:p>
        </w:tc>
        <w:tc>
          <w:tcPr>
            <w:tcW w:w="720" w:type="dxa"/>
            <w:vAlign w:val="bottom"/>
          </w:tcPr>
          <w:p w14:paraId="76E00EAB" w14:textId="5AE01DB0"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1.70%</w:t>
            </w:r>
          </w:p>
        </w:tc>
        <w:tc>
          <w:tcPr>
            <w:tcW w:w="1170" w:type="dxa"/>
            <w:vAlign w:val="bottom"/>
          </w:tcPr>
          <w:p w14:paraId="0C9F9D3A" w14:textId="62DFDCDA"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9.81%</w:t>
            </w:r>
          </w:p>
        </w:tc>
        <w:tc>
          <w:tcPr>
            <w:tcW w:w="810" w:type="dxa"/>
            <w:vAlign w:val="bottom"/>
          </w:tcPr>
          <w:p w14:paraId="625F6B26" w14:textId="412870F6"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0.15%</w:t>
            </w:r>
          </w:p>
        </w:tc>
        <w:tc>
          <w:tcPr>
            <w:tcW w:w="810" w:type="dxa"/>
            <w:vAlign w:val="bottom"/>
          </w:tcPr>
          <w:p w14:paraId="019E69AC" w14:textId="47825812"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50.13%</w:t>
            </w:r>
          </w:p>
        </w:tc>
        <w:tc>
          <w:tcPr>
            <w:tcW w:w="1080" w:type="dxa"/>
            <w:vAlign w:val="bottom"/>
          </w:tcPr>
          <w:p w14:paraId="3548AF4C" w14:textId="6E79880C"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11.51%</w:t>
            </w:r>
          </w:p>
        </w:tc>
        <w:tc>
          <w:tcPr>
            <w:tcW w:w="810" w:type="dxa"/>
            <w:vAlign w:val="bottom"/>
          </w:tcPr>
          <w:p w14:paraId="4079B8D9" w14:textId="47652893"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0.86%</w:t>
            </w:r>
          </w:p>
        </w:tc>
        <w:tc>
          <w:tcPr>
            <w:tcW w:w="1080" w:type="dxa"/>
            <w:vAlign w:val="bottom"/>
          </w:tcPr>
          <w:p w14:paraId="18B531B1" w14:textId="0ED25EC1"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0.11%</w:t>
            </w:r>
          </w:p>
        </w:tc>
        <w:tc>
          <w:tcPr>
            <w:tcW w:w="1080" w:type="dxa"/>
            <w:vAlign w:val="bottom"/>
          </w:tcPr>
          <w:p w14:paraId="7A400ECA" w14:textId="3789D34D"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16.61%</w:t>
            </w:r>
          </w:p>
        </w:tc>
        <w:tc>
          <w:tcPr>
            <w:tcW w:w="900" w:type="dxa"/>
            <w:vAlign w:val="bottom"/>
          </w:tcPr>
          <w:p w14:paraId="06846421" w14:textId="3D7C0BDC"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8.39%</w:t>
            </w:r>
          </w:p>
        </w:tc>
        <w:tc>
          <w:tcPr>
            <w:tcW w:w="990" w:type="dxa"/>
            <w:vAlign w:val="bottom"/>
          </w:tcPr>
          <w:p w14:paraId="20020C80" w14:textId="5ADFDD6C"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0.65%</w:t>
            </w:r>
          </w:p>
        </w:tc>
        <w:tc>
          <w:tcPr>
            <w:tcW w:w="900" w:type="dxa"/>
            <w:vAlign w:val="bottom"/>
          </w:tcPr>
          <w:p w14:paraId="09A63B0F" w14:textId="593E64A8"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0.07%</w:t>
            </w:r>
          </w:p>
        </w:tc>
      </w:tr>
      <w:tr w:rsidR="00BF49DD" w:rsidRPr="00BF49DD" w14:paraId="7EE00842" w14:textId="77777777" w:rsidTr="00BF49DD">
        <w:trPr>
          <w:trHeight w:hRule="exact" w:val="331"/>
          <w:jc w:val="center"/>
        </w:trPr>
        <w:tc>
          <w:tcPr>
            <w:tcW w:w="1435" w:type="dxa"/>
            <w:vAlign w:val="bottom"/>
          </w:tcPr>
          <w:p w14:paraId="793CCAE0" w14:textId="26A64618" w:rsidR="00BF49DD" w:rsidRPr="00BF49DD" w:rsidRDefault="00BF49DD" w:rsidP="00BF49DD">
            <w:pPr>
              <w:autoSpaceDE w:val="0"/>
              <w:autoSpaceDN w:val="0"/>
              <w:adjustRightInd w:val="0"/>
              <w:jc w:val="center"/>
              <w:rPr>
                <w:rFonts w:ascii="Arial Narrow" w:hAnsi="Arial Narrow" w:cs="Calibri"/>
                <w:color w:val="000000"/>
                <w:sz w:val="20"/>
                <w:szCs w:val="20"/>
              </w:rPr>
            </w:pPr>
            <w:r w:rsidRPr="00BF49DD">
              <w:rPr>
                <w:rFonts w:ascii="Arial Narrow" w:hAnsi="Arial Narrow" w:cs="Calibri"/>
                <w:color w:val="000000"/>
                <w:sz w:val="20"/>
                <w:szCs w:val="20"/>
              </w:rPr>
              <w:t>Tinker Creek</w:t>
            </w:r>
          </w:p>
        </w:tc>
        <w:tc>
          <w:tcPr>
            <w:tcW w:w="1350" w:type="dxa"/>
            <w:vAlign w:val="bottom"/>
          </w:tcPr>
          <w:p w14:paraId="2C3FFAC6" w14:textId="53DBD877" w:rsidR="00BF49DD" w:rsidRPr="00BF49DD" w:rsidRDefault="00BF49DD" w:rsidP="00BF49DD">
            <w:pPr>
              <w:autoSpaceDE w:val="0"/>
              <w:autoSpaceDN w:val="0"/>
              <w:adjustRightInd w:val="0"/>
              <w:jc w:val="center"/>
              <w:rPr>
                <w:rFonts w:ascii="Arial Narrow" w:hAnsi="Arial Narrow" w:cs="Calibri"/>
                <w:color w:val="000000"/>
                <w:sz w:val="20"/>
                <w:szCs w:val="20"/>
              </w:rPr>
            </w:pPr>
            <w:r w:rsidRPr="00BF49DD">
              <w:rPr>
                <w:rFonts w:ascii="Arial Narrow" w:hAnsi="Arial Narrow" w:cs="Calibri"/>
                <w:color w:val="000000"/>
                <w:sz w:val="20"/>
                <w:szCs w:val="20"/>
              </w:rPr>
              <w:t>4ATKR003.03</w:t>
            </w:r>
          </w:p>
        </w:tc>
        <w:tc>
          <w:tcPr>
            <w:tcW w:w="720" w:type="dxa"/>
            <w:vAlign w:val="bottom"/>
          </w:tcPr>
          <w:p w14:paraId="2D843A19" w14:textId="49A85480"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1.70%</w:t>
            </w:r>
          </w:p>
        </w:tc>
        <w:tc>
          <w:tcPr>
            <w:tcW w:w="1170" w:type="dxa"/>
            <w:vAlign w:val="bottom"/>
          </w:tcPr>
          <w:p w14:paraId="44B5A574" w14:textId="59BE99AD"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9.76%</w:t>
            </w:r>
          </w:p>
        </w:tc>
        <w:tc>
          <w:tcPr>
            <w:tcW w:w="810" w:type="dxa"/>
            <w:vAlign w:val="bottom"/>
          </w:tcPr>
          <w:p w14:paraId="07991ADA" w14:textId="001A6043"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0.16%</w:t>
            </w:r>
          </w:p>
        </w:tc>
        <w:tc>
          <w:tcPr>
            <w:tcW w:w="810" w:type="dxa"/>
            <w:vAlign w:val="bottom"/>
          </w:tcPr>
          <w:p w14:paraId="17A7CA28" w14:textId="0EEB98B9"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50.33%</w:t>
            </w:r>
          </w:p>
        </w:tc>
        <w:tc>
          <w:tcPr>
            <w:tcW w:w="1080" w:type="dxa"/>
            <w:vAlign w:val="bottom"/>
          </w:tcPr>
          <w:p w14:paraId="1B031369" w14:textId="7F4EB564"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11.44%</w:t>
            </w:r>
          </w:p>
        </w:tc>
        <w:tc>
          <w:tcPr>
            <w:tcW w:w="810" w:type="dxa"/>
            <w:vAlign w:val="bottom"/>
          </w:tcPr>
          <w:p w14:paraId="600C636E" w14:textId="0991B0C7"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0.86%</w:t>
            </w:r>
          </w:p>
        </w:tc>
        <w:tc>
          <w:tcPr>
            <w:tcW w:w="1080" w:type="dxa"/>
            <w:vAlign w:val="bottom"/>
          </w:tcPr>
          <w:p w14:paraId="564F6D51" w14:textId="35377A1E"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0.11%</w:t>
            </w:r>
          </w:p>
        </w:tc>
        <w:tc>
          <w:tcPr>
            <w:tcW w:w="1080" w:type="dxa"/>
            <w:vAlign w:val="bottom"/>
          </w:tcPr>
          <w:p w14:paraId="4021AE04" w14:textId="2C5490BD"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16.55%</w:t>
            </w:r>
          </w:p>
        </w:tc>
        <w:tc>
          <w:tcPr>
            <w:tcW w:w="900" w:type="dxa"/>
            <w:vAlign w:val="bottom"/>
          </w:tcPr>
          <w:p w14:paraId="671DB760" w14:textId="43417335"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8.37%</w:t>
            </w:r>
          </w:p>
        </w:tc>
        <w:tc>
          <w:tcPr>
            <w:tcW w:w="990" w:type="dxa"/>
            <w:vAlign w:val="bottom"/>
          </w:tcPr>
          <w:p w14:paraId="7A10DB9A" w14:textId="40ED9C35"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0.66%</w:t>
            </w:r>
          </w:p>
        </w:tc>
        <w:tc>
          <w:tcPr>
            <w:tcW w:w="900" w:type="dxa"/>
            <w:vAlign w:val="bottom"/>
          </w:tcPr>
          <w:p w14:paraId="73C59B34" w14:textId="768E82EE"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0.07%</w:t>
            </w:r>
          </w:p>
        </w:tc>
      </w:tr>
      <w:tr w:rsidR="00BF49DD" w:rsidRPr="00BF49DD" w14:paraId="3B1A7BD4" w14:textId="77777777" w:rsidTr="00BF49DD">
        <w:trPr>
          <w:trHeight w:hRule="exact" w:val="331"/>
          <w:jc w:val="center"/>
        </w:trPr>
        <w:tc>
          <w:tcPr>
            <w:tcW w:w="1435" w:type="dxa"/>
            <w:vAlign w:val="bottom"/>
          </w:tcPr>
          <w:p w14:paraId="03E32DA6" w14:textId="340C2D97" w:rsidR="00BF49DD" w:rsidRPr="00BF49DD" w:rsidRDefault="00BF49DD" w:rsidP="00BF49DD">
            <w:pPr>
              <w:autoSpaceDE w:val="0"/>
              <w:autoSpaceDN w:val="0"/>
              <w:adjustRightInd w:val="0"/>
              <w:jc w:val="center"/>
              <w:rPr>
                <w:rFonts w:ascii="Arial Narrow" w:hAnsi="Arial Narrow" w:cs="Calibri"/>
                <w:color w:val="000000"/>
                <w:sz w:val="20"/>
                <w:szCs w:val="20"/>
              </w:rPr>
            </w:pPr>
            <w:r w:rsidRPr="00BF49DD">
              <w:rPr>
                <w:rFonts w:ascii="Arial Narrow" w:hAnsi="Arial Narrow" w:cs="Calibri"/>
                <w:color w:val="000000"/>
                <w:sz w:val="20"/>
                <w:szCs w:val="20"/>
              </w:rPr>
              <w:t>Tinker Creek</w:t>
            </w:r>
          </w:p>
        </w:tc>
        <w:tc>
          <w:tcPr>
            <w:tcW w:w="1350" w:type="dxa"/>
            <w:vAlign w:val="bottom"/>
          </w:tcPr>
          <w:p w14:paraId="3D5ADAF3" w14:textId="523DC3F5" w:rsidR="00BF49DD" w:rsidRPr="00BF49DD" w:rsidRDefault="00BF49DD" w:rsidP="00BF49DD">
            <w:pPr>
              <w:autoSpaceDE w:val="0"/>
              <w:autoSpaceDN w:val="0"/>
              <w:adjustRightInd w:val="0"/>
              <w:jc w:val="center"/>
              <w:rPr>
                <w:rFonts w:ascii="Arial Narrow" w:hAnsi="Arial Narrow" w:cs="Calibri"/>
                <w:color w:val="000000"/>
                <w:sz w:val="20"/>
                <w:szCs w:val="20"/>
              </w:rPr>
            </w:pPr>
            <w:r w:rsidRPr="00BF49DD">
              <w:rPr>
                <w:rFonts w:ascii="Arial Narrow" w:hAnsi="Arial Narrow" w:cs="Calibri"/>
                <w:color w:val="000000"/>
                <w:sz w:val="20"/>
                <w:szCs w:val="20"/>
              </w:rPr>
              <w:t>4ATKR009.30</w:t>
            </w:r>
          </w:p>
        </w:tc>
        <w:tc>
          <w:tcPr>
            <w:tcW w:w="720" w:type="dxa"/>
            <w:vAlign w:val="bottom"/>
          </w:tcPr>
          <w:p w14:paraId="618E651B" w14:textId="5441D0F5"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0.24%</w:t>
            </w:r>
          </w:p>
        </w:tc>
        <w:tc>
          <w:tcPr>
            <w:tcW w:w="1170" w:type="dxa"/>
            <w:vAlign w:val="bottom"/>
          </w:tcPr>
          <w:p w14:paraId="2EC9ABEE" w14:textId="7BFA2170"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9.10%</w:t>
            </w:r>
          </w:p>
        </w:tc>
        <w:tc>
          <w:tcPr>
            <w:tcW w:w="810" w:type="dxa"/>
            <w:vAlign w:val="bottom"/>
          </w:tcPr>
          <w:p w14:paraId="09D58B40" w14:textId="45E1CF1B"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0.23%</w:t>
            </w:r>
          </w:p>
        </w:tc>
        <w:tc>
          <w:tcPr>
            <w:tcW w:w="810" w:type="dxa"/>
            <w:vAlign w:val="bottom"/>
          </w:tcPr>
          <w:p w14:paraId="604BDC28" w14:textId="02D31DBF"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40.08%</w:t>
            </w:r>
          </w:p>
        </w:tc>
        <w:tc>
          <w:tcPr>
            <w:tcW w:w="1080" w:type="dxa"/>
            <w:vAlign w:val="bottom"/>
          </w:tcPr>
          <w:p w14:paraId="5949D66D" w14:textId="7828E12E"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16.48%</w:t>
            </w:r>
          </w:p>
        </w:tc>
        <w:tc>
          <w:tcPr>
            <w:tcW w:w="810" w:type="dxa"/>
            <w:vAlign w:val="bottom"/>
          </w:tcPr>
          <w:p w14:paraId="00B40305" w14:textId="535395C7"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0.66%</w:t>
            </w:r>
          </w:p>
        </w:tc>
        <w:tc>
          <w:tcPr>
            <w:tcW w:w="1080" w:type="dxa"/>
            <w:vAlign w:val="bottom"/>
          </w:tcPr>
          <w:p w14:paraId="14E48E1E" w14:textId="48A5CBA2"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0.25%</w:t>
            </w:r>
          </w:p>
        </w:tc>
        <w:tc>
          <w:tcPr>
            <w:tcW w:w="1080" w:type="dxa"/>
            <w:vAlign w:val="bottom"/>
          </w:tcPr>
          <w:p w14:paraId="1F2CCA53" w14:textId="1B81E59D"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16.93%</w:t>
            </w:r>
          </w:p>
        </w:tc>
        <w:tc>
          <w:tcPr>
            <w:tcW w:w="900" w:type="dxa"/>
            <w:vAlign w:val="bottom"/>
          </w:tcPr>
          <w:p w14:paraId="145AA4B0" w14:textId="615270C1"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14.81%</w:t>
            </w:r>
          </w:p>
        </w:tc>
        <w:tc>
          <w:tcPr>
            <w:tcW w:w="990" w:type="dxa"/>
            <w:vAlign w:val="bottom"/>
          </w:tcPr>
          <w:p w14:paraId="746CBD8D" w14:textId="32BC8936"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1.16%</w:t>
            </w:r>
          </w:p>
        </w:tc>
        <w:tc>
          <w:tcPr>
            <w:tcW w:w="900" w:type="dxa"/>
            <w:vAlign w:val="bottom"/>
          </w:tcPr>
          <w:p w14:paraId="0AB0C8F8" w14:textId="05E8A214"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0.07%</w:t>
            </w:r>
          </w:p>
        </w:tc>
      </w:tr>
      <w:tr w:rsidR="00BF49DD" w:rsidRPr="00BF49DD" w14:paraId="0D0C6BB2" w14:textId="77777777" w:rsidTr="00BF49DD">
        <w:trPr>
          <w:trHeight w:hRule="exact" w:val="331"/>
          <w:jc w:val="center"/>
        </w:trPr>
        <w:tc>
          <w:tcPr>
            <w:tcW w:w="1435" w:type="dxa"/>
            <w:vAlign w:val="bottom"/>
          </w:tcPr>
          <w:p w14:paraId="6CFBD32A" w14:textId="2693807F" w:rsidR="00BF49DD" w:rsidRPr="00BF49DD" w:rsidRDefault="00BF49DD" w:rsidP="00BF49DD">
            <w:pPr>
              <w:autoSpaceDE w:val="0"/>
              <w:autoSpaceDN w:val="0"/>
              <w:adjustRightInd w:val="0"/>
              <w:jc w:val="center"/>
              <w:rPr>
                <w:rFonts w:ascii="Arial Narrow" w:hAnsi="Arial Narrow" w:cs="Calibri"/>
                <w:color w:val="000000"/>
                <w:sz w:val="20"/>
                <w:szCs w:val="20"/>
              </w:rPr>
            </w:pPr>
            <w:r w:rsidRPr="00BF49DD">
              <w:rPr>
                <w:rFonts w:ascii="Arial Narrow" w:hAnsi="Arial Narrow" w:cs="Calibri"/>
                <w:color w:val="000000"/>
                <w:sz w:val="20"/>
                <w:szCs w:val="20"/>
              </w:rPr>
              <w:t>Tinker Creek</w:t>
            </w:r>
          </w:p>
        </w:tc>
        <w:tc>
          <w:tcPr>
            <w:tcW w:w="1350" w:type="dxa"/>
            <w:vAlign w:val="bottom"/>
          </w:tcPr>
          <w:p w14:paraId="13E0D8EA" w14:textId="03B55099" w:rsidR="00BF49DD" w:rsidRPr="00BF49DD" w:rsidRDefault="00BF49DD" w:rsidP="00BF49DD">
            <w:pPr>
              <w:autoSpaceDE w:val="0"/>
              <w:autoSpaceDN w:val="0"/>
              <w:adjustRightInd w:val="0"/>
              <w:jc w:val="center"/>
              <w:rPr>
                <w:rFonts w:ascii="Arial Narrow" w:hAnsi="Arial Narrow" w:cs="Calibri"/>
                <w:color w:val="000000"/>
                <w:sz w:val="20"/>
                <w:szCs w:val="20"/>
              </w:rPr>
            </w:pPr>
            <w:r w:rsidRPr="00BF49DD">
              <w:rPr>
                <w:rFonts w:ascii="Arial Narrow" w:hAnsi="Arial Narrow" w:cs="Calibri"/>
                <w:color w:val="000000"/>
                <w:sz w:val="20"/>
                <w:szCs w:val="20"/>
              </w:rPr>
              <w:t>4ATKR010.54</w:t>
            </w:r>
          </w:p>
        </w:tc>
        <w:tc>
          <w:tcPr>
            <w:tcW w:w="720" w:type="dxa"/>
            <w:vAlign w:val="bottom"/>
          </w:tcPr>
          <w:p w14:paraId="33EE36CA" w14:textId="489E9B5A"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0.26%</w:t>
            </w:r>
          </w:p>
        </w:tc>
        <w:tc>
          <w:tcPr>
            <w:tcW w:w="1170" w:type="dxa"/>
            <w:vAlign w:val="bottom"/>
          </w:tcPr>
          <w:p w14:paraId="54B8BC8C" w14:textId="07BAAD7B"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8.42%</w:t>
            </w:r>
          </w:p>
        </w:tc>
        <w:tc>
          <w:tcPr>
            <w:tcW w:w="810" w:type="dxa"/>
            <w:vAlign w:val="bottom"/>
          </w:tcPr>
          <w:p w14:paraId="4E26268B" w14:textId="1F9DFCBC"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0.19%</w:t>
            </w:r>
          </w:p>
        </w:tc>
        <w:tc>
          <w:tcPr>
            <w:tcW w:w="810" w:type="dxa"/>
            <w:vAlign w:val="bottom"/>
          </w:tcPr>
          <w:p w14:paraId="28A17A9D" w14:textId="0AF582DB"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40.40%</w:t>
            </w:r>
          </w:p>
        </w:tc>
        <w:tc>
          <w:tcPr>
            <w:tcW w:w="1080" w:type="dxa"/>
            <w:vAlign w:val="bottom"/>
          </w:tcPr>
          <w:p w14:paraId="55E9A3E3" w14:textId="07A9B4C6"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16.70%</w:t>
            </w:r>
          </w:p>
        </w:tc>
        <w:tc>
          <w:tcPr>
            <w:tcW w:w="810" w:type="dxa"/>
            <w:vAlign w:val="bottom"/>
          </w:tcPr>
          <w:p w14:paraId="7F4126E9" w14:textId="1488BFA9"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0.61%</w:t>
            </w:r>
          </w:p>
        </w:tc>
        <w:tc>
          <w:tcPr>
            <w:tcW w:w="1080" w:type="dxa"/>
            <w:vAlign w:val="bottom"/>
          </w:tcPr>
          <w:p w14:paraId="017EA49F" w14:textId="5D2D84EB"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0.27%</w:t>
            </w:r>
          </w:p>
        </w:tc>
        <w:tc>
          <w:tcPr>
            <w:tcW w:w="1080" w:type="dxa"/>
            <w:vAlign w:val="bottom"/>
          </w:tcPr>
          <w:p w14:paraId="727E117E" w14:textId="365112FF"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16.25%</w:t>
            </w:r>
          </w:p>
        </w:tc>
        <w:tc>
          <w:tcPr>
            <w:tcW w:w="900" w:type="dxa"/>
            <w:vAlign w:val="bottom"/>
          </w:tcPr>
          <w:p w14:paraId="697215A5" w14:textId="5F52A27E"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15.78%</w:t>
            </w:r>
          </w:p>
        </w:tc>
        <w:tc>
          <w:tcPr>
            <w:tcW w:w="990" w:type="dxa"/>
            <w:vAlign w:val="bottom"/>
          </w:tcPr>
          <w:p w14:paraId="58B53E85" w14:textId="00309E29"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1.05%</w:t>
            </w:r>
          </w:p>
        </w:tc>
        <w:tc>
          <w:tcPr>
            <w:tcW w:w="900" w:type="dxa"/>
            <w:vAlign w:val="bottom"/>
          </w:tcPr>
          <w:p w14:paraId="3C2C5D84" w14:textId="64302AF6"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0.07%</w:t>
            </w:r>
          </w:p>
        </w:tc>
      </w:tr>
      <w:tr w:rsidR="00BF49DD" w:rsidRPr="00BF49DD" w14:paraId="455C8DEE" w14:textId="77777777" w:rsidTr="00BF49DD">
        <w:trPr>
          <w:trHeight w:hRule="exact" w:val="331"/>
          <w:jc w:val="center"/>
        </w:trPr>
        <w:tc>
          <w:tcPr>
            <w:tcW w:w="1435" w:type="dxa"/>
            <w:vAlign w:val="bottom"/>
          </w:tcPr>
          <w:p w14:paraId="5143D5C7" w14:textId="5DE1A37F" w:rsidR="00BF49DD" w:rsidRPr="00BF49DD" w:rsidRDefault="00BF49DD" w:rsidP="00BF49DD">
            <w:pPr>
              <w:autoSpaceDE w:val="0"/>
              <w:autoSpaceDN w:val="0"/>
              <w:adjustRightInd w:val="0"/>
              <w:jc w:val="center"/>
              <w:rPr>
                <w:rFonts w:ascii="Arial Narrow" w:hAnsi="Arial Narrow" w:cs="Calibri"/>
                <w:color w:val="000000"/>
                <w:sz w:val="20"/>
                <w:szCs w:val="20"/>
              </w:rPr>
            </w:pPr>
            <w:r w:rsidRPr="00BF49DD">
              <w:rPr>
                <w:rFonts w:ascii="Arial Narrow" w:hAnsi="Arial Narrow" w:cs="Calibri"/>
                <w:color w:val="000000"/>
                <w:sz w:val="20"/>
                <w:szCs w:val="20"/>
              </w:rPr>
              <w:t>Tinker Creek</w:t>
            </w:r>
          </w:p>
        </w:tc>
        <w:tc>
          <w:tcPr>
            <w:tcW w:w="1350" w:type="dxa"/>
            <w:vAlign w:val="bottom"/>
          </w:tcPr>
          <w:p w14:paraId="326D0770" w14:textId="344A1588" w:rsidR="00BF49DD" w:rsidRPr="00BF49DD" w:rsidRDefault="00BF49DD" w:rsidP="00BF49DD">
            <w:pPr>
              <w:autoSpaceDE w:val="0"/>
              <w:autoSpaceDN w:val="0"/>
              <w:adjustRightInd w:val="0"/>
              <w:jc w:val="center"/>
              <w:rPr>
                <w:rFonts w:ascii="Arial Narrow" w:hAnsi="Arial Narrow" w:cs="Calibri"/>
                <w:color w:val="000000"/>
                <w:sz w:val="20"/>
                <w:szCs w:val="20"/>
              </w:rPr>
            </w:pPr>
            <w:r w:rsidRPr="00BF49DD">
              <w:rPr>
                <w:rFonts w:ascii="Arial Narrow" w:hAnsi="Arial Narrow" w:cs="Calibri"/>
                <w:color w:val="000000"/>
                <w:sz w:val="20"/>
                <w:szCs w:val="20"/>
              </w:rPr>
              <w:t>4ATKR014.16</w:t>
            </w:r>
          </w:p>
        </w:tc>
        <w:tc>
          <w:tcPr>
            <w:tcW w:w="720" w:type="dxa"/>
            <w:vAlign w:val="bottom"/>
          </w:tcPr>
          <w:p w14:paraId="1BC32CDB" w14:textId="26ED15AF"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0.46%</w:t>
            </w:r>
          </w:p>
        </w:tc>
        <w:tc>
          <w:tcPr>
            <w:tcW w:w="1170" w:type="dxa"/>
            <w:vAlign w:val="bottom"/>
          </w:tcPr>
          <w:p w14:paraId="299C86E1" w14:textId="7065952A"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5.58%</w:t>
            </w:r>
          </w:p>
        </w:tc>
        <w:tc>
          <w:tcPr>
            <w:tcW w:w="810" w:type="dxa"/>
            <w:vAlign w:val="bottom"/>
          </w:tcPr>
          <w:p w14:paraId="74EF3DDA" w14:textId="04186E1D"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0.00%</w:t>
            </w:r>
          </w:p>
        </w:tc>
        <w:tc>
          <w:tcPr>
            <w:tcW w:w="810" w:type="dxa"/>
            <w:vAlign w:val="bottom"/>
          </w:tcPr>
          <w:p w14:paraId="1924C56A" w14:textId="3844F9C5"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36.17%</w:t>
            </w:r>
          </w:p>
        </w:tc>
        <w:tc>
          <w:tcPr>
            <w:tcW w:w="1080" w:type="dxa"/>
            <w:vAlign w:val="bottom"/>
          </w:tcPr>
          <w:p w14:paraId="32B638AB" w14:textId="492ECCFD"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15.17%</w:t>
            </w:r>
          </w:p>
        </w:tc>
        <w:tc>
          <w:tcPr>
            <w:tcW w:w="810" w:type="dxa"/>
            <w:vAlign w:val="bottom"/>
          </w:tcPr>
          <w:p w14:paraId="13A8C4B3" w14:textId="237AD842"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0.36%</w:t>
            </w:r>
          </w:p>
        </w:tc>
        <w:tc>
          <w:tcPr>
            <w:tcW w:w="1080" w:type="dxa"/>
            <w:vAlign w:val="bottom"/>
          </w:tcPr>
          <w:p w14:paraId="4C8ED2EE" w14:textId="3AC7275B"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0.00%</w:t>
            </w:r>
          </w:p>
        </w:tc>
        <w:tc>
          <w:tcPr>
            <w:tcW w:w="1080" w:type="dxa"/>
            <w:vAlign w:val="bottom"/>
          </w:tcPr>
          <w:p w14:paraId="1E3ECE61" w14:textId="053D9D90"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18.22%</w:t>
            </w:r>
          </w:p>
        </w:tc>
        <w:tc>
          <w:tcPr>
            <w:tcW w:w="900" w:type="dxa"/>
            <w:vAlign w:val="bottom"/>
          </w:tcPr>
          <w:p w14:paraId="6A801183" w14:textId="27D24613"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22.43%</w:t>
            </w:r>
          </w:p>
        </w:tc>
        <w:tc>
          <w:tcPr>
            <w:tcW w:w="990" w:type="dxa"/>
            <w:vAlign w:val="bottom"/>
          </w:tcPr>
          <w:p w14:paraId="4E2CCA39" w14:textId="48D7198C"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1.57%</w:t>
            </w:r>
          </w:p>
        </w:tc>
        <w:tc>
          <w:tcPr>
            <w:tcW w:w="900" w:type="dxa"/>
            <w:vAlign w:val="bottom"/>
          </w:tcPr>
          <w:p w14:paraId="2756BB4F" w14:textId="7EFBF71B"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0.03%</w:t>
            </w:r>
          </w:p>
        </w:tc>
      </w:tr>
      <w:tr w:rsidR="00BF49DD" w:rsidRPr="00BF49DD" w14:paraId="731C1C43" w14:textId="77777777" w:rsidTr="00BF49DD">
        <w:trPr>
          <w:trHeight w:hRule="exact" w:val="331"/>
          <w:jc w:val="center"/>
        </w:trPr>
        <w:tc>
          <w:tcPr>
            <w:tcW w:w="1435" w:type="dxa"/>
            <w:vAlign w:val="bottom"/>
          </w:tcPr>
          <w:p w14:paraId="45620E96" w14:textId="1928C672" w:rsidR="00BF49DD" w:rsidRPr="00BF49DD" w:rsidRDefault="00BF49DD" w:rsidP="00BF49DD">
            <w:pPr>
              <w:autoSpaceDE w:val="0"/>
              <w:autoSpaceDN w:val="0"/>
              <w:adjustRightInd w:val="0"/>
              <w:jc w:val="center"/>
              <w:rPr>
                <w:rFonts w:ascii="Arial Narrow" w:hAnsi="Arial Narrow" w:cs="Calibri"/>
                <w:color w:val="000000"/>
                <w:sz w:val="20"/>
                <w:szCs w:val="20"/>
              </w:rPr>
            </w:pPr>
            <w:r w:rsidRPr="00BF49DD">
              <w:rPr>
                <w:rFonts w:ascii="Arial Narrow" w:hAnsi="Arial Narrow" w:cs="Calibri"/>
                <w:color w:val="000000"/>
                <w:sz w:val="20"/>
                <w:szCs w:val="20"/>
              </w:rPr>
              <w:t>Tinker Creek</w:t>
            </w:r>
          </w:p>
        </w:tc>
        <w:tc>
          <w:tcPr>
            <w:tcW w:w="1350" w:type="dxa"/>
            <w:vAlign w:val="bottom"/>
          </w:tcPr>
          <w:p w14:paraId="5DD67A70" w14:textId="4C51B431" w:rsidR="00BF49DD" w:rsidRPr="00BF49DD" w:rsidRDefault="00BF49DD" w:rsidP="00BF49DD">
            <w:pPr>
              <w:autoSpaceDE w:val="0"/>
              <w:autoSpaceDN w:val="0"/>
              <w:adjustRightInd w:val="0"/>
              <w:jc w:val="center"/>
              <w:rPr>
                <w:rFonts w:ascii="Arial Narrow" w:hAnsi="Arial Narrow" w:cs="Calibri"/>
                <w:color w:val="000000"/>
                <w:sz w:val="20"/>
                <w:szCs w:val="20"/>
              </w:rPr>
            </w:pPr>
            <w:r w:rsidRPr="00BF49DD">
              <w:rPr>
                <w:rFonts w:ascii="Arial Narrow" w:hAnsi="Arial Narrow" w:cs="Calibri"/>
                <w:color w:val="000000"/>
                <w:sz w:val="20"/>
                <w:szCs w:val="20"/>
              </w:rPr>
              <w:t>4ATKR015.40</w:t>
            </w:r>
          </w:p>
        </w:tc>
        <w:tc>
          <w:tcPr>
            <w:tcW w:w="720" w:type="dxa"/>
            <w:vAlign w:val="bottom"/>
          </w:tcPr>
          <w:p w14:paraId="082414C0" w14:textId="2343D28D"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0.49%</w:t>
            </w:r>
          </w:p>
        </w:tc>
        <w:tc>
          <w:tcPr>
            <w:tcW w:w="1170" w:type="dxa"/>
            <w:vAlign w:val="bottom"/>
          </w:tcPr>
          <w:p w14:paraId="6B3CB91A" w14:textId="7BF13BEB"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5.59%</w:t>
            </w:r>
          </w:p>
        </w:tc>
        <w:tc>
          <w:tcPr>
            <w:tcW w:w="810" w:type="dxa"/>
            <w:vAlign w:val="bottom"/>
          </w:tcPr>
          <w:p w14:paraId="139612DC" w14:textId="70949842"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0.00%</w:t>
            </w:r>
          </w:p>
        </w:tc>
        <w:tc>
          <w:tcPr>
            <w:tcW w:w="810" w:type="dxa"/>
            <w:vAlign w:val="bottom"/>
          </w:tcPr>
          <w:p w14:paraId="7F5E317F" w14:textId="0FA21FC7"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34.75%</w:t>
            </w:r>
          </w:p>
        </w:tc>
        <w:tc>
          <w:tcPr>
            <w:tcW w:w="1080" w:type="dxa"/>
            <w:vAlign w:val="bottom"/>
          </w:tcPr>
          <w:p w14:paraId="5B9DE273" w14:textId="59A9DC40"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15.14%</w:t>
            </w:r>
          </w:p>
        </w:tc>
        <w:tc>
          <w:tcPr>
            <w:tcW w:w="810" w:type="dxa"/>
            <w:vAlign w:val="bottom"/>
          </w:tcPr>
          <w:p w14:paraId="530545CB" w14:textId="64735D9D"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0.28%</w:t>
            </w:r>
          </w:p>
        </w:tc>
        <w:tc>
          <w:tcPr>
            <w:tcW w:w="1080" w:type="dxa"/>
            <w:vAlign w:val="bottom"/>
          </w:tcPr>
          <w:p w14:paraId="0C536BCB" w14:textId="38DB2C1F"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0.00%</w:t>
            </w:r>
          </w:p>
        </w:tc>
        <w:tc>
          <w:tcPr>
            <w:tcW w:w="1080" w:type="dxa"/>
            <w:vAlign w:val="bottom"/>
          </w:tcPr>
          <w:p w14:paraId="775B0590" w14:textId="4B38842B"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18.68%</w:t>
            </w:r>
          </w:p>
        </w:tc>
        <w:tc>
          <w:tcPr>
            <w:tcW w:w="900" w:type="dxa"/>
            <w:vAlign w:val="bottom"/>
          </w:tcPr>
          <w:p w14:paraId="79F155B4" w14:textId="52333678"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23.46%</w:t>
            </w:r>
          </w:p>
        </w:tc>
        <w:tc>
          <w:tcPr>
            <w:tcW w:w="990" w:type="dxa"/>
            <w:vAlign w:val="bottom"/>
          </w:tcPr>
          <w:p w14:paraId="3A71C5EA" w14:textId="11BD7310"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1.58%</w:t>
            </w:r>
          </w:p>
        </w:tc>
        <w:tc>
          <w:tcPr>
            <w:tcW w:w="900" w:type="dxa"/>
            <w:vAlign w:val="bottom"/>
          </w:tcPr>
          <w:p w14:paraId="39C26EA9" w14:textId="2BF3DBA5"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0.03%</w:t>
            </w:r>
          </w:p>
        </w:tc>
      </w:tr>
      <w:tr w:rsidR="00BF49DD" w:rsidRPr="00BF49DD" w14:paraId="1ED012AE" w14:textId="77777777" w:rsidTr="00BF49DD">
        <w:trPr>
          <w:trHeight w:hRule="exact" w:val="331"/>
          <w:jc w:val="center"/>
        </w:trPr>
        <w:tc>
          <w:tcPr>
            <w:tcW w:w="1435" w:type="dxa"/>
            <w:vAlign w:val="bottom"/>
          </w:tcPr>
          <w:p w14:paraId="3A3F1015" w14:textId="757A9F27" w:rsidR="00BF49DD" w:rsidRPr="00BF49DD" w:rsidRDefault="00BF49DD" w:rsidP="00BF49DD">
            <w:pPr>
              <w:autoSpaceDE w:val="0"/>
              <w:autoSpaceDN w:val="0"/>
              <w:adjustRightInd w:val="0"/>
              <w:jc w:val="center"/>
              <w:rPr>
                <w:rFonts w:ascii="Arial Narrow" w:hAnsi="Arial Narrow" w:cs="Calibri"/>
                <w:color w:val="000000"/>
                <w:sz w:val="20"/>
                <w:szCs w:val="20"/>
              </w:rPr>
            </w:pPr>
            <w:r w:rsidRPr="00BF49DD">
              <w:rPr>
                <w:rFonts w:ascii="Arial Narrow" w:hAnsi="Arial Narrow" w:cs="Calibri"/>
                <w:color w:val="000000"/>
                <w:sz w:val="20"/>
                <w:szCs w:val="20"/>
              </w:rPr>
              <w:t>Roanoke River</w:t>
            </w:r>
          </w:p>
        </w:tc>
        <w:tc>
          <w:tcPr>
            <w:tcW w:w="1350" w:type="dxa"/>
            <w:vAlign w:val="bottom"/>
          </w:tcPr>
          <w:p w14:paraId="2058C761" w14:textId="7C3895D2" w:rsidR="00BF49DD" w:rsidRPr="00BF49DD" w:rsidRDefault="00BF49DD" w:rsidP="00BF49DD">
            <w:pPr>
              <w:autoSpaceDE w:val="0"/>
              <w:autoSpaceDN w:val="0"/>
              <w:adjustRightInd w:val="0"/>
              <w:jc w:val="center"/>
              <w:rPr>
                <w:rFonts w:ascii="Arial Narrow" w:hAnsi="Arial Narrow" w:cs="Calibri"/>
                <w:color w:val="000000"/>
                <w:sz w:val="20"/>
                <w:szCs w:val="20"/>
              </w:rPr>
            </w:pPr>
            <w:r w:rsidRPr="00BF49DD">
              <w:rPr>
                <w:rFonts w:ascii="Arial Narrow" w:hAnsi="Arial Narrow" w:cs="Calibri"/>
                <w:color w:val="000000"/>
                <w:sz w:val="20"/>
                <w:szCs w:val="20"/>
              </w:rPr>
              <w:t>4AROA198.08</w:t>
            </w:r>
          </w:p>
        </w:tc>
        <w:tc>
          <w:tcPr>
            <w:tcW w:w="720" w:type="dxa"/>
            <w:vAlign w:val="bottom"/>
          </w:tcPr>
          <w:p w14:paraId="08E58E3D" w14:textId="453E1093"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0.50%</w:t>
            </w:r>
          </w:p>
        </w:tc>
        <w:tc>
          <w:tcPr>
            <w:tcW w:w="1170" w:type="dxa"/>
            <w:vAlign w:val="bottom"/>
          </w:tcPr>
          <w:p w14:paraId="698E5DE6" w14:textId="790EA3C0"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8.77%</w:t>
            </w:r>
          </w:p>
        </w:tc>
        <w:tc>
          <w:tcPr>
            <w:tcW w:w="810" w:type="dxa"/>
            <w:vAlign w:val="bottom"/>
          </w:tcPr>
          <w:p w14:paraId="15B5330C" w14:textId="41AD0079"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0.27%</w:t>
            </w:r>
          </w:p>
        </w:tc>
        <w:tc>
          <w:tcPr>
            <w:tcW w:w="810" w:type="dxa"/>
            <w:vAlign w:val="bottom"/>
          </w:tcPr>
          <w:p w14:paraId="63741BD0" w14:textId="24F80863"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60.30%</w:t>
            </w:r>
          </w:p>
        </w:tc>
        <w:tc>
          <w:tcPr>
            <w:tcW w:w="1080" w:type="dxa"/>
            <w:vAlign w:val="bottom"/>
          </w:tcPr>
          <w:p w14:paraId="785BED33" w14:textId="5A667D0E"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8.80%</w:t>
            </w:r>
          </w:p>
        </w:tc>
        <w:tc>
          <w:tcPr>
            <w:tcW w:w="810" w:type="dxa"/>
            <w:vAlign w:val="bottom"/>
          </w:tcPr>
          <w:p w14:paraId="79A7BA48" w14:textId="28D859AE"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0.68%</w:t>
            </w:r>
          </w:p>
        </w:tc>
        <w:tc>
          <w:tcPr>
            <w:tcW w:w="1080" w:type="dxa"/>
            <w:vAlign w:val="bottom"/>
          </w:tcPr>
          <w:p w14:paraId="32A246A1" w14:textId="0EF528A7"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0.36%</w:t>
            </w:r>
          </w:p>
        </w:tc>
        <w:tc>
          <w:tcPr>
            <w:tcW w:w="1080" w:type="dxa"/>
            <w:vAlign w:val="bottom"/>
          </w:tcPr>
          <w:p w14:paraId="167C6CAD" w14:textId="6E254A3C"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12.01%</w:t>
            </w:r>
          </w:p>
        </w:tc>
        <w:tc>
          <w:tcPr>
            <w:tcW w:w="900" w:type="dxa"/>
            <w:vAlign w:val="bottom"/>
          </w:tcPr>
          <w:p w14:paraId="3E61E8B0" w14:textId="279DC926"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7.79%</w:t>
            </w:r>
          </w:p>
        </w:tc>
        <w:tc>
          <w:tcPr>
            <w:tcW w:w="990" w:type="dxa"/>
            <w:vAlign w:val="bottom"/>
          </w:tcPr>
          <w:p w14:paraId="4D28787C" w14:textId="6B3A7944"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0.47%</w:t>
            </w:r>
          </w:p>
        </w:tc>
        <w:tc>
          <w:tcPr>
            <w:tcW w:w="900" w:type="dxa"/>
            <w:vAlign w:val="bottom"/>
          </w:tcPr>
          <w:p w14:paraId="24A31101" w14:textId="3D4B03F7"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0.05%</w:t>
            </w:r>
          </w:p>
        </w:tc>
      </w:tr>
      <w:tr w:rsidR="00BF49DD" w:rsidRPr="00BF49DD" w14:paraId="70DEBB49" w14:textId="77777777" w:rsidTr="00BF49DD">
        <w:trPr>
          <w:trHeight w:hRule="exact" w:val="331"/>
          <w:jc w:val="center"/>
        </w:trPr>
        <w:tc>
          <w:tcPr>
            <w:tcW w:w="1435" w:type="dxa"/>
            <w:vAlign w:val="bottom"/>
          </w:tcPr>
          <w:p w14:paraId="069856BB" w14:textId="21D8A6D5" w:rsidR="00BF49DD" w:rsidRPr="00BF49DD" w:rsidRDefault="00BF49DD" w:rsidP="00BF49DD">
            <w:pPr>
              <w:autoSpaceDE w:val="0"/>
              <w:autoSpaceDN w:val="0"/>
              <w:adjustRightInd w:val="0"/>
              <w:jc w:val="center"/>
              <w:rPr>
                <w:rFonts w:ascii="Arial Narrow" w:hAnsi="Arial Narrow" w:cs="Calibri"/>
                <w:color w:val="000000"/>
                <w:sz w:val="20"/>
                <w:szCs w:val="20"/>
              </w:rPr>
            </w:pPr>
            <w:r w:rsidRPr="00BF49DD">
              <w:rPr>
                <w:rFonts w:ascii="Arial Narrow" w:hAnsi="Arial Narrow" w:cs="Calibri"/>
                <w:color w:val="000000"/>
                <w:sz w:val="20"/>
                <w:szCs w:val="20"/>
              </w:rPr>
              <w:t>Roanoke River</w:t>
            </w:r>
          </w:p>
        </w:tc>
        <w:tc>
          <w:tcPr>
            <w:tcW w:w="1350" w:type="dxa"/>
            <w:vAlign w:val="bottom"/>
          </w:tcPr>
          <w:p w14:paraId="1D4404C0" w14:textId="0F84F181" w:rsidR="00BF49DD" w:rsidRPr="00BF49DD" w:rsidRDefault="00BF49DD" w:rsidP="00BF49DD">
            <w:pPr>
              <w:autoSpaceDE w:val="0"/>
              <w:autoSpaceDN w:val="0"/>
              <w:adjustRightInd w:val="0"/>
              <w:jc w:val="center"/>
              <w:rPr>
                <w:rFonts w:ascii="Arial Narrow" w:hAnsi="Arial Narrow" w:cs="Calibri"/>
                <w:color w:val="000000"/>
                <w:sz w:val="20"/>
                <w:szCs w:val="20"/>
              </w:rPr>
            </w:pPr>
            <w:r w:rsidRPr="00BF49DD">
              <w:rPr>
                <w:rFonts w:ascii="Arial Narrow" w:hAnsi="Arial Narrow" w:cs="Calibri"/>
                <w:color w:val="000000"/>
                <w:sz w:val="20"/>
                <w:szCs w:val="20"/>
              </w:rPr>
              <w:t>4AROA202.20</w:t>
            </w:r>
          </w:p>
        </w:tc>
        <w:tc>
          <w:tcPr>
            <w:tcW w:w="720" w:type="dxa"/>
            <w:vAlign w:val="bottom"/>
          </w:tcPr>
          <w:p w14:paraId="5576F1CC" w14:textId="01E3E1B1"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0.31%</w:t>
            </w:r>
          </w:p>
        </w:tc>
        <w:tc>
          <w:tcPr>
            <w:tcW w:w="1170" w:type="dxa"/>
            <w:vAlign w:val="bottom"/>
          </w:tcPr>
          <w:p w14:paraId="4F26F3DA" w14:textId="1E55F74E"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6.95%</w:t>
            </w:r>
          </w:p>
        </w:tc>
        <w:tc>
          <w:tcPr>
            <w:tcW w:w="810" w:type="dxa"/>
            <w:vAlign w:val="bottom"/>
          </w:tcPr>
          <w:p w14:paraId="2465DCBF" w14:textId="62FD210F"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0.28%</w:t>
            </w:r>
          </w:p>
        </w:tc>
        <w:tc>
          <w:tcPr>
            <w:tcW w:w="810" w:type="dxa"/>
            <w:vAlign w:val="bottom"/>
          </w:tcPr>
          <w:p w14:paraId="72D24A19" w14:textId="23EA365C"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65.89%</w:t>
            </w:r>
          </w:p>
        </w:tc>
        <w:tc>
          <w:tcPr>
            <w:tcW w:w="1080" w:type="dxa"/>
            <w:vAlign w:val="bottom"/>
          </w:tcPr>
          <w:p w14:paraId="0871A290" w14:textId="6B342F33"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7.59%</w:t>
            </w:r>
          </w:p>
        </w:tc>
        <w:tc>
          <w:tcPr>
            <w:tcW w:w="810" w:type="dxa"/>
            <w:vAlign w:val="bottom"/>
          </w:tcPr>
          <w:p w14:paraId="0A761CFF" w14:textId="4C03B82E"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0.66%</w:t>
            </w:r>
          </w:p>
        </w:tc>
        <w:tc>
          <w:tcPr>
            <w:tcW w:w="1080" w:type="dxa"/>
            <w:vAlign w:val="bottom"/>
          </w:tcPr>
          <w:p w14:paraId="70431C54" w14:textId="45BD91E8"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0.43%</w:t>
            </w:r>
          </w:p>
        </w:tc>
        <w:tc>
          <w:tcPr>
            <w:tcW w:w="1080" w:type="dxa"/>
            <w:vAlign w:val="bottom"/>
          </w:tcPr>
          <w:p w14:paraId="59A2BD79" w14:textId="149338EA"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9.79%</w:t>
            </w:r>
          </w:p>
        </w:tc>
        <w:tc>
          <w:tcPr>
            <w:tcW w:w="900" w:type="dxa"/>
            <w:vAlign w:val="bottom"/>
          </w:tcPr>
          <w:p w14:paraId="534BA7A4" w14:textId="6EFB355B"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7.62%</w:t>
            </w:r>
          </w:p>
        </w:tc>
        <w:tc>
          <w:tcPr>
            <w:tcW w:w="990" w:type="dxa"/>
            <w:vAlign w:val="bottom"/>
          </w:tcPr>
          <w:p w14:paraId="186B32DF" w14:textId="363AE7C9"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0.45%</w:t>
            </w:r>
          </w:p>
        </w:tc>
        <w:tc>
          <w:tcPr>
            <w:tcW w:w="900" w:type="dxa"/>
            <w:vAlign w:val="bottom"/>
          </w:tcPr>
          <w:p w14:paraId="638B44E4" w14:textId="0CDACA16"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0.05%</w:t>
            </w:r>
          </w:p>
        </w:tc>
      </w:tr>
      <w:tr w:rsidR="00BF49DD" w:rsidRPr="00BF49DD" w14:paraId="402CDD5F" w14:textId="77777777" w:rsidTr="00BF49DD">
        <w:trPr>
          <w:trHeight w:hRule="exact" w:val="331"/>
          <w:jc w:val="center"/>
        </w:trPr>
        <w:tc>
          <w:tcPr>
            <w:tcW w:w="1435" w:type="dxa"/>
            <w:vAlign w:val="bottom"/>
          </w:tcPr>
          <w:p w14:paraId="43662C89" w14:textId="7A319736" w:rsidR="00BF49DD" w:rsidRPr="00BF49DD" w:rsidRDefault="00BF49DD" w:rsidP="00BF49DD">
            <w:pPr>
              <w:autoSpaceDE w:val="0"/>
              <w:autoSpaceDN w:val="0"/>
              <w:adjustRightInd w:val="0"/>
              <w:jc w:val="center"/>
              <w:rPr>
                <w:rFonts w:ascii="Arial Narrow" w:hAnsi="Arial Narrow" w:cs="Calibri"/>
                <w:color w:val="000000"/>
                <w:sz w:val="20"/>
                <w:szCs w:val="20"/>
              </w:rPr>
            </w:pPr>
            <w:r w:rsidRPr="00BF49DD">
              <w:rPr>
                <w:rFonts w:ascii="Arial Narrow" w:hAnsi="Arial Narrow" w:cs="Calibri"/>
                <w:color w:val="000000"/>
                <w:sz w:val="20"/>
                <w:szCs w:val="20"/>
              </w:rPr>
              <w:t>Roanoke River</w:t>
            </w:r>
          </w:p>
        </w:tc>
        <w:tc>
          <w:tcPr>
            <w:tcW w:w="1350" w:type="dxa"/>
            <w:vAlign w:val="bottom"/>
          </w:tcPr>
          <w:p w14:paraId="41C75298" w14:textId="5B82D90B" w:rsidR="00BF49DD" w:rsidRPr="00BF49DD" w:rsidRDefault="00BF49DD" w:rsidP="00BF49DD">
            <w:pPr>
              <w:autoSpaceDE w:val="0"/>
              <w:autoSpaceDN w:val="0"/>
              <w:adjustRightInd w:val="0"/>
              <w:jc w:val="center"/>
              <w:rPr>
                <w:rFonts w:ascii="Arial Narrow" w:hAnsi="Arial Narrow" w:cs="Calibri"/>
                <w:color w:val="000000"/>
                <w:sz w:val="20"/>
                <w:szCs w:val="20"/>
              </w:rPr>
            </w:pPr>
            <w:r w:rsidRPr="00BF49DD">
              <w:rPr>
                <w:rFonts w:ascii="Arial Narrow" w:hAnsi="Arial Narrow" w:cs="Calibri"/>
                <w:color w:val="000000"/>
                <w:sz w:val="20"/>
                <w:szCs w:val="20"/>
              </w:rPr>
              <w:t>4AROA205.67</w:t>
            </w:r>
          </w:p>
        </w:tc>
        <w:tc>
          <w:tcPr>
            <w:tcW w:w="720" w:type="dxa"/>
            <w:vAlign w:val="bottom"/>
          </w:tcPr>
          <w:p w14:paraId="16B86E5C" w14:textId="40876D15"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0.30%</w:t>
            </w:r>
          </w:p>
        </w:tc>
        <w:tc>
          <w:tcPr>
            <w:tcW w:w="1170" w:type="dxa"/>
            <w:vAlign w:val="bottom"/>
          </w:tcPr>
          <w:p w14:paraId="3C6E6A6E" w14:textId="26709639"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6.65%</w:t>
            </w:r>
          </w:p>
        </w:tc>
        <w:tc>
          <w:tcPr>
            <w:tcW w:w="810" w:type="dxa"/>
            <w:vAlign w:val="bottom"/>
          </w:tcPr>
          <w:p w14:paraId="72F5E1D6" w14:textId="483FC925"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0.28%</w:t>
            </w:r>
          </w:p>
        </w:tc>
        <w:tc>
          <w:tcPr>
            <w:tcW w:w="810" w:type="dxa"/>
            <w:vAlign w:val="bottom"/>
          </w:tcPr>
          <w:p w14:paraId="5DE5D3D0" w14:textId="5214725F"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66.52%</w:t>
            </w:r>
          </w:p>
        </w:tc>
        <w:tc>
          <w:tcPr>
            <w:tcW w:w="1080" w:type="dxa"/>
            <w:vAlign w:val="bottom"/>
          </w:tcPr>
          <w:p w14:paraId="54FBC32E" w14:textId="75748FDC"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7.43%</w:t>
            </w:r>
          </w:p>
        </w:tc>
        <w:tc>
          <w:tcPr>
            <w:tcW w:w="810" w:type="dxa"/>
            <w:vAlign w:val="bottom"/>
          </w:tcPr>
          <w:p w14:paraId="597B95C6" w14:textId="13BFD39A"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0.64%</w:t>
            </w:r>
          </w:p>
        </w:tc>
        <w:tc>
          <w:tcPr>
            <w:tcW w:w="1080" w:type="dxa"/>
            <w:vAlign w:val="bottom"/>
          </w:tcPr>
          <w:p w14:paraId="752DB381" w14:textId="412564FB"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0.44%</w:t>
            </w:r>
          </w:p>
        </w:tc>
        <w:tc>
          <w:tcPr>
            <w:tcW w:w="1080" w:type="dxa"/>
            <w:vAlign w:val="bottom"/>
          </w:tcPr>
          <w:p w14:paraId="754C4F40" w14:textId="529FC733"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9.51%</w:t>
            </w:r>
          </w:p>
        </w:tc>
        <w:tc>
          <w:tcPr>
            <w:tcW w:w="900" w:type="dxa"/>
            <w:vAlign w:val="bottom"/>
          </w:tcPr>
          <w:p w14:paraId="0B893FF7" w14:textId="56A9DD72"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7.74%</w:t>
            </w:r>
          </w:p>
        </w:tc>
        <w:tc>
          <w:tcPr>
            <w:tcW w:w="990" w:type="dxa"/>
            <w:vAlign w:val="bottom"/>
          </w:tcPr>
          <w:p w14:paraId="2B67A7FF" w14:textId="4DA14A29"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0.46%</w:t>
            </w:r>
          </w:p>
        </w:tc>
        <w:tc>
          <w:tcPr>
            <w:tcW w:w="900" w:type="dxa"/>
            <w:vAlign w:val="bottom"/>
          </w:tcPr>
          <w:p w14:paraId="42A49D21" w14:textId="3FA6E860"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0.05%</w:t>
            </w:r>
          </w:p>
        </w:tc>
      </w:tr>
      <w:tr w:rsidR="00BF49DD" w:rsidRPr="00BF49DD" w14:paraId="79039677" w14:textId="77777777" w:rsidTr="00BF49DD">
        <w:trPr>
          <w:trHeight w:hRule="exact" w:val="331"/>
          <w:jc w:val="center"/>
        </w:trPr>
        <w:tc>
          <w:tcPr>
            <w:tcW w:w="1435" w:type="dxa"/>
            <w:vAlign w:val="bottom"/>
          </w:tcPr>
          <w:p w14:paraId="7F76FEAC" w14:textId="45CD6086" w:rsidR="00BF49DD" w:rsidRPr="00BF49DD" w:rsidRDefault="00BF49DD" w:rsidP="00BF49DD">
            <w:pPr>
              <w:autoSpaceDE w:val="0"/>
              <w:autoSpaceDN w:val="0"/>
              <w:adjustRightInd w:val="0"/>
              <w:jc w:val="center"/>
              <w:rPr>
                <w:rFonts w:ascii="Arial Narrow" w:hAnsi="Arial Narrow" w:cs="Calibri"/>
                <w:color w:val="000000"/>
                <w:sz w:val="20"/>
                <w:szCs w:val="20"/>
              </w:rPr>
            </w:pPr>
            <w:r w:rsidRPr="00BF49DD">
              <w:rPr>
                <w:rFonts w:ascii="Arial Narrow" w:hAnsi="Arial Narrow" w:cs="Calibri"/>
                <w:color w:val="000000"/>
                <w:sz w:val="20"/>
                <w:szCs w:val="20"/>
              </w:rPr>
              <w:t>Roanoke River</w:t>
            </w:r>
          </w:p>
        </w:tc>
        <w:tc>
          <w:tcPr>
            <w:tcW w:w="1350" w:type="dxa"/>
            <w:vAlign w:val="bottom"/>
          </w:tcPr>
          <w:p w14:paraId="13150F63" w14:textId="72FCD33D" w:rsidR="00BF49DD" w:rsidRPr="00BF49DD" w:rsidRDefault="00BF49DD" w:rsidP="00BF49DD">
            <w:pPr>
              <w:autoSpaceDE w:val="0"/>
              <w:autoSpaceDN w:val="0"/>
              <w:adjustRightInd w:val="0"/>
              <w:jc w:val="center"/>
              <w:rPr>
                <w:rFonts w:ascii="Arial Narrow" w:hAnsi="Arial Narrow" w:cs="Calibri"/>
                <w:color w:val="000000"/>
                <w:sz w:val="20"/>
                <w:szCs w:val="20"/>
              </w:rPr>
            </w:pPr>
            <w:r w:rsidRPr="00BF49DD">
              <w:rPr>
                <w:rFonts w:ascii="Arial Narrow" w:hAnsi="Arial Narrow" w:cs="Calibri"/>
                <w:color w:val="000000"/>
                <w:sz w:val="20"/>
                <w:szCs w:val="20"/>
              </w:rPr>
              <w:t>4AROA206.95</w:t>
            </w:r>
          </w:p>
        </w:tc>
        <w:tc>
          <w:tcPr>
            <w:tcW w:w="720" w:type="dxa"/>
            <w:vAlign w:val="bottom"/>
          </w:tcPr>
          <w:p w14:paraId="29FC0908" w14:textId="012D90C8"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0.30%</w:t>
            </w:r>
          </w:p>
        </w:tc>
        <w:tc>
          <w:tcPr>
            <w:tcW w:w="1170" w:type="dxa"/>
            <w:vAlign w:val="bottom"/>
          </w:tcPr>
          <w:p w14:paraId="44F336FF" w14:textId="4C17FD55"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6.11%</w:t>
            </w:r>
          </w:p>
        </w:tc>
        <w:tc>
          <w:tcPr>
            <w:tcW w:w="810" w:type="dxa"/>
            <w:vAlign w:val="bottom"/>
          </w:tcPr>
          <w:p w14:paraId="4191AC3A" w14:textId="4F5E73F4"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0.28%</w:t>
            </w:r>
          </w:p>
        </w:tc>
        <w:tc>
          <w:tcPr>
            <w:tcW w:w="810" w:type="dxa"/>
            <w:vAlign w:val="bottom"/>
          </w:tcPr>
          <w:p w14:paraId="0C8913E0" w14:textId="75934748"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67.61%</w:t>
            </w:r>
          </w:p>
        </w:tc>
        <w:tc>
          <w:tcPr>
            <w:tcW w:w="1080" w:type="dxa"/>
            <w:vAlign w:val="bottom"/>
          </w:tcPr>
          <w:p w14:paraId="01CC33F2" w14:textId="2E2287B9"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7.07%</w:t>
            </w:r>
          </w:p>
        </w:tc>
        <w:tc>
          <w:tcPr>
            <w:tcW w:w="810" w:type="dxa"/>
            <w:vAlign w:val="bottom"/>
          </w:tcPr>
          <w:p w14:paraId="11F18DE7" w14:textId="7DBD93B4"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0.65%</w:t>
            </w:r>
          </w:p>
        </w:tc>
        <w:tc>
          <w:tcPr>
            <w:tcW w:w="1080" w:type="dxa"/>
            <w:vAlign w:val="bottom"/>
          </w:tcPr>
          <w:p w14:paraId="7ADD993B" w14:textId="6CD855E0"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0.45%</w:t>
            </w:r>
          </w:p>
        </w:tc>
        <w:tc>
          <w:tcPr>
            <w:tcW w:w="1080" w:type="dxa"/>
            <w:vAlign w:val="bottom"/>
          </w:tcPr>
          <w:p w14:paraId="224C53C3" w14:textId="42636B62"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9.13%</w:t>
            </w:r>
          </w:p>
        </w:tc>
        <w:tc>
          <w:tcPr>
            <w:tcW w:w="900" w:type="dxa"/>
            <w:vAlign w:val="bottom"/>
          </w:tcPr>
          <w:p w14:paraId="653625E5" w14:textId="7B1B75ED"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7.90%</w:t>
            </w:r>
          </w:p>
        </w:tc>
        <w:tc>
          <w:tcPr>
            <w:tcW w:w="990" w:type="dxa"/>
            <w:vAlign w:val="bottom"/>
          </w:tcPr>
          <w:p w14:paraId="6958BC06" w14:textId="6787F171"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0.47%</w:t>
            </w:r>
          </w:p>
        </w:tc>
        <w:tc>
          <w:tcPr>
            <w:tcW w:w="900" w:type="dxa"/>
            <w:vAlign w:val="bottom"/>
          </w:tcPr>
          <w:p w14:paraId="0C32195C" w14:textId="65466F10"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0.05%</w:t>
            </w:r>
          </w:p>
        </w:tc>
      </w:tr>
      <w:tr w:rsidR="00BF49DD" w:rsidRPr="00BF49DD" w14:paraId="57F303CB" w14:textId="77777777" w:rsidTr="00BF49DD">
        <w:trPr>
          <w:trHeight w:hRule="exact" w:val="331"/>
          <w:jc w:val="center"/>
        </w:trPr>
        <w:tc>
          <w:tcPr>
            <w:tcW w:w="1435" w:type="dxa"/>
            <w:vAlign w:val="bottom"/>
          </w:tcPr>
          <w:p w14:paraId="10E87314" w14:textId="6840ADD7" w:rsidR="00BF49DD" w:rsidRPr="00BF49DD" w:rsidRDefault="00BF49DD" w:rsidP="00BF49DD">
            <w:pPr>
              <w:autoSpaceDE w:val="0"/>
              <w:autoSpaceDN w:val="0"/>
              <w:adjustRightInd w:val="0"/>
              <w:jc w:val="center"/>
              <w:rPr>
                <w:rFonts w:ascii="Arial Narrow" w:hAnsi="Arial Narrow" w:cs="Calibri"/>
                <w:color w:val="000000"/>
                <w:sz w:val="20"/>
                <w:szCs w:val="20"/>
              </w:rPr>
            </w:pPr>
            <w:r w:rsidRPr="00BF49DD">
              <w:rPr>
                <w:rFonts w:ascii="Arial Narrow" w:hAnsi="Arial Narrow" w:cs="Calibri"/>
                <w:color w:val="000000"/>
                <w:sz w:val="20"/>
                <w:szCs w:val="20"/>
              </w:rPr>
              <w:t>Roanoke River</w:t>
            </w:r>
          </w:p>
        </w:tc>
        <w:tc>
          <w:tcPr>
            <w:tcW w:w="1350" w:type="dxa"/>
            <w:vAlign w:val="bottom"/>
          </w:tcPr>
          <w:p w14:paraId="40936E64" w14:textId="1459F37D" w:rsidR="00BF49DD" w:rsidRPr="00BF49DD" w:rsidRDefault="00BF49DD" w:rsidP="00BF49DD">
            <w:pPr>
              <w:autoSpaceDE w:val="0"/>
              <w:autoSpaceDN w:val="0"/>
              <w:adjustRightInd w:val="0"/>
              <w:jc w:val="center"/>
              <w:rPr>
                <w:rFonts w:ascii="Arial Narrow" w:hAnsi="Arial Narrow" w:cs="Calibri"/>
                <w:color w:val="000000"/>
                <w:sz w:val="20"/>
                <w:szCs w:val="20"/>
              </w:rPr>
            </w:pPr>
            <w:r w:rsidRPr="00BF49DD">
              <w:rPr>
                <w:rFonts w:ascii="Arial Narrow" w:hAnsi="Arial Narrow" w:cs="Calibri"/>
                <w:color w:val="000000"/>
                <w:sz w:val="20"/>
                <w:szCs w:val="20"/>
              </w:rPr>
              <w:t>4AROA210.56</w:t>
            </w:r>
          </w:p>
        </w:tc>
        <w:tc>
          <w:tcPr>
            <w:tcW w:w="720" w:type="dxa"/>
            <w:vAlign w:val="bottom"/>
          </w:tcPr>
          <w:p w14:paraId="72FEC349" w14:textId="5A1FB20C"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0.28%</w:t>
            </w:r>
          </w:p>
        </w:tc>
        <w:tc>
          <w:tcPr>
            <w:tcW w:w="1170" w:type="dxa"/>
            <w:vAlign w:val="bottom"/>
          </w:tcPr>
          <w:p w14:paraId="3296BEA8" w14:textId="0CFE4C28"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4.61%</w:t>
            </w:r>
          </w:p>
        </w:tc>
        <w:tc>
          <w:tcPr>
            <w:tcW w:w="810" w:type="dxa"/>
            <w:vAlign w:val="bottom"/>
          </w:tcPr>
          <w:p w14:paraId="5C1D05AD" w14:textId="12BC4D30"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0.27%</w:t>
            </w:r>
          </w:p>
        </w:tc>
        <w:tc>
          <w:tcPr>
            <w:tcW w:w="810" w:type="dxa"/>
            <w:vAlign w:val="bottom"/>
          </w:tcPr>
          <w:p w14:paraId="606FA519" w14:textId="5CE9D5D2"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71.26%</w:t>
            </w:r>
          </w:p>
        </w:tc>
        <w:tc>
          <w:tcPr>
            <w:tcW w:w="1080" w:type="dxa"/>
            <w:vAlign w:val="bottom"/>
          </w:tcPr>
          <w:p w14:paraId="361D9576" w14:textId="11BCB9A6"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6.18%</w:t>
            </w:r>
          </w:p>
        </w:tc>
        <w:tc>
          <w:tcPr>
            <w:tcW w:w="810" w:type="dxa"/>
            <w:vAlign w:val="bottom"/>
          </w:tcPr>
          <w:p w14:paraId="27FBA07E" w14:textId="102ADF69"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0.66%</w:t>
            </w:r>
          </w:p>
        </w:tc>
        <w:tc>
          <w:tcPr>
            <w:tcW w:w="1080" w:type="dxa"/>
            <w:vAlign w:val="bottom"/>
          </w:tcPr>
          <w:p w14:paraId="7B48C654" w14:textId="57C98B45"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0.47%</w:t>
            </w:r>
          </w:p>
        </w:tc>
        <w:tc>
          <w:tcPr>
            <w:tcW w:w="1080" w:type="dxa"/>
            <w:vAlign w:val="bottom"/>
          </w:tcPr>
          <w:p w14:paraId="31ED8C70" w14:textId="69F0C4E2"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7.34%</w:t>
            </w:r>
          </w:p>
        </w:tc>
        <w:tc>
          <w:tcPr>
            <w:tcW w:w="900" w:type="dxa"/>
            <w:vAlign w:val="bottom"/>
          </w:tcPr>
          <w:p w14:paraId="01316B59" w14:textId="54BE04BE"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8.40%</w:t>
            </w:r>
          </w:p>
        </w:tc>
        <w:tc>
          <w:tcPr>
            <w:tcW w:w="990" w:type="dxa"/>
            <w:vAlign w:val="bottom"/>
          </w:tcPr>
          <w:p w14:paraId="5FEFF3D2" w14:textId="18C8C36B"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0.48%</w:t>
            </w:r>
          </w:p>
        </w:tc>
        <w:tc>
          <w:tcPr>
            <w:tcW w:w="900" w:type="dxa"/>
            <w:vAlign w:val="bottom"/>
          </w:tcPr>
          <w:p w14:paraId="1369ABDD" w14:textId="68FDA3E7"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0.05%</w:t>
            </w:r>
          </w:p>
        </w:tc>
      </w:tr>
      <w:tr w:rsidR="00BF49DD" w:rsidRPr="00BF49DD" w14:paraId="19194D52" w14:textId="77777777" w:rsidTr="00BF49DD">
        <w:trPr>
          <w:trHeight w:hRule="exact" w:val="331"/>
          <w:jc w:val="center"/>
        </w:trPr>
        <w:tc>
          <w:tcPr>
            <w:tcW w:w="1435" w:type="dxa"/>
            <w:vAlign w:val="bottom"/>
          </w:tcPr>
          <w:p w14:paraId="0218CA16" w14:textId="59DEC8D7" w:rsidR="00BF49DD" w:rsidRPr="00BF49DD" w:rsidRDefault="00BF49DD" w:rsidP="00BF49DD">
            <w:pPr>
              <w:autoSpaceDE w:val="0"/>
              <w:autoSpaceDN w:val="0"/>
              <w:adjustRightInd w:val="0"/>
              <w:jc w:val="center"/>
              <w:rPr>
                <w:rFonts w:ascii="Arial Narrow" w:hAnsi="Arial Narrow" w:cs="Calibri"/>
                <w:color w:val="000000"/>
                <w:sz w:val="20"/>
                <w:szCs w:val="20"/>
              </w:rPr>
            </w:pPr>
            <w:r w:rsidRPr="00BF49DD">
              <w:rPr>
                <w:rFonts w:ascii="Arial Narrow" w:hAnsi="Arial Narrow" w:cs="Calibri"/>
                <w:color w:val="000000"/>
                <w:sz w:val="20"/>
                <w:szCs w:val="20"/>
              </w:rPr>
              <w:t>Roanoke River</w:t>
            </w:r>
          </w:p>
        </w:tc>
        <w:tc>
          <w:tcPr>
            <w:tcW w:w="1350" w:type="dxa"/>
            <w:vAlign w:val="bottom"/>
          </w:tcPr>
          <w:p w14:paraId="0C0D709B" w14:textId="52CBD66B" w:rsidR="00BF49DD" w:rsidRPr="00BF49DD" w:rsidRDefault="00BF49DD" w:rsidP="00BF49DD">
            <w:pPr>
              <w:autoSpaceDE w:val="0"/>
              <w:autoSpaceDN w:val="0"/>
              <w:adjustRightInd w:val="0"/>
              <w:jc w:val="center"/>
              <w:rPr>
                <w:rFonts w:ascii="Arial Narrow" w:hAnsi="Arial Narrow" w:cs="Calibri"/>
                <w:color w:val="000000"/>
                <w:sz w:val="20"/>
                <w:szCs w:val="20"/>
              </w:rPr>
            </w:pPr>
            <w:r w:rsidRPr="00BF49DD">
              <w:rPr>
                <w:rFonts w:ascii="Arial Narrow" w:hAnsi="Arial Narrow" w:cs="Calibri"/>
                <w:color w:val="000000"/>
                <w:sz w:val="20"/>
                <w:szCs w:val="20"/>
              </w:rPr>
              <w:t>4AROA212.17</w:t>
            </w:r>
          </w:p>
        </w:tc>
        <w:tc>
          <w:tcPr>
            <w:tcW w:w="720" w:type="dxa"/>
            <w:vAlign w:val="bottom"/>
          </w:tcPr>
          <w:p w14:paraId="7AA5B024" w14:textId="6585D26C"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0.29%</w:t>
            </w:r>
          </w:p>
        </w:tc>
        <w:tc>
          <w:tcPr>
            <w:tcW w:w="1170" w:type="dxa"/>
            <w:vAlign w:val="bottom"/>
          </w:tcPr>
          <w:p w14:paraId="41635100" w14:textId="59E65C97"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4.22%</w:t>
            </w:r>
          </w:p>
        </w:tc>
        <w:tc>
          <w:tcPr>
            <w:tcW w:w="810" w:type="dxa"/>
            <w:vAlign w:val="bottom"/>
          </w:tcPr>
          <w:p w14:paraId="1A274857" w14:textId="757AE126"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0.28%</w:t>
            </w:r>
          </w:p>
        </w:tc>
        <w:tc>
          <w:tcPr>
            <w:tcW w:w="810" w:type="dxa"/>
            <w:vAlign w:val="bottom"/>
          </w:tcPr>
          <w:p w14:paraId="700EF530" w14:textId="061C55E9"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71.30%</w:t>
            </w:r>
          </w:p>
        </w:tc>
        <w:tc>
          <w:tcPr>
            <w:tcW w:w="1080" w:type="dxa"/>
            <w:vAlign w:val="bottom"/>
          </w:tcPr>
          <w:p w14:paraId="08E12C80" w14:textId="08187CBA"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5.94%</w:t>
            </w:r>
          </w:p>
        </w:tc>
        <w:tc>
          <w:tcPr>
            <w:tcW w:w="810" w:type="dxa"/>
            <w:vAlign w:val="bottom"/>
          </w:tcPr>
          <w:p w14:paraId="4174D9EE" w14:textId="2E759E13"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0.68%</w:t>
            </w:r>
          </w:p>
        </w:tc>
        <w:tc>
          <w:tcPr>
            <w:tcW w:w="1080" w:type="dxa"/>
            <w:vAlign w:val="bottom"/>
          </w:tcPr>
          <w:p w14:paraId="3AD9587A" w14:textId="713E02B6"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0.48%</w:t>
            </w:r>
          </w:p>
        </w:tc>
        <w:tc>
          <w:tcPr>
            <w:tcW w:w="1080" w:type="dxa"/>
            <w:vAlign w:val="bottom"/>
          </w:tcPr>
          <w:p w14:paraId="3F241211" w14:textId="72FAE8B7"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7.17%</w:t>
            </w:r>
          </w:p>
        </w:tc>
        <w:tc>
          <w:tcPr>
            <w:tcW w:w="900" w:type="dxa"/>
            <w:vAlign w:val="bottom"/>
          </w:tcPr>
          <w:p w14:paraId="65D5F688" w14:textId="1EBEA433"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9.08%</w:t>
            </w:r>
          </w:p>
        </w:tc>
        <w:tc>
          <w:tcPr>
            <w:tcW w:w="990" w:type="dxa"/>
            <w:vAlign w:val="bottom"/>
          </w:tcPr>
          <w:p w14:paraId="5C5FAFDF" w14:textId="12AE0BC7"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0.52%</w:t>
            </w:r>
          </w:p>
        </w:tc>
        <w:tc>
          <w:tcPr>
            <w:tcW w:w="900" w:type="dxa"/>
            <w:vAlign w:val="bottom"/>
          </w:tcPr>
          <w:p w14:paraId="5DEAF080" w14:textId="3A067D34"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0.06%</w:t>
            </w:r>
          </w:p>
        </w:tc>
      </w:tr>
      <w:tr w:rsidR="00BF49DD" w:rsidRPr="00BF49DD" w14:paraId="3B1452B3" w14:textId="77777777" w:rsidTr="00BF49DD">
        <w:trPr>
          <w:trHeight w:hRule="exact" w:val="331"/>
          <w:jc w:val="center"/>
        </w:trPr>
        <w:tc>
          <w:tcPr>
            <w:tcW w:w="1435" w:type="dxa"/>
            <w:vAlign w:val="bottom"/>
          </w:tcPr>
          <w:p w14:paraId="00E43CE6" w14:textId="70ED9970" w:rsidR="00BF49DD" w:rsidRPr="00BF49DD" w:rsidRDefault="00BF49DD" w:rsidP="00BF49DD">
            <w:pPr>
              <w:autoSpaceDE w:val="0"/>
              <w:autoSpaceDN w:val="0"/>
              <w:adjustRightInd w:val="0"/>
              <w:jc w:val="center"/>
              <w:rPr>
                <w:rFonts w:ascii="Arial Narrow" w:hAnsi="Arial Narrow" w:cs="Calibri"/>
                <w:color w:val="000000"/>
                <w:sz w:val="20"/>
                <w:szCs w:val="20"/>
              </w:rPr>
            </w:pPr>
            <w:r w:rsidRPr="00BF49DD">
              <w:rPr>
                <w:rFonts w:ascii="Arial Narrow" w:hAnsi="Arial Narrow" w:cs="Calibri"/>
                <w:color w:val="000000"/>
                <w:sz w:val="20"/>
                <w:szCs w:val="20"/>
              </w:rPr>
              <w:t>Roanoke River</w:t>
            </w:r>
          </w:p>
        </w:tc>
        <w:tc>
          <w:tcPr>
            <w:tcW w:w="1350" w:type="dxa"/>
            <w:vAlign w:val="bottom"/>
          </w:tcPr>
          <w:p w14:paraId="4F00F5C2" w14:textId="66246455" w:rsidR="00BF49DD" w:rsidRPr="00BF49DD" w:rsidRDefault="00BF49DD" w:rsidP="00BF49DD">
            <w:pPr>
              <w:autoSpaceDE w:val="0"/>
              <w:autoSpaceDN w:val="0"/>
              <w:adjustRightInd w:val="0"/>
              <w:jc w:val="center"/>
              <w:rPr>
                <w:rFonts w:ascii="Arial Narrow" w:hAnsi="Arial Narrow" w:cs="Calibri"/>
                <w:color w:val="000000"/>
                <w:sz w:val="20"/>
                <w:szCs w:val="20"/>
              </w:rPr>
            </w:pPr>
            <w:r w:rsidRPr="00BF49DD">
              <w:rPr>
                <w:rFonts w:ascii="Arial Narrow" w:hAnsi="Arial Narrow" w:cs="Calibri"/>
                <w:color w:val="000000"/>
                <w:sz w:val="20"/>
                <w:szCs w:val="20"/>
              </w:rPr>
              <w:t>4AROA215.13</w:t>
            </w:r>
          </w:p>
        </w:tc>
        <w:tc>
          <w:tcPr>
            <w:tcW w:w="720" w:type="dxa"/>
            <w:vAlign w:val="bottom"/>
          </w:tcPr>
          <w:p w14:paraId="72E0E1C6" w14:textId="25FDF84D"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0.28%</w:t>
            </w:r>
          </w:p>
        </w:tc>
        <w:tc>
          <w:tcPr>
            <w:tcW w:w="1170" w:type="dxa"/>
            <w:vAlign w:val="bottom"/>
          </w:tcPr>
          <w:p w14:paraId="38426D7B" w14:textId="1B2B7598"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3.43%</w:t>
            </w:r>
          </w:p>
        </w:tc>
        <w:tc>
          <w:tcPr>
            <w:tcW w:w="810" w:type="dxa"/>
            <w:vAlign w:val="bottom"/>
          </w:tcPr>
          <w:p w14:paraId="676EC798" w14:textId="6D4B16F7"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0.28%</w:t>
            </w:r>
          </w:p>
        </w:tc>
        <w:tc>
          <w:tcPr>
            <w:tcW w:w="810" w:type="dxa"/>
            <w:vAlign w:val="bottom"/>
          </w:tcPr>
          <w:p w14:paraId="1FEC101A" w14:textId="74BCFE42"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72.66%</w:t>
            </w:r>
          </w:p>
        </w:tc>
        <w:tc>
          <w:tcPr>
            <w:tcW w:w="1080" w:type="dxa"/>
            <w:vAlign w:val="bottom"/>
          </w:tcPr>
          <w:p w14:paraId="3E326EEA" w14:textId="117325FC"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5.67%</w:t>
            </w:r>
          </w:p>
        </w:tc>
        <w:tc>
          <w:tcPr>
            <w:tcW w:w="810" w:type="dxa"/>
            <w:vAlign w:val="bottom"/>
          </w:tcPr>
          <w:p w14:paraId="2FD5ED10" w14:textId="0984FFB4"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0.65%</w:t>
            </w:r>
          </w:p>
        </w:tc>
        <w:tc>
          <w:tcPr>
            <w:tcW w:w="1080" w:type="dxa"/>
            <w:vAlign w:val="bottom"/>
          </w:tcPr>
          <w:p w14:paraId="3CF4416D" w14:textId="4E5256FC"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0.50%</w:t>
            </w:r>
          </w:p>
        </w:tc>
        <w:tc>
          <w:tcPr>
            <w:tcW w:w="1080" w:type="dxa"/>
            <w:vAlign w:val="bottom"/>
          </w:tcPr>
          <w:p w14:paraId="017EB86F" w14:textId="47DFDD09"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6.49%</w:t>
            </w:r>
          </w:p>
        </w:tc>
        <w:tc>
          <w:tcPr>
            <w:tcW w:w="900" w:type="dxa"/>
            <w:vAlign w:val="bottom"/>
          </w:tcPr>
          <w:p w14:paraId="757638E3" w14:textId="722F73CA"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9.44%</w:t>
            </w:r>
          </w:p>
        </w:tc>
        <w:tc>
          <w:tcPr>
            <w:tcW w:w="990" w:type="dxa"/>
            <w:vAlign w:val="bottom"/>
          </w:tcPr>
          <w:p w14:paraId="53715001" w14:textId="2179FE33"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0.54%</w:t>
            </w:r>
          </w:p>
        </w:tc>
        <w:tc>
          <w:tcPr>
            <w:tcW w:w="900" w:type="dxa"/>
            <w:vAlign w:val="bottom"/>
          </w:tcPr>
          <w:p w14:paraId="3D171F30" w14:textId="6019C111"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0.06%</w:t>
            </w:r>
          </w:p>
        </w:tc>
      </w:tr>
      <w:tr w:rsidR="00BF49DD" w:rsidRPr="00BF49DD" w14:paraId="0E2182D6" w14:textId="77777777" w:rsidTr="00BF49DD">
        <w:trPr>
          <w:trHeight w:hRule="exact" w:val="331"/>
          <w:jc w:val="center"/>
        </w:trPr>
        <w:tc>
          <w:tcPr>
            <w:tcW w:w="1435" w:type="dxa"/>
            <w:vAlign w:val="bottom"/>
          </w:tcPr>
          <w:p w14:paraId="075133C7" w14:textId="1D29FA75" w:rsidR="00BF49DD" w:rsidRPr="00BF49DD" w:rsidRDefault="00BF49DD" w:rsidP="00BF49DD">
            <w:pPr>
              <w:autoSpaceDE w:val="0"/>
              <w:autoSpaceDN w:val="0"/>
              <w:adjustRightInd w:val="0"/>
              <w:jc w:val="center"/>
              <w:rPr>
                <w:rFonts w:ascii="Arial Narrow" w:hAnsi="Arial Narrow" w:cs="Calibri"/>
                <w:color w:val="000000"/>
                <w:sz w:val="20"/>
                <w:szCs w:val="20"/>
              </w:rPr>
            </w:pPr>
            <w:r w:rsidRPr="00BF49DD">
              <w:rPr>
                <w:rFonts w:ascii="Arial Narrow" w:hAnsi="Arial Narrow" w:cs="Calibri"/>
                <w:color w:val="000000"/>
                <w:sz w:val="20"/>
                <w:szCs w:val="20"/>
              </w:rPr>
              <w:t>Roanoke River</w:t>
            </w:r>
          </w:p>
        </w:tc>
        <w:tc>
          <w:tcPr>
            <w:tcW w:w="1350" w:type="dxa"/>
            <w:vAlign w:val="bottom"/>
          </w:tcPr>
          <w:p w14:paraId="513C0FEA" w14:textId="6E7A0B5B" w:rsidR="00BF49DD" w:rsidRPr="00BF49DD" w:rsidRDefault="00BF49DD" w:rsidP="00BF49DD">
            <w:pPr>
              <w:autoSpaceDE w:val="0"/>
              <w:autoSpaceDN w:val="0"/>
              <w:adjustRightInd w:val="0"/>
              <w:jc w:val="center"/>
              <w:rPr>
                <w:rFonts w:ascii="Arial Narrow" w:hAnsi="Arial Narrow" w:cs="Calibri"/>
                <w:color w:val="000000"/>
                <w:sz w:val="20"/>
                <w:szCs w:val="20"/>
              </w:rPr>
            </w:pPr>
            <w:r w:rsidRPr="00BF49DD">
              <w:rPr>
                <w:rFonts w:ascii="Arial Narrow" w:hAnsi="Arial Narrow" w:cs="Calibri"/>
                <w:color w:val="000000"/>
                <w:sz w:val="20"/>
                <w:szCs w:val="20"/>
              </w:rPr>
              <w:t>4AROA216.75</w:t>
            </w:r>
          </w:p>
        </w:tc>
        <w:tc>
          <w:tcPr>
            <w:tcW w:w="720" w:type="dxa"/>
            <w:vAlign w:val="bottom"/>
          </w:tcPr>
          <w:p w14:paraId="083B6DCF" w14:textId="5710A182"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0.27%</w:t>
            </w:r>
          </w:p>
        </w:tc>
        <w:tc>
          <w:tcPr>
            <w:tcW w:w="1170" w:type="dxa"/>
            <w:vAlign w:val="bottom"/>
          </w:tcPr>
          <w:p w14:paraId="6AF063F5" w14:textId="3410ED7E"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3.17%</w:t>
            </w:r>
          </w:p>
        </w:tc>
        <w:tc>
          <w:tcPr>
            <w:tcW w:w="810" w:type="dxa"/>
            <w:vAlign w:val="bottom"/>
          </w:tcPr>
          <w:p w14:paraId="23378BF7" w14:textId="0873B885"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0.27%</w:t>
            </w:r>
          </w:p>
        </w:tc>
        <w:tc>
          <w:tcPr>
            <w:tcW w:w="810" w:type="dxa"/>
            <w:vAlign w:val="bottom"/>
          </w:tcPr>
          <w:p w14:paraId="2501542E" w14:textId="5A7A6D34"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73.09%</w:t>
            </w:r>
          </w:p>
        </w:tc>
        <w:tc>
          <w:tcPr>
            <w:tcW w:w="1080" w:type="dxa"/>
            <w:vAlign w:val="bottom"/>
          </w:tcPr>
          <w:p w14:paraId="3F072D32" w14:textId="25BC4826"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5.55%</w:t>
            </w:r>
          </w:p>
        </w:tc>
        <w:tc>
          <w:tcPr>
            <w:tcW w:w="810" w:type="dxa"/>
            <w:vAlign w:val="bottom"/>
          </w:tcPr>
          <w:p w14:paraId="115DB1C1" w14:textId="43288EA1"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0.64%</w:t>
            </w:r>
          </w:p>
        </w:tc>
        <w:tc>
          <w:tcPr>
            <w:tcW w:w="1080" w:type="dxa"/>
            <w:vAlign w:val="bottom"/>
          </w:tcPr>
          <w:p w14:paraId="527903BE" w14:textId="05F49281"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0.49%</w:t>
            </w:r>
          </w:p>
        </w:tc>
        <w:tc>
          <w:tcPr>
            <w:tcW w:w="1080" w:type="dxa"/>
            <w:vAlign w:val="bottom"/>
          </w:tcPr>
          <w:p w14:paraId="07916692" w14:textId="12A51471"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6.24%</w:t>
            </w:r>
          </w:p>
        </w:tc>
        <w:tc>
          <w:tcPr>
            <w:tcW w:w="900" w:type="dxa"/>
            <w:vAlign w:val="bottom"/>
          </w:tcPr>
          <w:p w14:paraId="70189AA5" w14:textId="620DE1A8"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9.66%</w:t>
            </w:r>
          </w:p>
        </w:tc>
        <w:tc>
          <w:tcPr>
            <w:tcW w:w="990" w:type="dxa"/>
            <w:vAlign w:val="bottom"/>
          </w:tcPr>
          <w:p w14:paraId="7AF1A133" w14:textId="4996C31F"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0.56%</w:t>
            </w:r>
          </w:p>
        </w:tc>
        <w:tc>
          <w:tcPr>
            <w:tcW w:w="900" w:type="dxa"/>
            <w:vAlign w:val="bottom"/>
          </w:tcPr>
          <w:p w14:paraId="22C22C12" w14:textId="37C854FA"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0.06%</w:t>
            </w:r>
          </w:p>
        </w:tc>
      </w:tr>
      <w:tr w:rsidR="00BF49DD" w:rsidRPr="00BF49DD" w14:paraId="4622DC92" w14:textId="77777777" w:rsidTr="00BF49DD">
        <w:trPr>
          <w:trHeight w:hRule="exact" w:val="331"/>
          <w:jc w:val="center"/>
        </w:trPr>
        <w:tc>
          <w:tcPr>
            <w:tcW w:w="1435" w:type="dxa"/>
            <w:vAlign w:val="bottom"/>
          </w:tcPr>
          <w:p w14:paraId="1D1A0C41" w14:textId="5B128C61" w:rsidR="00BF49DD" w:rsidRPr="00BF49DD" w:rsidRDefault="00BF49DD" w:rsidP="00BF49DD">
            <w:pPr>
              <w:autoSpaceDE w:val="0"/>
              <w:autoSpaceDN w:val="0"/>
              <w:adjustRightInd w:val="0"/>
              <w:jc w:val="center"/>
              <w:rPr>
                <w:rFonts w:ascii="Arial Narrow" w:hAnsi="Arial Narrow" w:cs="Calibri"/>
                <w:color w:val="000000"/>
                <w:sz w:val="20"/>
                <w:szCs w:val="20"/>
              </w:rPr>
            </w:pPr>
            <w:r w:rsidRPr="00BF49DD">
              <w:rPr>
                <w:rFonts w:ascii="Arial Narrow" w:hAnsi="Arial Narrow" w:cs="Calibri"/>
                <w:color w:val="000000"/>
                <w:sz w:val="20"/>
                <w:szCs w:val="20"/>
              </w:rPr>
              <w:t>Roanoke River</w:t>
            </w:r>
          </w:p>
        </w:tc>
        <w:tc>
          <w:tcPr>
            <w:tcW w:w="1350" w:type="dxa"/>
            <w:vAlign w:val="bottom"/>
          </w:tcPr>
          <w:p w14:paraId="0B54DB67" w14:textId="71A05BD9" w:rsidR="00BF49DD" w:rsidRPr="00BF49DD" w:rsidRDefault="00BF49DD" w:rsidP="00BF49DD">
            <w:pPr>
              <w:autoSpaceDE w:val="0"/>
              <w:autoSpaceDN w:val="0"/>
              <w:adjustRightInd w:val="0"/>
              <w:jc w:val="center"/>
              <w:rPr>
                <w:rFonts w:ascii="Arial Narrow" w:hAnsi="Arial Narrow" w:cs="Calibri"/>
                <w:color w:val="000000"/>
                <w:sz w:val="20"/>
                <w:szCs w:val="20"/>
              </w:rPr>
            </w:pPr>
            <w:r w:rsidRPr="00BF49DD">
              <w:rPr>
                <w:rFonts w:ascii="Arial Narrow" w:hAnsi="Arial Narrow" w:cs="Calibri"/>
                <w:color w:val="000000"/>
                <w:sz w:val="20"/>
                <w:szCs w:val="20"/>
              </w:rPr>
              <w:t>4AROA217.38</w:t>
            </w:r>
          </w:p>
        </w:tc>
        <w:tc>
          <w:tcPr>
            <w:tcW w:w="720" w:type="dxa"/>
            <w:vAlign w:val="bottom"/>
          </w:tcPr>
          <w:p w14:paraId="5171C453" w14:textId="1B70D70F"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0.28%</w:t>
            </w:r>
          </w:p>
        </w:tc>
        <w:tc>
          <w:tcPr>
            <w:tcW w:w="1170" w:type="dxa"/>
            <w:vAlign w:val="bottom"/>
          </w:tcPr>
          <w:p w14:paraId="1485900D" w14:textId="52F724ED"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3.07%</w:t>
            </w:r>
          </w:p>
        </w:tc>
        <w:tc>
          <w:tcPr>
            <w:tcW w:w="810" w:type="dxa"/>
            <w:vAlign w:val="bottom"/>
          </w:tcPr>
          <w:p w14:paraId="62F40BC7" w14:textId="6E508710"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0.28%</w:t>
            </w:r>
          </w:p>
        </w:tc>
        <w:tc>
          <w:tcPr>
            <w:tcW w:w="810" w:type="dxa"/>
            <w:vAlign w:val="bottom"/>
          </w:tcPr>
          <w:p w14:paraId="4774AEF4" w14:textId="225A7164"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73.19%</w:t>
            </w:r>
          </w:p>
        </w:tc>
        <w:tc>
          <w:tcPr>
            <w:tcW w:w="1080" w:type="dxa"/>
            <w:vAlign w:val="bottom"/>
          </w:tcPr>
          <w:p w14:paraId="6268A26D" w14:textId="02BCD77B"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5.49%</w:t>
            </w:r>
          </w:p>
        </w:tc>
        <w:tc>
          <w:tcPr>
            <w:tcW w:w="810" w:type="dxa"/>
            <w:vAlign w:val="bottom"/>
          </w:tcPr>
          <w:p w14:paraId="632C1CFE" w14:textId="21A34E78"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0.64%</w:t>
            </w:r>
          </w:p>
        </w:tc>
        <w:tc>
          <w:tcPr>
            <w:tcW w:w="1080" w:type="dxa"/>
            <w:vAlign w:val="bottom"/>
          </w:tcPr>
          <w:p w14:paraId="2E611D9B" w14:textId="110621B3"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0.50%</w:t>
            </w:r>
          </w:p>
        </w:tc>
        <w:tc>
          <w:tcPr>
            <w:tcW w:w="1080" w:type="dxa"/>
            <w:vAlign w:val="bottom"/>
          </w:tcPr>
          <w:p w14:paraId="5EB99B46" w14:textId="33477AD0"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6.08%</w:t>
            </w:r>
          </w:p>
        </w:tc>
        <w:tc>
          <w:tcPr>
            <w:tcW w:w="900" w:type="dxa"/>
            <w:vAlign w:val="bottom"/>
          </w:tcPr>
          <w:p w14:paraId="1186AFB6" w14:textId="583F4C89"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9.84%</w:t>
            </w:r>
          </w:p>
        </w:tc>
        <w:tc>
          <w:tcPr>
            <w:tcW w:w="990" w:type="dxa"/>
            <w:vAlign w:val="bottom"/>
          </w:tcPr>
          <w:p w14:paraId="770FA671" w14:textId="0F680ED8"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0.57%</w:t>
            </w:r>
          </w:p>
        </w:tc>
        <w:tc>
          <w:tcPr>
            <w:tcW w:w="900" w:type="dxa"/>
            <w:vAlign w:val="bottom"/>
          </w:tcPr>
          <w:p w14:paraId="2E712846" w14:textId="260E3D9A"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0.06%</w:t>
            </w:r>
          </w:p>
        </w:tc>
      </w:tr>
      <w:tr w:rsidR="00BF49DD" w:rsidRPr="00BF49DD" w14:paraId="2CA28980" w14:textId="77777777" w:rsidTr="00BF49DD">
        <w:trPr>
          <w:trHeight w:hRule="exact" w:val="331"/>
          <w:jc w:val="center"/>
        </w:trPr>
        <w:tc>
          <w:tcPr>
            <w:tcW w:w="1435" w:type="dxa"/>
            <w:vAlign w:val="bottom"/>
          </w:tcPr>
          <w:p w14:paraId="31FA59A1" w14:textId="2FF08247" w:rsidR="00BF49DD" w:rsidRPr="00BF49DD" w:rsidRDefault="00BF49DD" w:rsidP="00BF49DD">
            <w:pPr>
              <w:autoSpaceDE w:val="0"/>
              <w:autoSpaceDN w:val="0"/>
              <w:adjustRightInd w:val="0"/>
              <w:jc w:val="center"/>
              <w:rPr>
                <w:rFonts w:ascii="Arial Narrow" w:hAnsi="Arial Narrow" w:cs="Calibri"/>
                <w:color w:val="000000"/>
                <w:sz w:val="20"/>
                <w:szCs w:val="20"/>
              </w:rPr>
            </w:pPr>
            <w:r w:rsidRPr="00BF49DD">
              <w:rPr>
                <w:rFonts w:ascii="Arial Narrow" w:hAnsi="Arial Narrow" w:cs="Calibri"/>
                <w:color w:val="000000"/>
                <w:sz w:val="20"/>
                <w:szCs w:val="20"/>
              </w:rPr>
              <w:t>Roanoke River</w:t>
            </w:r>
          </w:p>
        </w:tc>
        <w:tc>
          <w:tcPr>
            <w:tcW w:w="1350" w:type="dxa"/>
            <w:vAlign w:val="bottom"/>
          </w:tcPr>
          <w:p w14:paraId="6C4D4536" w14:textId="38C2ADBE" w:rsidR="00BF49DD" w:rsidRPr="00BF49DD" w:rsidRDefault="00BF49DD" w:rsidP="00BF49DD">
            <w:pPr>
              <w:autoSpaceDE w:val="0"/>
              <w:autoSpaceDN w:val="0"/>
              <w:adjustRightInd w:val="0"/>
              <w:jc w:val="center"/>
              <w:rPr>
                <w:rFonts w:ascii="Arial Narrow" w:hAnsi="Arial Narrow" w:cs="Calibri"/>
                <w:color w:val="000000"/>
                <w:sz w:val="20"/>
                <w:szCs w:val="20"/>
              </w:rPr>
            </w:pPr>
            <w:r w:rsidRPr="00BF49DD">
              <w:rPr>
                <w:rFonts w:ascii="Arial Narrow" w:hAnsi="Arial Narrow" w:cs="Calibri"/>
                <w:color w:val="000000"/>
                <w:sz w:val="20"/>
                <w:szCs w:val="20"/>
              </w:rPr>
              <w:t>4AROA218.11</w:t>
            </w:r>
          </w:p>
        </w:tc>
        <w:tc>
          <w:tcPr>
            <w:tcW w:w="720" w:type="dxa"/>
            <w:vAlign w:val="bottom"/>
          </w:tcPr>
          <w:p w14:paraId="6B650CA5" w14:textId="0B5DFB37"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0.27%</w:t>
            </w:r>
          </w:p>
        </w:tc>
        <w:tc>
          <w:tcPr>
            <w:tcW w:w="1170" w:type="dxa"/>
            <w:vAlign w:val="bottom"/>
          </w:tcPr>
          <w:p w14:paraId="1EA302AA" w14:textId="2F7B1E49"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3.07%</w:t>
            </w:r>
          </w:p>
        </w:tc>
        <w:tc>
          <w:tcPr>
            <w:tcW w:w="810" w:type="dxa"/>
            <w:vAlign w:val="bottom"/>
          </w:tcPr>
          <w:p w14:paraId="6EA9FCCF" w14:textId="21459DEE"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0.27%</w:t>
            </w:r>
          </w:p>
        </w:tc>
        <w:tc>
          <w:tcPr>
            <w:tcW w:w="810" w:type="dxa"/>
            <w:vAlign w:val="bottom"/>
          </w:tcPr>
          <w:p w14:paraId="0A54953A" w14:textId="06C86AE9"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73.20%</w:t>
            </w:r>
          </w:p>
        </w:tc>
        <w:tc>
          <w:tcPr>
            <w:tcW w:w="1080" w:type="dxa"/>
            <w:vAlign w:val="bottom"/>
          </w:tcPr>
          <w:p w14:paraId="69ED87A4" w14:textId="51BA3001"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5.50%</w:t>
            </w:r>
          </w:p>
        </w:tc>
        <w:tc>
          <w:tcPr>
            <w:tcW w:w="810" w:type="dxa"/>
            <w:vAlign w:val="bottom"/>
          </w:tcPr>
          <w:p w14:paraId="587999E9" w14:textId="6ED07B84"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0.63%</w:t>
            </w:r>
          </w:p>
        </w:tc>
        <w:tc>
          <w:tcPr>
            <w:tcW w:w="1080" w:type="dxa"/>
            <w:vAlign w:val="bottom"/>
          </w:tcPr>
          <w:p w14:paraId="4C1258BC" w14:textId="4F1F5909"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0.50%</w:t>
            </w:r>
          </w:p>
        </w:tc>
        <w:tc>
          <w:tcPr>
            <w:tcW w:w="1080" w:type="dxa"/>
            <w:vAlign w:val="bottom"/>
          </w:tcPr>
          <w:p w14:paraId="76E2FD02" w14:textId="00A77F45"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6.08%</w:t>
            </w:r>
          </w:p>
        </w:tc>
        <w:tc>
          <w:tcPr>
            <w:tcW w:w="900" w:type="dxa"/>
            <w:vAlign w:val="bottom"/>
          </w:tcPr>
          <w:p w14:paraId="7D113853" w14:textId="34CA3B1B"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9.85%</w:t>
            </w:r>
          </w:p>
        </w:tc>
        <w:tc>
          <w:tcPr>
            <w:tcW w:w="990" w:type="dxa"/>
            <w:vAlign w:val="bottom"/>
          </w:tcPr>
          <w:p w14:paraId="18AAB912" w14:textId="4D4A47C3"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0.58%</w:t>
            </w:r>
          </w:p>
        </w:tc>
        <w:tc>
          <w:tcPr>
            <w:tcW w:w="900" w:type="dxa"/>
            <w:vAlign w:val="bottom"/>
          </w:tcPr>
          <w:p w14:paraId="688AB730" w14:textId="35AFD7B9"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0.06%</w:t>
            </w:r>
          </w:p>
        </w:tc>
      </w:tr>
      <w:tr w:rsidR="00BF49DD" w:rsidRPr="00BF49DD" w14:paraId="2909B08B" w14:textId="77777777" w:rsidTr="00BF49DD">
        <w:trPr>
          <w:trHeight w:hRule="exact" w:val="331"/>
          <w:jc w:val="center"/>
        </w:trPr>
        <w:tc>
          <w:tcPr>
            <w:tcW w:w="1435" w:type="dxa"/>
            <w:vAlign w:val="bottom"/>
          </w:tcPr>
          <w:p w14:paraId="3B5F3F4A" w14:textId="1F902499" w:rsidR="00BF49DD" w:rsidRPr="00BF49DD" w:rsidRDefault="00BF49DD" w:rsidP="00BF49DD">
            <w:pPr>
              <w:autoSpaceDE w:val="0"/>
              <w:autoSpaceDN w:val="0"/>
              <w:adjustRightInd w:val="0"/>
              <w:jc w:val="center"/>
              <w:rPr>
                <w:rFonts w:ascii="Arial Narrow" w:hAnsi="Arial Narrow" w:cs="Calibri"/>
                <w:color w:val="000000"/>
                <w:sz w:val="20"/>
                <w:szCs w:val="20"/>
              </w:rPr>
            </w:pPr>
            <w:r w:rsidRPr="00BF49DD">
              <w:rPr>
                <w:rFonts w:ascii="Arial Narrow" w:hAnsi="Arial Narrow" w:cs="Calibri"/>
                <w:color w:val="000000"/>
                <w:sz w:val="20"/>
                <w:szCs w:val="20"/>
              </w:rPr>
              <w:t>Roanoke River</w:t>
            </w:r>
          </w:p>
        </w:tc>
        <w:tc>
          <w:tcPr>
            <w:tcW w:w="1350" w:type="dxa"/>
            <w:vAlign w:val="bottom"/>
          </w:tcPr>
          <w:p w14:paraId="500BC52F" w14:textId="77D8BB80" w:rsidR="00BF49DD" w:rsidRPr="00BF49DD" w:rsidRDefault="00BF49DD" w:rsidP="00BF49DD">
            <w:pPr>
              <w:autoSpaceDE w:val="0"/>
              <w:autoSpaceDN w:val="0"/>
              <w:adjustRightInd w:val="0"/>
              <w:jc w:val="center"/>
              <w:rPr>
                <w:rFonts w:ascii="Arial Narrow" w:hAnsi="Arial Narrow" w:cs="Calibri"/>
                <w:color w:val="000000"/>
                <w:sz w:val="20"/>
                <w:szCs w:val="20"/>
              </w:rPr>
            </w:pPr>
            <w:r w:rsidRPr="00BF49DD">
              <w:rPr>
                <w:rFonts w:ascii="Arial Narrow" w:hAnsi="Arial Narrow" w:cs="Calibri"/>
                <w:color w:val="000000"/>
                <w:sz w:val="20"/>
                <w:szCs w:val="20"/>
              </w:rPr>
              <w:t>4AROA219.08</w:t>
            </w:r>
          </w:p>
        </w:tc>
        <w:tc>
          <w:tcPr>
            <w:tcW w:w="720" w:type="dxa"/>
            <w:vAlign w:val="bottom"/>
          </w:tcPr>
          <w:p w14:paraId="6E988AF7" w14:textId="35F3A821"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0.27%</w:t>
            </w:r>
          </w:p>
        </w:tc>
        <w:tc>
          <w:tcPr>
            <w:tcW w:w="1170" w:type="dxa"/>
            <w:vAlign w:val="bottom"/>
          </w:tcPr>
          <w:p w14:paraId="6D181F56" w14:textId="5F85BE3F"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2.97%</w:t>
            </w:r>
          </w:p>
        </w:tc>
        <w:tc>
          <w:tcPr>
            <w:tcW w:w="810" w:type="dxa"/>
            <w:vAlign w:val="bottom"/>
          </w:tcPr>
          <w:p w14:paraId="51771EF3" w14:textId="28E062EF"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0.27%</w:t>
            </w:r>
          </w:p>
        </w:tc>
        <w:tc>
          <w:tcPr>
            <w:tcW w:w="810" w:type="dxa"/>
            <w:vAlign w:val="bottom"/>
          </w:tcPr>
          <w:p w14:paraId="61EB4217" w14:textId="434041D1"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73.34%</w:t>
            </w:r>
          </w:p>
        </w:tc>
        <w:tc>
          <w:tcPr>
            <w:tcW w:w="1080" w:type="dxa"/>
            <w:vAlign w:val="bottom"/>
          </w:tcPr>
          <w:p w14:paraId="19536930" w14:textId="1329C459"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5.43%</w:t>
            </w:r>
          </w:p>
        </w:tc>
        <w:tc>
          <w:tcPr>
            <w:tcW w:w="810" w:type="dxa"/>
            <w:vAlign w:val="bottom"/>
          </w:tcPr>
          <w:p w14:paraId="2FF72171" w14:textId="445E4081"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0.63%</w:t>
            </w:r>
          </w:p>
        </w:tc>
        <w:tc>
          <w:tcPr>
            <w:tcW w:w="1080" w:type="dxa"/>
            <w:vAlign w:val="bottom"/>
          </w:tcPr>
          <w:p w14:paraId="36CABF12" w14:textId="6EDD7B36"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0.50%</w:t>
            </w:r>
          </w:p>
        </w:tc>
        <w:tc>
          <w:tcPr>
            <w:tcW w:w="1080" w:type="dxa"/>
            <w:vAlign w:val="bottom"/>
          </w:tcPr>
          <w:p w14:paraId="1B10F945" w14:textId="41CCCB77"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5.94%</w:t>
            </w:r>
          </w:p>
        </w:tc>
        <w:tc>
          <w:tcPr>
            <w:tcW w:w="900" w:type="dxa"/>
            <w:vAlign w:val="bottom"/>
          </w:tcPr>
          <w:p w14:paraId="75379CD6" w14:textId="68A67004"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10.01%</w:t>
            </w:r>
          </w:p>
        </w:tc>
        <w:tc>
          <w:tcPr>
            <w:tcW w:w="990" w:type="dxa"/>
            <w:vAlign w:val="bottom"/>
          </w:tcPr>
          <w:p w14:paraId="7188B699" w14:textId="542436D9"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0.56%</w:t>
            </w:r>
          </w:p>
        </w:tc>
        <w:tc>
          <w:tcPr>
            <w:tcW w:w="900" w:type="dxa"/>
            <w:vAlign w:val="bottom"/>
          </w:tcPr>
          <w:p w14:paraId="24D20B56" w14:textId="0C59042B"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0.06%</w:t>
            </w:r>
          </w:p>
        </w:tc>
      </w:tr>
      <w:tr w:rsidR="00BF49DD" w:rsidRPr="00BF49DD" w14:paraId="2870DD82" w14:textId="77777777" w:rsidTr="00BF49DD">
        <w:trPr>
          <w:trHeight w:hRule="exact" w:val="331"/>
          <w:jc w:val="center"/>
        </w:trPr>
        <w:tc>
          <w:tcPr>
            <w:tcW w:w="1435" w:type="dxa"/>
            <w:vAlign w:val="bottom"/>
          </w:tcPr>
          <w:p w14:paraId="3536B919" w14:textId="509E0700" w:rsidR="00BF49DD" w:rsidRPr="00BF49DD" w:rsidRDefault="00BF49DD" w:rsidP="00BF49DD">
            <w:pPr>
              <w:autoSpaceDE w:val="0"/>
              <w:autoSpaceDN w:val="0"/>
              <w:adjustRightInd w:val="0"/>
              <w:jc w:val="center"/>
              <w:rPr>
                <w:rFonts w:ascii="Arial Narrow" w:hAnsi="Arial Narrow" w:cs="Calibri"/>
                <w:color w:val="000000"/>
                <w:sz w:val="20"/>
                <w:szCs w:val="20"/>
              </w:rPr>
            </w:pPr>
            <w:r w:rsidRPr="00BF49DD">
              <w:rPr>
                <w:rFonts w:ascii="Arial Narrow" w:hAnsi="Arial Narrow" w:cs="Calibri"/>
                <w:color w:val="000000"/>
                <w:sz w:val="20"/>
                <w:szCs w:val="20"/>
              </w:rPr>
              <w:t>Roanoke River</w:t>
            </w:r>
          </w:p>
        </w:tc>
        <w:tc>
          <w:tcPr>
            <w:tcW w:w="1350" w:type="dxa"/>
            <w:vAlign w:val="bottom"/>
          </w:tcPr>
          <w:p w14:paraId="0F67C276" w14:textId="597F5B3F" w:rsidR="00BF49DD" w:rsidRPr="00BF49DD" w:rsidRDefault="00BF49DD" w:rsidP="00BF49DD">
            <w:pPr>
              <w:autoSpaceDE w:val="0"/>
              <w:autoSpaceDN w:val="0"/>
              <w:adjustRightInd w:val="0"/>
              <w:jc w:val="center"/>
              <w:rPr>
                <w:rFonts w:ascii="Arial Narrow" w:hAnsi="Arial Narrow" w:cs="Calibri"/>
                <w:color w:val="000000"/>
                <w:sz w:val="20"/>
                <w:szCs w:val="20"/>
              </w:rPr>
            </w:pPr>
            <w:r w:rsidRPr="00BF49DD">
              <w:rPr>
                <w:rFonts w:ascii="Arial Narrow" w:hAnsi="Arial Narrow" w:cs="Calibri"/>
                <w:color w:val="000000"/>
                <w:sz w:val="20"/>
                <w:szCs w:val="20"/>
              </w:rPr>
              <w:t>4AROA221.95</w:t>
            </w:r>
          </w:p>
        </w:tc>
        <w:tc>
          <w:tcPr>
            <w:tcW w:w="720" w:type="dxa"/>
            <w:vAlign w:val="bottom"/>
          </w:tcPr>
          <w:p w14:paraId="1A9BDC32" w14:textId="4E019739"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0.26%</w:t>
            </w:r>
          </w:p>
        </w:tc>
        <w:tc>
          <w:tcPr>
            <w:tcW w:w="1170" w:type="dxa"/>
            <w:vAlign w:val="bottom"/>
          </w:tcPr>
          <w:p w14:paraId="685B2DE6" w14:textId="2E1348FD"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2.96%</w:t>
            </w:r>
          </w:p>
        </w:tc>
        <w:tc>
          <w:tcPr>
            <w:tcW w:w="810" w:type="dxa"/>
            <w:vAlign w:val="bottom"/>
          </w:tcPr>
          <w:p w14:paraId="0CFCB231" w14:textId="34E3DF3D"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0.29%</w:t>
            </w:r>
          </w:p>
        </w:tc>
        <w:tc>
          <w:tcPr>
            <w:tcW w:w="810" w:type="dxa"/>
            <w:vAlign w:val="bottom"/>
          </w:tcPr>
          <w:p w14:paraId="554CA8EA" w14:textId="24F7EC05"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73.26%</w:t>
            </w:r>
          </w:p>
        </w:tc>
        <w:tc>
          <w:tcPr>
            <w:tcW w:w="1080" w:type="dxa"/>
            <w:vAlign w:val="bottom"/>
          </w:tcPr>
          <w:p w14:paraId="78F8EBCD" w14:textId="562652E2"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5.40%</w:t>
            </w:r>
          </w:p>
        </w:tc>
        <w:tc>
          <w:tcPr>
            <w:tcW w:w="810" w:type="dxa"/>
            <w:vAlign w:val="bottom"/>
          </w:tcPr>
          <w:p w14:paraId="007B0CAA" w14:textId="1746847E"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0.58%</w:t>
            </w:r>
          </w:p>
        </w:tc>
        <w:tc>
          <w:tcPr>
            <w:tcW w:w="1080" w:type="dxa"/>
            <w:vAlign w:val="bottom"/>
          </w:tcPr>
          <w:p w14:paraId="0BA18C89" w14:textId="075587D4"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0.52%</w:t>
            </w:r>
          </w:p>
        </w:tc>
        <w:tc>
          <w:tcPr>
            <w:tcW w:w="1080" w:type="dxa"/>
            <w:vAlign w:val="bottom"/>
          </w:tcPr>
          <w:p w14:paraId="4F990EC7" w14:textId="77489060"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5.86%</w:t>
            </w:r>
          </w:p>
        </w:tc>
        <w:tc>
          <w:tcPr>
            <w:tcW w:w="900" w:type="dxa"/>
            <w:vAlign w:val="bottom"/>
          </w:tcPr>
          <w:p w14:paraId="3DD8D7AD" w14:textId="35D7B434"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10.23%</w:t>
            </w:r>
          </w:p>
        </w:tc>
        <w:tc>
          <w:tcPr>
            <w:tcW w:w="990" w:type="dxa"/>
            <w:vAlign w:val="bottom"/>
          </w:tcPr>
          <w:p w14:paraId="42D6CEE1" w14:textId="2F28F626"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0.58%</w:t>
            </w:r>
          </w:p>
        </w:tc>
        <w:tc>
          <w:tcPr>
            <w:tcW w:w="900" w:type="dxa"/>
            <w:vAlign w:val="bottom"/>
          </w:tcPr>
          <w:p w14:paraId="45CB6F12" w14:textId="5177DFAD"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0.07%</w:t>
            </w:r>
          </w:p>
        </w:tc>
      </w:tr>
      <w:tr w:rsidR="00BF49DD" w:rsidRPr="00BF49DD" w14:paraId="30434936" w14:textId="77777777" w:rsidTr="00BF49DD">
        <w:trPr>
          <w:trHeight w:hRule="exact" w:val="331"/>
          <w:jc w:val="center"/>
        </w:trPr>
        <w:tc>
          <w:tcPr>
            <w:tcW w:w="1435" w:type="dxa"/>
            <w:vAlign w:val="bottom"/>
          </w:tcPr>
          <w:p w14:paraId="7AE0498B" w14:textId="05DC6E56" w:rsidR="00BF49DD" w:rsidRPr="00BF49DD" w:rsidRDefault="00BF49DD" w:rsidP="00BF49DD">
            <w:pPr>
              <w:autoSpaceDE w:val="0"/>
              <w:autoSpaceDN w:val="0"/>
              <w:adjustRightInd w:val="0"/>
              <w:jc w:val="center"/>
              <w:rPr>
                <w:rFonts w:ascii="Arial Narrow" w:hAnsi="Arial Narrow" w:cs="Calibri"/>
                <w:color w:val="000000"/>
                <w:sz w:val="20"/>
                <w:szCs w:val="20"/>
              </w:rPr>
            </w:pPr>
            <w:r w:rsidRPr="00BF49DD">
              <w:rPr>
                <w:rFonts w:ascii="Arial Narrow" w:hAnsi="Arial Narrow" w:cs="Calibri"/>
                <w:color w:val="000000"/>
                <w:sz w:val="20"/>
                <w:szCs w:val="20"/>
              </w:rPr>
              <w:t>Roanoke River</w:t>
            </w:r>
          </w:p>
        </w:tc>
        <w:tc>
          <w:tcPr>
            <w:tcW w:w="1350" w:type="dxa"/>
            <w:vAlign w:val="bottom"/>
          </w:tcPr>
          <w:p w14:paraId="097258CE" w14:textId="748182AD" w:rsidR="00BF49DD" w:rsidRPr="00BF49DD" w:rsidRDefault="00BF49DD" w:rsidP="00BF49DD">
            <w:pPr>
              <w:autoSpaceDE w:val="0"/>
              <w:autoSpaceDN w:val="0"/>
              <w:adjustRightInd w:val="0"/>
              <w:jc w:val="center"/>
              <w:rPr>
                <w:rFonts w:ascii="Arial Narrow" w:hAnsi="Arial Narrow" w:cs="Calibri"/>
                <w:color w:val="000000"/>
                <w:sz w:val="20"/>
                <w:szCs w:val="20"/>
              </w:rPr>
            </w:pPr>
            <w:r w:rsidRPr="00BF49DD">
              <w:rPr>
                <w:rFonts w:ascii="Arial Narrow" w:hAnsi="Arial Narrow" w:cs="Calibri"/>
                <w:color w:val="000000"/>
                <w:sz w:val="20"/>
                <w:szCs w:val="20"/>
              </w:rPr>
              <w:t>4AROA224.54</w:t>
            </w:r>
          </w:p>
        </w:tc>
        <w:tc>
          <w:tcPr>
            <w:tcW w:w="720" w:type="dxa"/>
            <w:vAlign w:val="bottom"/>
          </w:tcPr>
          <w:p w14:paraId="02C57B55" w14:textId="7ECCE1CF"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0.26%</w:t>
            </w:r>
          </w:p>
        </w:tc>
        <w:tc>
          <w:tcPr>
            <w:tcW w:w="1170" w:type="dxa"/>
            <w:vAlign w:val="bottom"/>
          </w:tcPr>
          <w:p w14:paraId="6D190A99" w14:textId="14FFCCF8"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2.95%</w:t>
            </w:r>
          </w:p>
        </w:tc>
        <w:tc>
          <w:tcPr>
            <w:tcW w:w="810" w:type="dxa"/>
            <w:vAlign w:val="bottom"/>
          </w:tcPr>
          <w:p w14:paraId="74B87B8E" w14:textId="346708DB"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0.28%</w:t>
            </w:r>
          </w:p>
        </w:tc>
        <w:tc>
          <w:tcPr>
            <w:tcW w:w="810" w:type="dxa"/>
            <w:vAlign w:val="bottom"/>
          </w:tcPr>
          <w:p w14:paraId="6468DD9C" w14:textId="6FCB8D53"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73.12%</w:t>
            </w:r>
          </w:p>
        </w:tc>
        <w:tc>
          <w:tcPr>
            <w:tcW w:w="1080" w:type="dxa"/>
            <w:vAlign w:val="bottom"/>
          </w:tcPr>
          <w:p w14:paraId="260AA096" w14:textId="6EF9AC33"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5.38%</w:t>
            </w:r>
          </w:p>
        </w:tc>
        <w:tc>
          <w:tcPr>
            <w:tcW w:w="810" w:type="dxa"/>
            <w:vAlign w:val="bottom"/>
          </w:tcPr>
          <w:p w14:paraId="00BF5816" w14:textId="7B5014E3"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0.50%</w:t>
            </w:r>
          </w:p>
        </w:tc>
        <w:tc>
          <w:tcPr>
            <w:tcW w:w="1080" w:type="dxa"/>
            <w:vAlign w:val="bottom"/>
          </w:tcPr>
          <w:p w14:paraId="47A3034E" w14:textId="4A3E4C1D"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0.53%</w:t>
            </w:r>
          </w:p>
        </w:tc>
        <w:tc>
          <w:tcPr>
            <w:tcW w:w="1080" w:type="dxa"/>
            <w:vAlign w:val="bottom"/>
          </w:tcPr>
          <w:p w14:paraId="53C2B3D5" w14:textId="52FAD3EB"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5.80%</w:t>
            </w:r>
          </w:p>
        </w:tc>
        <w:tc>
          <w:tcPr>
            <w:tcW w:w="900" w:type="dxa"/>
            <w:vAlign w:val="bottom"/>
          </w:tcPr>
          <w:p w14:paraId="6F79D847" w14:textId="7BA0C0F9"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10.52%</w:t>
            </w:r>
          </w:p>
        </w:tc>
        <w:tc>
          <w:tcPr>
            <w:tcW w:w="990" w:type="dxa"/>
            <w:vAlign w:val="bottom"/>
          </w:tcPr>
          <w:p w14:paraId="306B1D32" w14:textId="61181228"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0.59%</w:t>
            </w:r>
          </w:p>
        </w:tc>
        <w:tc>
          <w:tcPr>
            <w:tcW w:w="900" w:type="dxa"/>
            <w:vAlign w:val="bottom"/>
          </w:tcPr>
          <w:p w14:paraId="184BD551" w14:textId="737D728D"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0.07%</w:t>
            </w:r>
          </w:p>
        </w:tc>
      </w:tr>
      <w:tr w:rsidR="00BF49DD" w:rsidRPr="00BF49DD" w14:paraId="3AC9D9DC" w14:textId="77777777" w:rsidTr="00BF49DD">
        <w:trPr>
          <w:trHeight w:hRule="exact" w:val="331"/>
          <w:jc w:val="center"/>
        </w:trPr>
        <w:tc>
          <w:tcPr>
            <w:tcW w:w="1435" w:type="dxa"/>
            <w:vAlign w:val="bottom"/>
          </w:tcPr>
          <w:p w14:paraId="633B863A" w14:textId="277F11D9" w:rsidR="00BF49DD" w:rsidRPr="00BF49DD" w:rsidRDefault="00BF49DD" w:rsidP="00BF49DD">
            <w:pPr>
              <w:autoSpaceDE w:val="0"/>
              <w:autoSpaceDN w:val="0"/>
              <w:adjustRightInd w:val="0"/>
              <w:jc w:val="center"/>
              <w:rPr>
                <w:rFonts w:ascii="Arial Narrow" w:hAnsi="Arial Narrow" w:cs="Calibri"/>
                <w:color w:val="000000"/>
                <w:sz w:val="20"/>
                <w:szCs w:val="20"/>
              </w:rPr>
            </w:pPr>
            <w:r w:rsidRPr="00BF49DD">
              <w:rPr>
                <w:rFonts w:ascii="Arial Narrow" w:hAnsi="Arial Narrow" w:cs="Calibri"/>
                <w:color w:val="000000"/>
                <w:sz w:val="20"/>
                <w:szCs w:val="20"/>
              </w:rPr>
              <w:t>Roanoke River</w:t>
            </w:r>
          </w:p>
        </w:tc>
        <w:tc>
          <w:tcPr>
            <w:tcW w:w="1350" w:type="dxa"/>
            <w:vAlign w:val="bottom"/>
          </w:tcPr>
          <w:p w14:paraId="7D9942F2" w14:textId="50DC73FE" w:rsidR="00BF49DD" w:rsidRPr="00BF49DD" w:rsidRDefault="00BF49DD" w:rsidP="00BF49DD">
            <w:pPr>
              <w:autoSpaceDE w:val="0"/>
              <w:autoSpaceDN w:val="0"/>
              <w:adjustRightInd w:val="0"/>
              <w:jc w:val="center"/>
              <w:rPr>
                <w:rFonts w:ascii="Arial Narrow" w:hAnsi="Arial Narrow" w:cs="Calibri"/>
                <w:color w:val="000000"/>
                <w:sz w:val="20"/>
                <w:szCs w:val="20"/>
              </w:rPr>
            </w:pPr>
            <w:r w:rsidRPr="00BF49DD">
              <w:rPr>
                <w:rFonts w:ascii="Arial Narrow" w:hAnsi="Arial Narrow" w:cs="Calibri"/>
                <w:color w:val="000000"/>
                <w:sz w:val="20"/>
                <w:szCs w:val="20"/>
              </w:rPr>
              <w:t>4AROA226.64</w:t>
            </w:r>
          </w:p>
        </w:tc>
        <w:tc>
          <w:tcPr>
            <w:tcW w:w="720" w:type="dxa"/>
            <w:vAlign w:val="bottom"/>
          </w:tcPr>
          <w:p w14:paraId="7BAA42FC" w14:textId="2EA08C40"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0.17%</w:t>
            </w:r>
          </w:p>
        </w:tc>
        <w:tc>
          <w:tcPr>
            <w:tcW w:w="1170" w:type="dxa"/>
            <w:vAlign w:val="bottom"/>
          </w:tcPr>
          <w:p w14:paraId="4DD8AE2A" w14:textId="603144FF"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2.94%</w:t>
            </w:r>
          </w:p>
        </w:tc>
        <w:tc>
          <w:tcPr>
            <w:tcW w:w="810" w:type="dxa"/>
            <w:vAlign w:val="bottom"/>
          </w:tcPr>
          <w:p w14:paraId="0C9E5B66" w14:textId="5D30CAFE"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0.29%</w:t>
            </w:r>
          </w:p>
        </w:tc>
        <w:tc>
          <w:tcPr>
            <w:tcW w:w="810" w:type="dxa"/>
            <w:vAlign w:val="bottom"/>
          </w:tcPr>
          <w:p w14:paraId="32251F3D" w14:textId="33E862BE"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73.17%</w:t>
            </w:r>
          </w:p>
        </w:tc>
        <w:tc>
          <w:tcPr>
            <w:tcW w:w="1080" w:type="dxa"/>
            <w:vAlign w:val="bottom"/>
          </w:tcPr>
          <w:p w14:paraId="552C3010" w14:textId="7520DF26"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5.36%</w:t>
            </w:r>
          </w:p>
        </w:tc>
        <w:tc>
          <w:tcPr>
            <w:tcW w:w="810" w:type="dxa"/>
            <w:vAlign w:val="bottom"/>
          </w:tcPr>
          <w:p w14:paraId="1B3CCBE7" w14:textId="091DA3A1"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0.47%</w:t>
            </w:r>
          </w:p>
        </w:tc>
        <w:tc>
          <w:tcPr>
            <w:tcW w:w="1080" w:type="dxa"/>
            <w:vAlign w:val="bottom"/>
          </w:tcPr>
          <w:p w14:paraId="06671A96" w14:textId="511AFD7A"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0.51%</w:t>
            </w:r>
          </w:p>
        </w:tc>
        <w:tc>
          <w:tcPr>
            <w:tcW w:w="1080" w:type="dxa"/>
            <w:vAlign w:val="bottom"/>
          </w:tcPr>
          <w:p w14:paraId="3C73B2C7" w14:textId="137B0EAF"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5.78%</w:t>
            </w:r>
          </w:p>
        </w:tc>
        <w:tc>
          <w:tcPr>
            <w:tcW w:w="900" w:type="dxa"/>
            <w:vAlign w:val="bottom"/>
          </w:tcPr>
          <w:p w14:paraId="3D9E3E4E" w14:textId="72EF0F7C"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10.65%</w:t>
            </w:r>
          </w:p>
        </w:tc>
        <w:tc>
          <w:tcPr>
            <w:tcW w:w="990" w:type="dxa"/>
            <w:vAlign w:val="bottom"/>
          </w:tcPr>
          <w:p w14:paraId="7AC91125" w14:textId="583205ED"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0.60%</w:t>
            </w:r>
          </w:p>
        </w:tc>
        <w:tc>
          <w:tcPr>
            <w:tcW w:w="900" w:type="dxa"/>
            <w:vAlign w:val="bottom"/>
          </w:tcPr>
          <w:p w14:paraId="0EA3BE57" w14:textId="121A34EF"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0.07%</w:t>
            </w:r>
          </w:p>
        </w:tc>
      </w:tr>
      <w:tr w:rsidR="00BF49DD" w:rsidRPr="00BF49DD" w14:paraId="1779A84C" w14:textId="77777777" w:rsidTr="00BF49DD">
        <w:trPr>
          <w:trHeight w:hRule="exact" w:val="331"/>
          <w:jc w:val="center"/>
        </w:trPr>
        <w:tc>
          <w:tcPr>
            <w:tcW w:w="1435" w:type="dxa"/>
            <w:vAlign w:val="bottom"/>
          </w:tcPr>
          <w:p w14:paraId="09FED33B" w14:textId="345AC006" w:rsidR="00BF49DD" w:rsidRPr="00BF49DD" w:rsidRDefault="00BF49DD" w:rsidP="00BF49DD">
            <w:pPr>
              <w:autoSpaceDE w:val="0"/>
              <w:autoSpaceDN w:val="0"/>
              <w:adjustRightInd w:val="0"/>
              <w:jc w:val="center"/>
              <w:rPr>
                <w:rFonts w:ascii="Arial Narrow" w:hAnsi="Arial Narrow" w:cs="Calibri"/>
                <w:color w:val="000000"/>
                <w:sz w:val="20"/>
                <w:szCs w:val="20"/>
              </w:rPr>
            </w:pPr>
            <w:r w:rsidRPr="00BF49DD">
              <w:rPr>
                <w:rFonts w:ascii="Arial Narrow" w:hAnsi="Arial Narrow" w:cs="Calibri"/>
                <w:color w:val="000000"/>
                <w:sz w:val="20"/>
                <w:szCs w:val="20"/>
              </w:rPr>
              <w:t>Roanoke River</w:t>
            </w:r>
          </w:p>
        </w:tc>
        <w:tc>
          <w:tcPr>
            <w:tcW w:w="1350" w:type="dxa"/>
            <w:vAlign w:val="bottom"/>
          </w:tcPr>
          <w:p w14:paraId="0FFA32E3" w14:textId="18857D79" w:rsidR="00BF49DD" w:rsidRPr="00BF49DD" w:rsidRDefault="00BF49DD" w:rsidP="00BF49DD">
            <w:pPr>
              <w:autoSpaceDE w:val="0"/>
              <w:autoSpaceDN w:val="0"/>
              <w:adjustRightInd w:val="0"/>
              <w:jc w:val="center"/>
              <w:rPr>
                <w:rFonts w:ascii="Arial Narrow" w:hAnsi="Arial Narrow" w:cs="Calibri"/>
                <w:color w:val="000000"/>
                <w:sz w:val="20"/>
                <w:szCs w:val="20"/>
              </w:rPr>
            </w:pPr>
            <w:r w:rsidRPr="00BF49DD">
              <w:rPr>
                <w:rFonts w:ascii="Arial Narrow" w:hAnsi="Arial Narrow" w:cs="Calibri"/>
                <w:color w:val="000000"/>
                <w:sz w:val="20"/>
                <w:szCs w:val="20"/>
              </w:rPr>
              <w:t>4AROA226.86</w:t>
            </w:r>
          </w:p>
        </w:tc>
        <w:tc>
          <w:tcPr>
            <w:tcW w:w="720" w:type="dxa"/>
            <w:vAlign w:val="bottom"/>
          </w:tcPr>
          <w:p w14:paraId="0C7EE7A3" w14:textId="126D7484"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0.17%</w:t>
            </w:r>
          </w:p>
        </w:tc>
        <w:tc>
          <w:tcPr>
            <w:tcW w:w="1170" w:type="dxa"/>
            <w:vAlign w:val="bottom"/>
          </w:tcPr>
          <w:p w14:paraId="7B892264" w14:textId="0C1BAE91"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2.93%</w:t>
            </w:r>
          </w:p>
        </w:tc>
        <w:tc>
          <w:tcPr>
            <w:tcW w:w="810" w:type="dxa"/>
            <w:vAlign w:val="bottom"/>
          </w:tcPr>
          <w:p w14:paraId="56F94FC9" w14:textId="1D04B683"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0.29%</w:t>
            </w:r>
          </w:p>
        </w:tc>
        <w:tc>
          <w:tcPr>
            <w:tcW w:w="810" w:type="dxa"/>
            <w:vAlign w:val="bottom"/>
          </w:tcPr>
          <w:p w14:paraId="3576BCCB" w14:textId="58DA7E27"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73.21%</w:t>
            </w:r>
          </w:p>
        </w:tc>
        <w:tc>
          <w:tcPr>
            <w:tcW w:w="1080" w:type="dxa"/>
            <w:vAlign w:val="bottom"/>
          </w:tcPr>
          <w:p w14:paraId="27358B5E" w14:textId="512691B5"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5.36%</w:t>
            </w:r>
          </w:p>
        </w:tc>
        <w:tc>
          <w:tcPr>
            <w:tcW w:w="810" w:type="dxa"/>
            <w:vAlign w:val="bottom"/>
          </w:tcPr>
          <w:p w14:paraId="4C3063E6" w14:textId="4FB0AA0A"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0.48%</w:t>
            </w:r>
          </w:p>
        </w:tc>
        <w:tc>
          <w:tcPr>
            <w:tcW w:w="1080" w:type="dxa"/>
            <w:vAlign w:val="bottom"/>
          </w:tcPr>
          <w:p w14:paraId="777544B8" w14:textId="477820F1"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0.51%</w:t>
            </w:r>
          </w:p>
        </w:tc>
        <w:tc>
          <w:tcPr>
            <w:tcW w:w="1080" w:type="dxa"/>
            <w:vAlign w:val="bottom"/>
          </w:tcPr>
          <w:p w14:paraId="68DA42B3" w14:textId="66949930"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5.78%</w:t>
            </w:r>
          </w:p>
        </w:tc>
        <w:tc>
          <w:tcPr>
            <w:tcW w:w="900" w:type="dxa"/>
            <w:vAlign w:val="bottom"/>
          </w:tcPr>
          <w:p w14:paraId="183DB09C" w14:textId="6DC5A5E5"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10.61%</w:t>
            </w:r>
          </w:p>
        </w:tc>
        <w:tc>
          <w:tcPr>
            <w:tcW w:w="990" w:type="dxa"/>
            <w:vAlign w:val="bottom"/>
          </w:tcPr>
          <w:p w14:paraId="11AD1383" w14:textId="527A2BC4"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0.60%</w:t>
            </w:r>
          </w:p>
        </w:tc>
        <w:tc>
          <w:tcPr>
            <w:tcW w:w="900" w:type="dxa"/>
            <w:vAlign w:val="bottom"/>
          </w:tcPr>
          <w:p w14:paraId="37D23CF7" w14:textId="33EDD57F" w:rsidR="00BF49DD" w:rsidRPr="00BF49DD" w:rsidRDefault="00BF49DD" w:rsidP="00BF49DD">
            <w:pPr>
              <w:jc w:val="center"/>
              <w:rPr>
                <w:rFonts w:ascii="Arial Narrow" w:hAnsi="Arial Narrow" w:cs="Calibri"/>
                <w:color w:val="000000"/>
                <w:sz w:val="20"/>
                <w:szCs w:val="20"/>
              </w:rPr>
            </w:pPr>
            <w:r w:rsidRPr="00BF49DD">
              <w:rPr>
                <w:rFonts w:ascii="Arial Narrow" w:hAnsi="Arial Narrow" w:cs="Calibri"/>
                <w:color w:val="000000"/>
                <w:sz w:val="20"/>
                <w:szCs w:val="20"/>
              </w:rPr>
              <w:t>0.07%</w:t>
            </w:r>
          </w:p>
        </w:tc>
      </w:tr>
    </w:tbl>
    <w:p w14:paraId="751C8F34" w14:textId="2328F43D" w:rsidR="00136016" w:rsidRPr="00FA3FDD" w:rsidRDefault="00136016" w:rsidP="00050591">
      <w:pPr>
        <w:spacing w:before="120" w:after="120" w:line="360" w:lineRule="auto"/>
      </w:pPr>
    </w:p>
    <w:p w14:paraId="77FD0266" w14:textId="77777777" w:rsidR="00136016" w:rsidRPr="00FA3FDD" w:rsidRDefault="00136016" w:rsidP="00050591">
      <w:pPr>
        <w:spacing w:before="120" w:after="120" w:line="360" w:lineRule="auto"/>
        <w:sectPr w:rsidR="00136016" w:rsidRPr="00FA3FDD" w:rsidSect="00301FAD">
          <w:pgSz w:w="15840" w:h="12240" w:orient="landscape"/>
          <w:pgMar w:top="1440" w:right="1440" w:bottom="1440" w:left="1440" w:header="576" w:footer="720" w:gutter="0"/>
          <w:cols w:space="720"/>
          <w:docGrid w:linePitch="360"/>
        </w:sectPr>
      </w:pPr>
    </w:p>
    <w:p w14:paraId="06B062A5" w14:textId="1DE66787" w:rsidR="003279B5" w:rsidRPr="00FA3FDD" w:rsidRDefault="003279B5" w:rsidP="003279B5">
      <w:pPr>
        <w:pStyle w:val="Caption"/>
      </w:pPr>
      <w:bookmarkStart w:id="74" w:name="_Ref76131799"/>
      <w:bookmarkStart w:id="75" w:name="_Toc162948277"/>
      <w:r w:rsidRPr="00FA3FDD">
        <w:t xml:space="preserve">Table </w:t>
      </w:r>
      <w:r w:rsidRPr="00FA3FDD">
        <w:rPr>
          <w:noProof/>
        </w:rPr>
        <w:fldChar w:fldCharType="begin"/>
      </w:r>
      <w:r w:rsidRPr="00FA3FDD">
        <w:rPr>
          <w:noProof/>
        </w:rPr>
        <w:instrText xml:space="preserve"> SEQ Table \* ARABIC </w:instrText>
      </w:r>
      <w:r w:rsidRPr="00FA3FDD">
        <w:rPr>
          <w:noProof/>
        </w:rPr>
        <w:fldChar w:fldCharType="separate"/>
      </w:r>
      <w:r w:rsidR="004A78BF">
        <w:rPr>
          <w:noProof/>
        </w:rPr>
        <w:t>10</w:t>
      </w:r>
      <w:r w:rsidRPr="00FA3FDD">
        <w:rPr>
          <w:noProof/>
        </w:rPr>
        <w:fldChar w:fldCharType="end"/>
      </w:r>
      <w:bookmarkEnd w:id="74"/>
      <w:r w:rsidRPr="00FA3FDD">
        <w:t xml:space="preserve">. Regression relationship between </w:t>
      </w:r>
      <w:r w:rsidR="006E6038" w:rsidRPr="00FA3FDD">
        <w:t>land cover</w:t>
      </w:r>
      <w:r w:rsidRPr="00FA3FDD">
        <w:t xml:space="preserve"> and stream condition index (SCI) scores.</w:t>
      </w:r>
      <w:bookmarkEnd w:id="75"/>
    </w:p>
    <w:tbl>
      <w:tblPr>
        <w:tblW w:w="0" w:type="auto"/>
        <w:tblInd w:w="78" w:type="dxa"/>
        <w:tblLayout w:type="fixed"/>
        <w:tblLook w:val="0000" w:firstRow="0" w:lastRow="0" w:firstColumn="0" w:lastColumn="0" w:noHBand="0" w:noVBand="0"/>
      </w:tblPr>
      <w:tblGrid>
        <w:gridCol w:w="2614"/>
        <w:gridCol w:w="1260"/>
        <w:gridCol w:w="1260"/>
        <w:gridCol w:w="1470"/>
        <w:gridCol w:w="1680"/>
      </w:tblGrid>
      <w:tr w:rsidR="006E6038" w:rsidRPr="00FA3FDD" w14:paraId="62633E63" w14:textId="77777777" w:rsidTr="001D1E88">
        <w:trPr>
          <w:trHeight w:val="247"/>
        </w:trPr>
        <w:tc>
          <w:tcPr>
            <w:tcW w:w="2614" w:type="dxa"/>
            <w:tcBorders>
              <w:top w:val="single" w:sz="6" w:space="0" w:color="auto"/>
              <w:left w:val="single" w:sz="6" w:space="0" w:color="auto"/>
              <w:bottom w:val="single" w:sz="6" w:space="0" w:color="auto"/>
              <w:right w:val="single" w:sz="6" w:space="0" w:color="auto"/>
            </w:tcBorders>
            <w:shd w:val="clear" w:color="auto" w:fill="E0E0E0"/>
            <w:vAlign w:val="center"/>
          </w:tcPr>
          <w:p w14:paraId="37C5023F" w14:textId="0AC5FADA" w:rsidR="006E6038" w:rsidRPr="00FA3FDD" w:rsidRDefault="00424B22" w:rsidP="001D1E88">
            <w:pPr>
              <w:rPr>
                <w:rFonts w:ascii="Arial Narrow" w:hAnsi="Arial Narrow"/>
                <w:b/>
                <w:sz w:val="20"/>
                <w:szCs w:val="20"/>
              </w:rPr>
            </w:pPr>
            <w:r>
              <w:rPr>
                <w:rFonts w:ascii="Arial Narrow" w:hAnsi="Arial Narrow"/>
                <w:b/>
                <w:sz w:val="20"/>
                <w:szCs w:val="20"/>
              </w:rPr>
              <w:t>Land Cover</w:t>
            </w:r>
          </w:p>
        </w:tc>
        <w:tc>
          <w:tcPr>
            <w:tcW w:w="1260" w:type="dxa"/>
            <w:tcBorders>
              <w:top w:val="single" w:sz="6" w:space="0" w:color="auto"/>
              <w:left w:val="single" w:sz="6" w:space="0" w:color="auto"/>
              <w:bottom w:val="single" w:sz="6" w:space="0" w:color="auto"/>
              <w:right w:val="single" w:sz="6" w:space="0" w:color="auto"/>
            </w:tcBorders>
            <w:shd w:val="clear" w:color="auto" w:fill="E0E0E0"/>
          </w:tcPr>
          <w:p w14:paraId="40BDA075" w14:textId="60C5407F" w:rsidR="006E6038" w:rsidRPr="00FA3FDD" w:rsidRDefault="006E6038" w:rsidP="001D1E88">
            <w:pPr>
              <w:jc w:val="center"/>
              <w:rPr>
                <w:rFonts w:ascii="Arial Narrow" w:hAnsi="Arial Narrow"/>
                <w:b/>
                <w:sz w:val="20"/>
                <w:szCs w:val="20"/>
              </w:rPr>
            </w:pPr>
            <w:r w:rsidRPr="00FA3FDD">
              <w:rPr>
                <w:rFonts w:ascii="Arial Narrow" w:hAnsi="Arial Narrow"/>
                <w:b/>
                <w:sz w:val="20"/>
                <w:szCs w:val="20"/>
              </w:rPr>
              <w:t>Correlation Coefficient</w:t>
            </w:r>
          </w:p>
        </w:tc>
        <w:tc>
          <w:tcPr>
            <w:tcW w:w="1260" w:type="dxa"/>
            <w:tcBorders>
              <w:top w:val="single" w:sz="6" w:space="0" w:color="auto"/>
              <w:left w:val="single" w:sz="6" w:space="0" w:color="auto"/>
              <w:bottom w:val="single" w:sz="6" w:space="0" w:color="auto"/>
              <w:right w:val="single" w:sz="6" w:space="0" w:color="auto"/>
            </w:tcBorders>
            <w:shd w:val="clear" w:color="auto" w:fill="E0E0E0"/>
            <w:vAlign w:val="center"/>
          </w:tcPr>
          <w:p w14:paraId="1BF40E78" w14:textId="61BA3CDC" w:rsidR="006E6038" w:rsidRPr="00FA3FDD" w:rsidRDefault="006E6038" w:rsidP="001D1E88">
            <w:pPr>
              <w:jc w:val="center"/>
              <w:rPr>
                <w:rFonts w:ascii="Arial Narrow" w:hAnsi="Arial Narrow"/>
                <w:b/>
                <w:sz w:val="20"/>
                <w:szCs w:val="20"/>
              </w:rPr>
            </w:pPr>
            <w:r w:rsidRPr="00FA3FDD">
              <w:rPr>
                <w:rFonts w:ascii="Arial Narrow" w:hAnsi="Arial Narrow"/>
                <w:b/>
                <w:sz w:val="20"/>
                <w:szCs w:val="20"/>
              </w:rPr>
              <w:t xml:space="preserve">Regression Significant </w:t>
            </w:r>
          </w:p>
          <w:p w14:paraId="7CDBD46D" w14:textId="77777777" w:rsidR="006E6038" w:rsidRPr="00FA3FDD" w:rsidRDefault="006E6038" w:rsidP="001D1E88">
            <w:pPr>
              <w:jc w:val="center"/>
              <w:rPr>
                <w:rFonts w:ascii="Arial Narrow" w:hAnsi="Arial Narrow"/>
                <w:b/>
                <w:sz w:val="20"/>
                <w:szCs w:val="20"/>
              </w:rPr>
            </w:pPr>
            <w:r w:rsidRPr="00FA3FDD">
              <w:rPr>
                <w:rFonts w:ascii="Arial Narrow" w:hAnsi="Arial Narrow"/>
                <w:b/>
                <w:sz w:val="20"/>
                <w:szCs w:val="20"/>
              </w:rPr>
              <w:t>(Y/N)</w:t>
            </w:r>
          </w:p>
        </w:tc>
        <w:tc>
          <w:tcPr>
            <w:tcW w:w="1470" w:type="dxa"/>
            <w:tcBorders>
              <w:top w:val="single" w:sz="6" w:space="0" w:color="auto"/>
              <w:left w:val="single" w:sz="6" w:space="0" w:color="auto"/>
              <w:bottom w:val="single" w:sz="6" w:space="0" w:color="auto"/>
              <w:right w:val="single" w:sz="6" w:space="0" w:color="auto"/>
            </w:tcBorders>
            <w:shd w:val="clear" w:color="auto" w:fill="E0E0E0"/>
            <w:vAlign w:val="center"/>
          </w:tcPr>
          <w:p w14:paraId="18715AB4" w14:textId="77777777" w:rsidR="006E6038" w:rsidRPr="00FA3FDD" w:rsidRDefault="006E6038" w:rsidP="001D1E88">
            <w:pPr>
              <w:jc w:val="center"/>
              <w:rPr>
                <w:rFonts w:ascii="Arial Narrow" w:hAnsi="Arial Narrow"/>
                <w:b/>
                <w:sz w:val="20"/>
                <w:szCs w:val="20"/>
              </w:rPr>
            </w:pPr>
            <w:r w:rsidRPr="00FA3FDD">
              <w:rPr>
                <w:rFonts w:ascii="Arial Narrow" w:hAnsi="Arial Narrow"/>
                <w:b/>
                <w:sz w:val="20"/>
                <w:szCs w:val="20"/>
              </w:rPr>
              <w:t>r</w:t>
            </w:r>
            <w:r w:rsidRPr="00FA3FDD">
              <w:rPr>
                <w:rFonts w:ascii="Arial Narrow" w:hAnsi="Arial Narrow"/>
                <w:b/>
                <w:sz w:val="20"/>
                <w:szCs w:val="20"/>
                <w:vertAlign w:val="superscript"/>
              </w:rPr>
              <w:t>2</w:t>
            </w:r>
          </w:p>
        </w:tc>
        <w:tc>
          <w:tcPr>
            <w:tcW w:w="1680" w:type="dxa"/>
            <w:tcBorders>
              <w:top w:val="single" w:sz="6" w:space="0" w:color="auto"/>
              <w:left w:val="single" w:sz="6" w:space="0" w:color="auto"/>
              <w:bottom w:val="single" w:sz="6" w:space="0" w:color="auto"/>
              <w:right w:val="single" w:sz="6" w:space="0" w:color="auto"/>
            </w:tcBorders>
            <w:shd w:val="clear" w:color="auto" w:fill="E0E0E0"/>
            <w:vAlign w:val="center"/>
          </w:tcPr>
          <w:p w14:paraId="4FB15DAB" w14:textId="77777777" w:rsidR="006E6038" w:rsidRPr="00FA3FDD" w:rsidRDefault="006E6038" w:rsidP="001D1E88">
            <w:pPr>
              <w:jc w:val="center"/>
              <w:rPr>
                <w:rFonts w:ascii="Arial Narrow" w:hAnsi="Arial Narrow"/>
                <w:b/>
                <w:sz w:val="20"/>
                <w:szCs w:val="20"/>
              </w:rPr>
            </w:pPr>
            <w:r w:rsidRPr="00FA3FDD">
              <w:rPr>
                <w:rFonts w:ascii="Arial Narrow" w:hAnsi="Arial Narrow"/>
                <w:b/>
                <w:sz w:val="20"/>
                <w:szCs w:val="20"/>
              </w:rPr>
              <w:t>p-value</w:t>
            </w:r>
          </w:p>
        </w:tc>
      </w:tr>
      <w:tr w:rsidR="00BF49DD" w:rsidRPr="00FA3FDD" w14:paraId="1143A975" w14:textId="77777777" w:rsidTr="00BF49DD">
        <w:trPr>
          <w:trHeight w:val="247"/>
        </w:trPr>
        <w:tc>
          <w:tcPr>
            <w:tcW w:w="2614" w:type="dxa"/>
            <w:tcBorders>
              <w:top w:val="single" w:sz="6" w:space="0" w:color="auto"/>
              <w:left w:val="single" w:sz="6" w:space="0" w:color="auto"/>
              <w:bottom w:val="single" w:sz="6" w:space="0" w:color="auto"/>
              <w:right w:val="single" w:sz="6" w:space="0" w:color="auto"/>
            </w:tcBorders>
            <w:vAlign w:val="bottom"/>
          </w:tcPr>
          <w:p w14:paraId="145D50EE" w14:textId="07B76D61" w:rsidR="00BF49DD" w:rsidRPr="00BF49DD" w:rsidRDefault="00BF49DD" w:rsidP="00BF49DD">
            <w:pPr>
              <w:rPr>
                <w:rFonts w:ascii="Arial Narrow" w:hAnsi="Arial Narrow"/>
                <w:sz w:val="20"/>
                <w:szCs w:val="20"/>
              </w:rPr>
            </w:pPr>
            <w:r w:rsidRPr="00BF49DD">
              <w:rPr>
                <w:rFonts w:ascii="Arial Narrow" w:hAnsi="Arial Narrow" w:cs="Calibri"/>
                <w:color w:val="000000"/>
                <w:sz w:val="20"/>
                <w:szCs w:val="20"/>
              </w:rPr>
              <w:t>Impervious</w:t>
            </w:r>
          </w:p>
        </w:tc>
        <w:tc>
          <w:tcPr>
            <w:tcW w:w="1260" w:type="dxa"/>
            <w:tcBorders>
              <w:top w:val="single" w:sz="6" w:space="0" w:color="auto"/>
              <w:left w:val="single" w:sz="6" w:space="0" w:color="auto"/>
              <w:bottom w:val="single" w:sz="6" w:space="0" w:color="auto"/>
              <w:right w:val="single" w:sz="6" w:space="0" w:color="auto"/>
            </w:tcBorders>
            <w:vAlign w:val="bottom"/>
          </w:tcPr>
          <w:p w14:paraId="2D92460B" w14:textId="4D1957A7"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-0.73</w:t>
            </w:r>
          </w:p>
        </w:tc>
        <w:tc>
          <w:tcPr>
            <w:tcW w:w="1260" w:type="dxa"/>
            <w:tcBorders>
              <w:top w:val="single" w:sz="6" w:space="0" w:color="auto"/>
              <w:left w:val="single" w:sz="6" w:space="0" w:color="auto"/>
              <w:bottom w:val="single" w:sz="6" w:space="0" w:color="auto"/>
              <w:right w:val="single" w:sz="6" w:space="0" w:color="auto"/>
            </w:tcBorders>
            <w:vAlign w:val="bottom"/>
          </w:tcPr>
          <w:p w14:paraId="5AF682B1" w14:textId="3CDE8BEF"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Y</w:t>
            </w:r>
          </w:p>
        </w:tc>
        <w:tc>
          <w:tcPr>
            <w:tcW w:w="1470" w:type="dxa"/>
            <w:tcBorders>
              <w:top w:val="single" w:sz="6" w:space="0" w:color="auto"/>
              <w:left w:val="single" w:sz="6" w:space="0" w:color="auto"/>
              <w:bottom w:val="single" w:sz="6" w:space="0" w:color="auto"/>
              <w:right w:val="single" w:sz="6" w:space="0" w:color="auto"/>
            </w:tcBorders>
            <w:vAlign w:val="bottom"/>
          </w:tcPr>
          <w:p w14:paraId="3E009E09" w14:textId="03305C00"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0.53</w:t>
            </w:r>
          </w:p>
        </w:tc>
        <w:tc>
          <w:tcPr>
            <w:tcW w:w="1680" w:type="dxa"/>
            <w:tcBorders>
              <w:top w:val="single" w:sz="6" w:space="0" w:color="auto"/>
              <w:left w:val="single" w:sz="6" w:space="0" w:color="auto"/>
              <w:bottom w:val="single" w:sz="6" w:space="0" w:color="auto"/>
              <w:right w:val="single" w:sz="6" w:space="0" w:color="auto"/>
            </w:tcBorders>
            <w:vAlign w:val="bottom"/>
          </w:tcPr>
          <w:p w14:paraId="38BBA207" w14:textId="2A495BF6"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&lt;0.01</w:t>
            </w:r>
          </w:p>
        </w:tc>
      </w:tr>
      <w:tr w:rsidR="00BF49DD" w:rsidRPr="00FA3FDD" w14:paraId="23037841" w14:textId="77777777" w:rsidTr="00BF49DD">
        <w:trPr>
          <w:trHeight w:val="247"/>
        </w:trPr>
        <w:tc>
          <w:tcPr>
            <w:tcW w:w="2614" w:type="dxa"/>
            <w:tcBorders>
              <w:top w:val="single" w:sz="6" w:space="0" w:color="auto"/>
              <w:left w:val="single" w:sz="6" w:space="0" w:color="auto"/>
              <w:bottom w:val="single" w:sz="6" w:space="0" w:color="auto"/>
              <w:right w:val="single" w:sz="6" w:space="0" w:color="auto"/>
            </w:tcBorders>
            <w:vAlign w:val="bottom"/>
          </w:tcPr>
          <w:p w14:paraId="6BC8A8D8" w14:textId="1C8902C6" w:rsidR="00BF49DD" w:rsidRPr="00BF49DD" w:rsidRDefault="00BF49DD" w:rsidP="00BF49DD">
            <w:pPr>
              <w:rPr>
                <w:rFonts w:ascii="Arial Narrow" w:hAnsi="Arial Narrow"/>
                <w:sz w:val="20"/>
                <w:szCs w:val="20"/>
              </w:rPr>
            </w:pPr>
            <w:r w:rsidRPr="00BF49DD">
              <w:rPr>
                <w:rFonts w:ascii="Arial Narrow" w:hAnsi="Arial Narrow" w:cs="Calibri"/>
                <w:color w:val="000000"/>
                <w:sz w:val="20"/>
                <w:szCs w:val="20"/>
              </w:rPr>
              <w:t>Urban/Res. Grass</w:t>
            </w:r>
          </w:p>
        </w:tc>
        <w:tc>
          <w:tcPr>
            <w:tcW w:w="1260" w:type="dxa"/>
            <w:tcBorders>
              <w:top w:val="single" w:sz="6" w:space="0" w:color="auto"/>
              <w:left w:val="single" w:sz="6" w:space="0" w:color="auto"/>
              <w:bottom w:val="single" w:sz="6" w:space="0" w:color="auto"/>
              <w:right w:val="single" w:sz="6" w:space="0" w:color="auto"/>
            </w:tcBorders>
            <w:vAlign w:val="bottom"/>
          </w:tcPr>
          <w:p w14:paraId="1619D92F" w14:textId="545346A7"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-0.52</w:t>
            </w:r>
          </w:p>
        </w:tc>
        <w:tc>
          <w:tcPr>
            <w:tcW w:w="1260" w:type="dxa"/>
            <w:tcBorders>
              <w:top w:val="single" w:sz="6" w:space="0" w:color="auto"/>
              <w:left w:val="single" w:sz="6" w:space="0" w:color="auto"/>
              <w:bottom w:val="single" w:sz="6" w:space="0" w:color="auto"/>
              <w:right w:val="single" w:sz="6" w:space="0" w:color="auto"/>
            </w:tcBorders>
            <w:vAlign w:val="bottom"/>
          </w:tcPr>
          <w:p w14:paraId="0C026148" w14:textId="02ED4EFC"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Y</w:t>
            </w:r>
          </w:p>
        </w:tc>
        <w:tc>
          <w:tcPr>
            <w:tcW w:w="1470" w:type="dxa"/>
            <w:tcBorders>
              <w:top w:val="single" w:sz="6" w:space="0" w:color="auto"/>
              <w:left w:val="single" w:sz="6" w:space="0" w:color="auto"/>
              <w:bottom w:val="single" w:sz="6" w:space="0" w:color="auto"/>
              <w:right w:val="single" w:sz="6" w:space="0" w:color="auto"/>
            </w:tcBorders>
            <w:vAlign w:val="bottom"/>
          </w:tcPr>
          <w:p w14:paraId="525AAF8B" w14:textId="2D84935E"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0.27</w:t>
            </w:r>
          </w:p>
        </w:tc>
        <w:tc>
          <w:tcPr>
            <w:tcW w:w="1680" w:type="dxa"/>
            <w:tcBorders>
              <w:top w:val="single" w:sz="6" w:space="0" w:color="auto"/>
              <w:left w:val="single" w:sz="6" w:space="0" w:color="auto"/>
              <w:bottom w:val="single" w:sz="6" w:space="0" w:color="auto"/>
              <w:right w:val="single" w:sz="6" w:space="0" w:color="auto"/>
            </w:tcBorders>
            <w:vAlign w:val="bottom"/>
          </w:tcPr>
          <w:p w14:paraId="7C0D3DA9" w14:textId="3EA0D33F"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0.01</w:t>
            </w:r>
          </w:p>
        </w:tc>
      </w:tr>
      <w:tr w:rsidR="00BF49DD" w:rsidRPr="00FA3FDD" w14:paraId="7F8A5971" w14:textId="77777777" w:rsidTr="00BF49DD">
        <w:trPr>
          <w:trHeight w:val="247"/>
        </w:trPr>
        <w:tc>
          <w:tcPr>
            <w:tcW w:w="2614" w:type="dxa"/>
            <w:tcBorders>
              <w:top w:val="single" w:sz="6" w:space="0" w:color="auto"/>
              <w:left w:val="single" w:sz="6" w:space="0" w:color="auto"/>
              <w:bottom w:val="single" w:sz="6" w:space="0" w:color="auto"/>
              <w:right w:val="single" w:sz="6" w:space="0" w:color="auto"/>
            </w:tcBorders>
            <w:vAlign w:val="bottom"/>
          </w:tcPr>
          <w:p w14:paraId="572912D4" w14:textId="14B4F07B" w:rsidR="00BF49DD" w:rsidRPr="00BF49DD" w:rsidRDefault="00BF49DD" w:rsidP="00BF49DD">
            <w:pPr>
              <w:rPr>
                <w:rFonts w:ascii="Arial Narrow" w:hAnsi="Arial Narrow"/>
                <w:sz w:val="20"/>
                <w:szCs w:val="20"/>
              </w:rPr>
            </w:pPr>
            <w:r w:rsidRPr="00BF49DD">
              <w:rPr>
                <w:rFonts w:ascii="Arial Narrow" w:hAnsi="Arial Narrow" w:cs="Calibri"/>
                <w:color w:val="000000"/>
                <w:sz w:val="20"/>
                <w:szCs w:val="20"/>
              </w:rPr>
              <w:t>Wetlands/Other</w:t>
            </w:r>
          </w:p>
        </w:tc>
        <w:tc>
          <w:tcPr>
            <w:tcW w:w="1260" w:type="dxa"/>
            <w:tcBorders>
              <w:top w:val="single" w:sz="6" w:space="0" w:color="auto"/>
              <w:left w:val="single" w:sz="6" w:space="0" w:color="auto"/>
              <w:bottom w:val="single" w:sz="6" w:space="0" w:color="auto"/>
              <w:right w:val="single" w:sz="6" w:space="0" w:color="auto"/>
            </w:tcBorders>
            <w:vAlign w:val="bottom"/>
          </w:tcPr>
          <w:p w14:paraId="37BFE5DA" w14:textId="7C7517A4"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0.5</w:t>
            </w:r>
          </w:p>
        </w:tc>
        <w:tc>
          <w:tcPr>
            <w:tcW w:w="1260" w:type="dxa"/>
            <w:tcBorders>
              <w:top w:val="single" w:sz="6" w:space="0" w:color="auto"/>
              <w:left w:val="single" w:sz="6" w:space="0" w:color="auto"/>
              <w:bottom w:val="single" w:sz="6" w:space="0" w:color="auto"/>
              <w:right w:val="single" w:sz="6" w:space="0" w:color="auto"/>
            </w:tcBorders>
            <w:vAlign w:val="bottom"/>
          </w:tcPr>
          <w:p w14:paraId="5DC43837" w14:textId="5C205C56"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Y</w:t>
            </w:r>
          </w:p>
        </w:tc>
        <w:tc>
          <w:tcPr>
            <w:tcW w:w="1470" w:type="dxa"/>
            <w:tcBorders>
              <w:top w:val="single" w:sz="6" w:space="0" w:color="auto"/>
              <w:left w:val="single" w:sz="6" w:space="0" w:color="auto"/>
              <w:bottom w:val="single" w:sz="6" w:space="0" w:color="auto"/>
              <w:right w:val="single" w:sz="6" w:space="0" w:color="auto"/>
            </w:tcBorders>
            <w:vAlign w:val="bottom"/>
          </w:tcPr>
          <w:p w14:paraId="4BAD70B8" w14:textId="24F0E39A"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0.25</w:t>
            </w:r>
          </w:p>
        </w:tc>
        <w:tc>
          <w:tcPr>
            <w:tcW w:w="1680" w:type="dxa"/>
            <w:tcBorders>
              <w:top w:val="single" w:sz="6" w:space="0" w:color="auto"/>
              <w:left w:val="single" w:sz="6" w:space="0" w:color="auto"/>
              <w:bottom w:val="single" w:sz="6" w:space="0" w:color="auto"/>
              <w:right w:val="single" w:sz="6" w:space="0" w:color="auto"/>
            </w:tcBorders>
            <w:vAlign w:val="bottom"/>
          </w:tcPr>
          <w:p w14:paraId="57CA1B68" w14:textId="7F1447BC"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0.02</w:t>
            </w:r>
          </w:p>
        </w:tc>
      </w:tr>
      <w:tr w:rsidR="00BF49DD" w:rsidRPr="00FA3FDD" w14:paraId="12AEAC9B" w14:textId="77777777" w:rsidTr="00BF49DD">
        <w:trPr>
          <w:trHeight w:val="247"/>
        </w:trPr>
        <w:tc>
          <w:tcPr>
            <w:tcW w:w="2614" w:type="dxa"/>
            <w:tcBorders>
              <w:top w:val="single" w:sz="6" w:space="0" w:color="auto"/>
              <w:left w:val="single" w:sz="6" w:space="0" w:color="auto"/>
              <w:bottom w:val="single" w:sz="6" w:space="0" w:color="auto"/>
              <w:right w:val="single" w:sz="6" w:space="0" w:color="auto"/>
            </w:tcBorders>
            <w:vAlign w:val="bottom"/>
          </w:tcPr>
          <w:p w14:paraId="79963D22" w14:textId="4E8654BA" w:rsidR="00BF49DD" w:rsidRPr="00BF49DD" w:rsidRDefault="00BF49DD" w:rsidP="00BF49DD">
            <w:pPr>
              <w:rPr>
                <w:rFonts w:ascii="Arial Narrow" w:hAnsi="Arial Narrow"/>
                <w:sz w:val="20"/>
                <w:szCs w:val="20"/>
              </w:rPr>
            </w:pPr>
            <w:r w:rsidRPr="00BF49DD">
              <w:rPr>
                <w:rFonts w:ascii="Arial Narrow" w:hAnsi="Arial Narrow" w:cs="Calibri"/>
                <w:color w:val="000000"/>
                <w:sz w:val="20"/>
                <w:szCs w:val="20"/>
              </w:rPr>
              <w:t>Forest</w:t>
            </w:r>
          </w:p>
        </w:tc>
        <w:tc>
          <w:tcPr>
            <w:tcW w:w="1260" w:type="dxa"/>
            <w:tcBorders>
              <w:top w:val="single" w:sz="6" w:space="0" w:color="auto"/>
              <w:left w:val="single" w:sz="6" w:space="0" w:color="auto"/>
              <w:bottom w:val="single" w:sz="6" w:space="0" w:color="auto"/>
              <w:right w:val="single" w:sz="6" w:space="0" w:color="auto"/>
            </w:tcBorders>
            <w:vAlign w:val="bottom"/>
          </w:tcPr>
          <w:p w14:paraId="0545B4A8" w14:textId="031EDF3A"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0.41</w:t>
            </w:r>
          </w:p>
        </w:tc>
        <w:tc>
          <w:tcPr>
            <w:tcW w:w="1260" w:type="dxa"/>
            <w:tcBorders>
              <w:top w:val="single" w:sz="6" w:space="0" w:color="auto"/>
              <w:left w:val="single" w:sz="6" w:space="0" w:color="auto"/>
              <w:bottom w:val="single" w:sz="6" w:space="0" w:color="auto"/>
              <w:right w:val="single" w:sz="6" w:space="0" w:color="auto"/>
            </w:tcBorders>
            <w:vAlign w:val="bottom"/>
          </w:tcPr>
          <w:p w14:paraId="13B42F93" w14:textId="3D741979"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N</w:t>
            </w:r>
          </w:p>
        </w:tc>
        <w:tc>
          <w:tcPr>
            <w:tcW w:w="1470" w:type="dxa"/>
            <w:tcBorders>
              <w:top w:val="single" w:sz="6" w:space="0" w:color="auto"/>
              <w:left w:val="single" w:sz="6" w:space="0" w:color="auto"/>
              <w:bottom w:val="single" w:sz="6" w:space="0" w:color="auto"/>
              <w:right w:val="single" w:sz="6" w:space="0" w:color="auto"/>
            </w:tcBorders>
            <w:vAlign w:val="bottom"/>
          </w:tcPr>
          <w:p w14:paraId="0291D560" w14:textId="2D706697"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0.16</w:t>
            </w:r>
          </w:p>
        </w:tc>
        <w:tc>
          <w:tcPr>
            <w:tcW w:w="1680" w:type="dxa"/>
            <w:tcBorders>
              <w:top w:val="single" w:sz="6" w:space="0" w:color="auto"/>
              <w:left w:val="single" w:sz="6" w:space="0" w:color="auto"/>
              <w:bottom w:val="single" w:sz="6" w:space="0" w:color="auto"/>
              <w:right w:val="single" w:sz="6" w:space="0" w:color="auto"/>
            </w:tcBorders>
            <w:vAlign w:val="bottom"/>
          </w:tcPr>
          <w:p w14:paraId="2FB3757B" w14:textId="7DE2E443"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0.05</w:t>
            </w:r>
          </w:p>
        </w:tc>
      </w:tr>
      <w:tr w:rsidR="00BF49DD" w:rsidRPr="00FA3FDD" w14:paraId="4CF05274" w14:textId="77777777" w:rsidTr="00BF49DD">
        <w:trPr>
          <w:trHeight w:val="247"/>
        </w:trPr>
        <w:tc>
          <w:tcPr>
            <w:tcW w:w="2614" w:type="dxa"/>
            <w:tcBorders>
              <w:top w:val="single" w:sz="6" w:space="0" w:color="auto"/>
              <w:left w:val="single" w:sz="6" w:space="0" w:color="auto"/>
              <w:bottom w:val="single" w:sz="6" w:space="0" w:color="auto"/>
              <w:right w:val="single" w:sz="6" w:space="0" w:color="auto"/>
            </w:tcBorders>
            <w:vAlign w:val="bottom"/>
          </w:tcPr>
          <w:p w14:paraId="52207446" w14:textId="5501FA65" w:rsidR="00BF49DD" w:rsidRPr="00BF49DD" w:rsidRDefault="00BF49DD" w:rsidP="00BF49DD">
            <w:pPr>
              <w:rPr>
                <w:rFonts w:ascii="Arial Narrow" w:hAnsi="Arial Narrow"/>
                <w:sz w:val="20"/>
                <w:szCs w:val="20"/>
              </w:rPr>
            </w:pPr>
            <w:r w:rsidRPr="00BF49DD">
              <w:rPr>
                <w:rFonts w:ascii="Arial Narrow" w:hAnsi="Arial Narrow" w:cs="Calibri"/>
                <w:color w:val="000000"/>
                <w:sz w:val="20"/>
                <w:szCs w:val="20"/>
              </w:rPr>
              <w:t>Urban/Res. Tree</w:t>
            </w:r>
          </w:p>
        </w:tc>
        <w:tc>
          <w:tcPr>
            <w:tcW w:w="1260" w:type="dxa"/>
            <w:tcBorders>
              <w:top w:val="single" w:sz="6" w:space="0" w:color="auto"/>
              <w:left w:val="single" w:sz="6" w:space="0" w:color="auto"/>
              <w:bottom w:val="single" w:sz="6" w:space="0" w:color="auto"/>
              <w:right w:val="single" w:sz="6" w:space="0" w:color="auto"/>
            </w:tcBorders>
            <w:vAlign w:val="bottom"/>
          </w:tcPr>
          <w:p w14:paraId="7E75ED3D" w14:textId="57CFD230"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-0.36</w:t>
            </w:r>
          </w:p>
        </w:tc>
        <w:tc>
          <w:tcPr>
            <w:tcW w:w="1260" w:type="dxa"/>
            <w:tcBorders>
              <w:top w:val="single" w:sz="6" w:space="0" w:color="auto"/>
              <w:left w:val="single" w:sz="6" w:space="0" w:color="auto"/>
              <w:bottom w:val="single" w:sz="6" w:space="0" w:color="auto"/>
              <w:right w:val="single" w:sz="6" w:space="0" w:color="auto"/>
            </w:tcBorders>
            <w:vAlign w:val="bottom"/>
          </w:tcPr>
          <w:p w14:paraId="42198396" w14:textId="7911F825"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N</w:t>
            </w:r>
          </w:p>
        </w:tc>
        <w:tc>
          <w:tcPr>
            <w:tcW w:w="1470" w:type="dxa"/>
            <w:tcBorders>
              <w:top w:val="single" w:sz="6" w:space="0" w:color="auto"/>
              <w:left w:val="single" w:sz="6" w:space="0" w:color="auto"/>
              <w:bottom w:val="single" w:sz="6" w:space="0" w:color="auto"/>
              <w:right w:val="single" w:sz="6" w:space="0" w:color="auto"/>
            </w:tcBorders>
            <w:vAlign w:val="bottom"/>
          </w:tcPr>
          <w:p w14:paraId="67D9E962" w14:textId="092E4B5B"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0.13</w:t>
            </w:r>
          </w:p>
        </w:tc>
        <w:tc>
          <w:tcPr>
            <w:tcW w:w="1680" w:type="dxa"/>
            <w:tcBorders>
              <w:top w:val="single" w:sz="6" w:space="0" w:color="auto"/>
              <w:left w:val="single" w:sz="6" w:space="0" w:color="auto"/>
              <w:bottom w:val="single" w:sz="6" w:space="0" w:color="auto"/>
              <w:right w:val="single" w:sz="6" w:space="0" w:color="auto"/>
            </w:tcBorders>
            <w:vAlign w:val="bottom"/>
          </w:tcPr>
          <w:p w14:paraId="2DDB30EA" w14:textId="332EA5F4"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0.09</w:t>
            </w:r>
          </w:p>
        </w:tc>
      </w:tr>
      <w:tr w:rsidR="00BF49DD" w:rsidRPr="00FA3FDD" w14:paraId="46582661" w14:textId="77777777" w:rsidTr="00BF49DD">
        <w:trPr>
          <w:trHeight w:val="247"/>
        </w:trPr>
        <w:tc>
          <w:tcPr>
            <w:tcW w:w="2614" w:type="dxa"/>
            <w:tcBorders>
              <w:top w:val="single" w:sz="6" w:space="0" w:color="auto"/>
              <w:left w:val="single" w:sz="6" w:space="0" w:color="auto"/>
              <w:bottom w:val="single" w:sz="6" w:space="0" w:color="auto"/>
              <w:right w:val="single" w:sz="6" w:space="0" w:color="auto"/>
            </w:tcBorders>
            <w:vAlign w:val="bottom"/>
          </w:tcPr>
          <w:p w14:paraId="3A9816FD" w14:textId="09A74D3C" w:rsidR="00BF49DD" w:rsidRPr="00BF49DD" w:rsidRDefault="00BF49DD" w:rsidP="00BF49DD">
            <w:pPr>
              <w:rPr>
                <w:rFonts w:ascii="Arial Narrow" w:hAnsi="Arial Narrow"/>
                <w:sz w:val="20"/>
                <w:szCs w:val="20"/>
              </w:rPr>
            </w:pPr>
            <w:r w:rsidRPr="00BF49DD">
              <w:rPr>
                <w:rFonts w:ascii="Arial Narrow" w:hAnsi="Arial Narrow" w:cs="Calibri"/>
                <w:color w:val="000000"/>
                <w:sz w:val="20"/>
                <w:szCs w:val="20"/>
              </w:rPr>
              <w:t>Harvested/Disturbed</w:t>
            </w:r>
          </w:p>
        </w:tc>
        <w:tc>
          <w:tcPr>
            <w:tcW w:w="1260" w:type="dxa"/>
            <w:tcBorders>
              <w:top w:val="single" w:sz="6" w:space="0" w:color="auto"/>
              <w:left w:val="single" w:sz="6" w:space="0" w:color="auto"/>
              <w:bottom w:val="single" w:sz="6" w:space="0" w:color="auto"/>
              <w:right w:val="single" w:sz="6" w:space="0" w:color="auto"/>
            </w:tcBorders>
            <w:vAlign w:val="bottom"/>
          </w:tcPr>
          <w:p w14:paraId="6719C108" w14:textId="3450BE2A"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0.35</w:t>
            </w:r>
          </w:p>
        </w:tc>
        <w:tc>
          <w:tcPr>
            <w:tcW w:w="1260" w:type="dxa"/>
            <w:tcBorders>
              <w:top w:val="single" w:sz="6" w:space="0" w:color="auto"/>
              <w:left w:val="single" w:sz="6" w:space="0" w:color="auto"/>
              <w:bottom w:val="single" w:sz="6" w:space="0" w:color="auto"/>
              <w:right w:val="single" w:sz="6" w:space="0" w:color="auto"/>
            </w:tcBorders>
            <w:vAlign w:val="bottom"/>
          </w:tcPr>
          <w:p w14:paraId="77B6C27F" w14:textId="39427A5C"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N</w:t>
            </w:r>
          </w:p>
        </w:tc>
        <w:tc>
          <w:tcPr>
            <w:tcW w:w="1470" w:type="dxa"/>
            <w:tcBorders>
              <w:top w:val="single" w:sz="6" w:space="0" w:color="auto"/>
              <w:left w:val="single" w:sz="6" w:space="0" w:color="auto"/>
              <w:bottom w:val="single" w:sz="6" w:space="0" w:color="auto"/>
              <w:right w:val="single" w:sz="6" w:space="0" w:color="auto"/>
            </w:tcBorders>
            <w:vAlign w:val="bottom"/>
          </w:tcPr>
          <w:p w14:paraId="39507321" w14:textId="760EEA75"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0.12</w:t>
            </w:r>
          </w:p>
        </w:tc>
        <w:tc>
          <w:tcPr>
            <w:tcW w:w="1680" w:type="dxa"/>
            <w:tcBorders>
              <w:top w:val="single" w:sz="6" w:space="0" w:color="auto"/>
              <w:left w:val="single" w:sz="6" w:space="0" w:color="auto"/>
              <w:bottom w:val="single" w:sz="6" w:space="0" w:color="auto"/>
              <w:right w:val="single" w:sz="6" w:space="0" w:color="auto"/>
            </w:tcBorders>
            <w:vAlign w:val="bottom"/>
          </w:tcPr>
          <w:p w14:paraId="5E5D8F87" w14:textId="48D2C8E5"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0.1</w:t>
            </w:r>
          </w:p>
        </w:tc>
      </w:tr>
      <w:tr w:rsidR="00BF49DD" w:rsidRPr="00FA3FDD" w14:paraId="7AD59826" w14:textId="77777777" w:rsidTr="00BF49DD">
        <w:trPr>
          <w:trHeight w:val="247"/>
        </w:trPr>
        <w:tc>
          <w:tcPr>
            <w:tcW w:w="2614" w:type="dxa"/>
            <w:tcBorders>
              <w:top w:val="single" w:sz="6" w:space="0" w:color="auto"/>
              <w:left w:val="single" w:sz="6" w:space="0" w:color="auto"/>
              <w:bottom w:val="single" w:sz="6" w:space="0" w:color="auto"/>
              <w:right w:val="single" w:sz="6" w:space="0" w:color="auto"/>
            </w:tcBorders>
            <w:vAlign w:val="bottom"/>
          </w:tcPr>
          <w:p w14:paraId="3EC52623" w14:textId="00CD73A8" w:rsidR="00BF49DD" w:rsidRPr="00BF49DD" w:rsidRDefault="00BF49DD" w:rsidP="00BF49DD">
            <w:pPr>
              <w:rPr>
                <w:rFonts w:ascii="Arial Narrow" w:hAnsi="Arial Narrow"/>
                <w:sz w:val="20"/>
                <w:szCs w:val="20"/>
              </w:rPr>
            </w:pPr>
            <w:r w:rsidRPr="00BF49DD">
              <w:rPr>
                <w:rFonts w:ascii="Arial Narrow" w:hAnsi="Arial Narrow" w:cs="Calibri"/>
                <w:color w:val="000000"/>
                <w:sz w:val="20"/>
                <w:szCs w:val="20"/>
              </w:rPr>
              <w:t>Pasture</w:t>
            </w:r>
          </w:p>
        </w:tc>
        <w:tc>
          <w:tcPr>
            <w:tcW w:w="1260" w:type="dxa"/>
            <w:tcBorders>
              <w:top w:val="single" w:sz="6" w:space="0" w:color="auto"/>
              <w:left w:val="single" w:sz="6" w:space="0" w:color="auto"/>
              <w:bottom w:val="single" w:sz="6" w:space="0" w:color="auto"/>
              <w:right w:val="single" w:sz="6" w:space="0" w:color="auto"/>
            </w:tcBorders>
            <w:vAlign w:val="bottom"/>
          </w:tcPr>
          <w:p w14:paraId="7FB4FD06" w14:textId="34029045"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0.35</w:t>
            </w:r>
          </w:p>
        </w:tc>
        <w:tc>
          <w:tcPr>
            <w:tcW w:w="1260" w:type="dxa"/>
            <w:tcBorders>
              <w:top w:val="single" w:sz="6" w:space="0" w:color="auto"/>
              <w:left w:val="single" w:sz="6" w:space="0" w:color="auto"/>
              <w:bottom w:val="single" w:sz="6" w:space="0" w:color="auto"/>
              <w:right w:val="single" w:sz="6" w:space="0" w:color="auto"/>
            </w:tcBorders>
            <w:vAlign w:val="bottom"/>
          </w:tcPr>
          <w:p w14:paraId="2C54F0D2" w14:textId="0DC45952"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N</w:t>
            </w:r>
          </w:p>
        </w:tc>
        <w:tc>
          <w:tcPr>
            <w:tcW w:w="1470" w:type="dxa"/>
            <w:tcBorders>
              <w:top w:val="single" w:sz="6" w:space="0" w:color="auto"/>
              <w:left w:val="single" w:sz="6" w:space="0" w:color="auto"/>
              <w:bottom w:val="single" w:sz="6" w:space="0" w:color="auto"/>
              <w:right w:val="single" w:sz="6" w:space="0" w:color="auto"/>
            </w:tcBorders>
            <w:vAlign w:val="bottom"/>
          </w:tcPr>
          <w:p w14:paraId="51A7758A" w14:textId="5355DADC"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0.12</w:t>
            </w:r>
          </w:p>
        </w:tc>
        <w:tc>
          <w:tcPr>
            <w:tcW w:w="1680" w:type="dxa"/>
            <w:tcBorders>
              <w:top w:val="single" w:sz="6" w:space="0" w:color="auto"/>
              <w:left w:val="single" w:sz="6" w:space="0" w:color="auto"/>
              <w:bottom w:val="single" w:sz="6" w:space="0" w:color="auto"/>
              <w:right w:val="single" w:sz="6" w:space="0" w:color="auto"/>
            </w:tcBorders>
            <w:vAlign w:val="bottom"/>
          </w:tcPr>
          <w:p w14:paraId="20551364" w14:textId="3E4BE038"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0.1</w:t>
            </w:r>
          </w:p>
        </w:tc>
      </w:tr>
      <w:tr w:rsidR="00BF49DD" w:rsidRPr="00FA3FDD" w14:paraId="4352F7EC" w14:textId="77777777" w:rsidTr="00BF49DD">
        <w:trPr>
          <w:trHeight w:val="247"/>
        </w:trPr>
        <w:tc>
          <w:tcPr>
            <w:tcW w:w="2614" w:type="dxa"/>
            <w:tcBorders>
              <w:top w:val="single" w:sz="6" w:space="0" w:color="auto"/>
              <w:left w:val="single" w:sz="6" w:space="0" w:color="auto"/>
              <w:bottom w:val="single" w:sz="6" w:space="0" w:color="auto"/>
              <w:right w:val="single" w:sz="6" w:space="0" w:color="auto"/>
            </w:tcBorders>
            <w:vAlign w:val="bottom"/>
          </w:tcPr>
          <w:p w14:paraId="6F3AEC2D" w14:textId="2673C870" w:rsidR="00BF49DD" w:rsidRPr="00BF49DD" w:rsidRDefault="00BF49DD" w:rsidP="00BF49DD">
            <w:pPr>
              <w:rPr>
                <w:rFonts w:ascii="Arial Narrow" w:hAnsi="Arial Narrow"/>
                <w:sz w:val="20"/>
                <w:szCs w:val="20"/>
              </w:rPr>
            </w:pPr>
            <w:r w:rsidRPr="00BF49DD">
              <w:rPr>
                <w:rFonts w:ascii="Arial Narrow" w:hAnsi="Arial Narrow" w:cs="Calibri"/>
                <w:color w:val="000000"/>
                <w:sz w:val="20"/>
                <w:szCs w:val="20"/>
              </w:rPr>
              <w:t>Cropland</w:t>
            </w:r>
          </w:p>
        </w:tc>
        <w:tc>
          <w:tcPr>
            <w:tcW w:w="1260" w:type="dxa"/>
            <w:tcBorders>
              <w:top w:val="single" w:sz="6" w:space="0" w:color="auto"/>
              <w:left w:val="single" w:sz="6" w:space="0" w:color="auto"/>
              <w:bottom w:val="single" w:sz="6" w:space="0" w:color="auto"/>
              <w:right w:val="single" w:sz="6" w:space="0" w:color="auto"/>
            </w:tcBorders>
            <w:vAlign w:val="bottom"/>
          </w:tcPr>
          <w:p w14:paraId="23F96DE7" w14:textId="3CE30157"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0.25</w:t>
            </w:r>
          </w:p>
        </w:tc>
        <w:tc>
          <w:tcPr>
            <w:tcW w:w="1260" w:type="dxa"/>
            <w:tcBorders>
              <w:top w:val="single" w:sz="6" w:space="0" w:color="auto"/>
              <w:left w:val="single" w:sz="6" w:space="0" w:color="auto"/>
              <w:bottom w:val="single" w:sz="6" w:space="0" w:color="auto"/>
              <w:right w:val="single" w:sz="6" w:space="0" w:color="auto"/>
            </w:tcBorders>
            <w:vAlign w:val="bottom"/>
          </w:tcPr>
          <w:p w14:paraId="42837CA6" w14:textId="6D110B09"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N</w:t>
            </w:r>
          </w:p>
        </w:tc>
        <w:tc>
          <w:tcPr>
            <w:tcW w:w="1470" w:type="dxa"/>
            <w:tcBorders>
              <w:top w:val="single" w:sz="6" w:space="0" w:color="auto"/>
              <w:left w:val="single" w:sz="6" w:space="0" w:color="auto"/>
              <w:bottom w:val="single" w:sz="6" w:space="0" w:color="auto"/>
              <w:right w:val="single" w:sz="6" w:space="0" w:color="auto"/>
            </w:tcBorders>
            <w:vAlign w:val="bottom"/>
          </w:tcPr>
          <w:p w14:paraId="4951C159" w14:textId="7C317587"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0.06</w:t>
            </w:r>
          </w:p>
        </w:tc>
        <w:tc>
          <w:tcPr>
            <w:tcW w:w="1680" w:type="dxa"/>
            <w:tcBorders>
              <w:top w:val="single" w:sz="6" w:space="0" w:color="auto"/>
              <w:left w:val="single" w:sz="6" w:space="0" w:color="auto"/>
              <w:bottom w:val="single" w:sz="6" w:space="0" w:color="auto"/>
              <w:right w:val="single" w:sz="6" w:space="0" w:color="auto"/>
            </w:tcBorders>
            <w:vAlign w:val="bottom"/>
          </w:tcPr>
          <w:p w14:paraId="60735363" w14:textId="380C1898"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0.26</w:t>
            </w:r>
          </w:p>
        </w:tc>
      </w:tr>
      <w:tr w:rsidR="00BF49DD" w:rsidRPr="00FA3FDD" w14:paraId="555F9E5D" w14:textId="77777777" w:rsidTr="00BF49DD">
        <w:trPr>
          <w:trHeight w:val="247"/>
        </w:trPr>
        <w:tc>
          <w:tcPr>
            <w:tcW w:w="2614" w:type="dxa"/>
            <w:tcBorders>
              <w:top w:val="single" w:sz="6" w:space="0" w:color="auto"/>
              <w:left w:val="single" w:sz="6" w:space="0" w:color="auto"/>
              <w:bottom w:val="single" w:sz="6" w:space="0" w:color="auto"/>
              <w:right w:val="single" w:sz="6" w:space="0" w:color="auto"/>
            </w:tcBorders>
            <w:vAlign w:val="bottom"/>
          </w:tcPr>
          <w:p w14:paraId="60FDF558" w14:textId="1803874A" w:rsidR="00BF49DD" w:rsidRPr="00BF49DD" w:rsidRDefault="00BF49DD" w:rsidP="00BF49DD">
            <w:pPr>
              <w:rPr>
                <w:rFonts w:ascii="Arial Narrow" w:hAnsi="Arial Narrow"/>
                <w:sz w:val="20"/>
                <w:szCs w:val="20"/>
              </w:rPr>
            </w:pPr>
            <w:r w:rsidRPr="00BF49DD">
              <w:rPr>
                <w:rFonts w:ascii="Arial Narrow" w:hAnsi="Arial Narrow" w:cs="Calibri"/>
                <w:color w:val="000000"/>
                <w:sz w:val="20"/>
                <w:szCs w:val="20"/>
              </w:rPr>
              <w:t>Barren</w:t>
            </w:r>
          </w:p>
        </w:tc>
        <w:tc>
          <w:tcPr>
            <w:tcW w:w="1260" w:type="dxa"/>
            <w:tcBorders>
              <w:top w:val="single" w:sz="6" w:space="0" w:color="auto"/>
              <w:left w:val="single" w:sz="6" w:space="0" w:color="auto"/>
              <w:bottom w:val="single" w:sz="6" w:space="0" w:color="auto"/>
              <w:right w:val="single" w:sz="6" w:space="0" w:color="auto"/>
            </w:tcBorders>
            <w:vAlign w:val="bottom"/>
          </w:tcPr>
          <w:p w14:paraId="3B95F45A" w14:textId="28E8DF12"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-0.18</w:t>
            </w:r>
          </w:p>
        </w:tc>
        <w:tc>
          <w:tcPr>
            <w:tcW w:w="1260" w:type="dxa"/>
            <w:tcBorders>
              <w:top w:val="single" w:sz="6" w:space="0" w:color="auto"/>
              <w:left w:val="single" w:sz="6" w:space="0" w:color="auto"/>
              <w:bottom w:val="single" w:sz="6" w:space="0" w:color="auto"/>
              <w:right w:val="single" w:sz="6" w:space="0" w:color="auto"/>
            </w:tcBorders>
            <w:vAlign w:val="bottom"/>
          </w:tcPr>
          <w:p w14:paraId="09BA1E4B" w14:textId="27E711BC"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N</w:t>
            </w:r>
          </w:p>
        </w:tc>
        <w:tc>
          <w:tcPr>
            <w:tcW w:w="1470" w:type="dxa"/>
            <w:tcBorders>
              <w:top w:val="single" w:sz="6" w:space="0" w:color="auto"/>
              <w:left w:val="single" w:sz="6" w:space="0" w:color="auto"/>
              <w:bottom w:val="single" w:sz="6" w:space="0" w:color="auto"/>
              <w:right w:val="single" w:sz="6" w:space="0" w:color="auto"/>
            </w:tcBorders>
            <w:vAlign w:val="bottom"/>
          </w:tcPr>
          <w:p w14:paraId="4428D73F" w14:textId="295E0855"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0.03</w:t>
            </w:r>
          </w:p>
        </w:tc>
        <w:tc>
          <w:tcPr>
            <w:tcW w:w="1680" w:type="dxa"/>
            <w:tcBorders>
              <w:top w:val="single" w:sz="6" w:space="0" w:color="auto"/>
              <w:left w:val="single" w:sz="6" w:space="0" w:color="auto"/>
              <w:bottom w:val="single" w:sz="6" w:space="0" w:color="auto"/>
              <w:right w:val="single" w:sz="6" w:space="0" w:color="auto"/>
            </w:tcBorders>
            <w:vAlign w:val="bottom"/>
          </w:tcPr>
          <w:p w14:paraId="6DD667F9" w14:textId="190D88B9"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0.42</w:t>
            </w:r>
          </w:p>
        </w:tc>
      </w:tr>
      <w:tr w:rsidR="00BF49DD" w:rsidRPr="00FA3FDD" w14:paraId="167D7BEB" w14:textId="77777777" w:rsidTr="00BF49DD">
        <w:trPr>
          <w:trHeight w:val="247"/>
        </w:trPr>
        <w:tc>
          <w:tcPr>
            <w:tcW w:w="2614" w:type="dxa"/>
            <w:tcBorders>
              <w:top w:val="single" w:sz="6" w:space="0" w:color="auto"/>
              <w:left w:val="single" w:sz="6" w:space="0" w:color="auto"/>
              <w:bottom w:val="single" w:sz="6" w:space="0" w:color="auto"/>
              <w:right w:val="single" w:sz="6" w:space="0" w:color="auto"/>
            </w:tcBorders>
            <w:vAlign w:val="bottom"/>
          </w:tcPr>
          <w:p w14:paraId="504B26A2" w14:textId="1DAEC3AA" w:rsidR="00BF49DD" w:rsidRPr="00BF49DD" w:rsidRDefault="00BF49DD" w:rsidP="00BF49DD">
            <w:pPr>
              <w:rPr>
                <w:rFonts w:ascii="Arial Narrow" w:hAnsi="Arial Narrow"/>
                <w:sz w:val="20"/>
                <w:szCs w:val="20"/>
              </w:rPr>
            </w:pPr>
            <w:r w:rsidRPr="00BF49DD">
              <w:rPr>
                <w:rFonts w:ascii="Arial Narrow" w:hAnsi="Arial Narrow" w:cs="Calibri"/>
                <w:color w:val="000000"/>
                <w:sz w:val="20"/>
                <w:szCs w:val="20"/>
              </w:rPr>
              <w:t>Water</w:t>
            </w:r>
          </w:p>
        </w:tc>
        <w:tc>
          <w:tcPr>
            <w:tcW w:w="1260" w:type="dxa"/>
            <w:tcBorders>
              <w:top w:val="single" w:sz="6" w:space="0" w:color="auto"/>
              <w:left w:val="single" w:sz="6" w:space="0" w:color="auto"/>
              <w:bottom w:val="single" w:sz="6" w:space="0" w:color="auto"/>
              <w:right w:val="single" w:sz="6" w:space="0" w:color="auto"/>
            </w:tcBorders>
            <w:vAlign w:val="bottom"/>
          </w:tcPr>
          <w:p w14:paraId="64D31CE6" w14:textId="7856AF59"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-0.16</w:t>
            </w:r>
          </w:p>
        </w:tc>
        <w:tc>
          <w:tcPr>
            <w:tcW w:w="1260" w:type="dxa"/>
            <w:tcBorders>
              <w:top w:val="single" w:sz="6" w:space="0" w:color="auto"/>
              <w:left w:val="single" w:sz="6" w:space="0" w:color="auto"/>
              <w:bottom w:val="single" w:sz="6" w:space="0" w:color="auto"/>
              <w:right w:val="single" w:sz="6" w:space="0" w:color="auto"/>
            </w:tcBorders>
            <w:vAlign w:val="bottom"/>
          </w:tcPr>
          <w:p w14:paraId="6E15EE50" w14:textId="66FB727C"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N</w:t>
            </w:r>
          </w:p>
        </w:tc>
        <w:tc>
          <w:tcPr>
            <w:tcW w:w="1470" w:type="dxa"/>
            <w:tcBorders>
              <w:top w:val="single" w:sz="6" w:space="0" w:color="auto"/>
              <w:left w:val="single" w:sz="6" w:space="0" w:color="auto"/>
              <w:bottom w:val="single" w:sz="6" w:space="0" w:color="auto"/>
              <w:right w:val="single" w:sz="6" w:space="0" w:color="auto"/>
            </w:tcBorders>
            <w:vAlign w:val="bottom"/>
          </w:tcPr>
          <w:p w14:paraId="5A646E9E" w14:textId="303043D9"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0.02</w:t>
            </w:r>
          </w:p>
        </w:tc>
        <w:tc>
          <w:tcPr>
            <w:tcW w:w="1680" w:type="dxa"/>
            <w:tcBorders>
              <w:top w:val="single" w:sz="6" w:space="0" w:color="auto"/>
              <w:left w:val="single" w:sz="6" w:space="0" w:color="auto"/>
              <w:bottom w:val="single" w:sz="6" w:space="0" w:color="auto"/>
              <w:right w:val="single" w:sz="6" w:space="0" w:color="auto"/>
            </w:tcBorders>
            <w:vAlign w:val="bottom"/>
          </w:tcPr>
          <w:p w14:paraId="59F49178" w14:textId="2A254257"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0.48</w:t>
            </w:r>
          </w:p>
        </w:tc>
      </w:tr>
      <w:tr w:rsidR="00BF49DD" w:rsidRPr="00FA3FDD" w14:paraId="17087CE9" w14:textId="77777777" w:rsidTr="00BF49DD">
        <w:trPr>
          <w:trHeight w:val="247"/>
        </w:trPr>
        <w:tc>
          <w:tcPr>
            <w:tcW w:w="2614" w:type="dxa"/>
            <w:tcBorders>
              <w:top w:val="single" w:sz="6" w:space="0" w:color="auto"/>
              <w:left w:val="single" w:sz="6" w:space="0" w:color="auto"/>
              <w:bottom w:val="single" w:sz="6" w:space="0" w:color="auto"/>
              <w:right w:val="single" w:sz="6" w:space="0" w:color="auto"/>
            </w:tcBorders>
            <w:vAlign w:val="bottom"/>
          </w:tcPr>
          <w:p w14:paraId="6707993F" w14:textId="1FFBE991" w:rsidR="00BF49DD" w:rsidRPr="00BF49DD" w:rsidRDefault="00BF49DD" w:rsidP="00BF49DD">
            <w:pPr>
              <w:rPr>
                <w:rFonts w:ascii="Arial Narrow" w:hAnsi="Arial Narrow"/>
                <w:sz w:val="20"/>
                <w:szCs w:val="20"/>
              </w:rPr>
            </w:pPr>
            <w:r w:rsidRPr="00BF49DD">
              <w:rPr>
                <w:rFonts w:ascii="Arial Narrow" w:hAnsi="Arial Narrow" w:cs="Calibri"/>
                <w:color w:val="000000"/>
                <w:sz w:val="20"/>
                <w:szCs w:val="20"/>
              </w:rPr>
              <w:t>Scrub/Shrub</w:t>
            </w:r>
          </w:p>
        </w:tc>
        <w:tc>
          <w:tcPr>
            <w:tcW w:w="1260" w:type="dxa"/>
            <w:tcBorders>
              <w:top w:val="single" w:sz="6" w:space="0" w:color="auto"/>
              <w:left w:val="single" w:sz="6" w:space="0" w:color="auto"/>
              <w:bottom w:val="single" w:sz="6" w:space="0" w:color="auto"/>
              <w:right w:val="single" w:sz="6" w:space="0" w:color="auto"/>
            </w:tcBorders>
            <w:vAlign w:val="bottom"/>
          </w:tcPr>
          <w:p w14:paraId="6D90F3E7" w14:textId="0297C6C2"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-0.05</w:t>
            </w:r>
          </w:p>
        </w:tc>
        <w:tc>
          <w:tcPr>
            <w:tcW w:w="1260" w:type="dxa"/>
            <w:tcBorders>
              <w:top w:val="single" w:sz="6" w:space="0" w:color="auto"/>
              <w:left w:val="single" w:sz="6" w:space="0" w:color="auto"/>
              <w:bottom w:val="single" w:sz="6" w:space="0" w:color="auto"/>
              <w:right w:val="single" w:sz="6" w:space="0" w:color="auto"/>
            </w:tcBorders>
            <w:vAlign w:val="bottom"/>
          </w:tcPr>
          <w:p w14:paraId="298EEC8A" w14:textId="7AB5832D"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N</w:t>
            </w:r>
          </w:p>
        </w:tc>
        <w:tc>
          <w:tcPr>
            <w:tcW w:w="1470" w:type="dxa"/>
            <w:tcBorders>
              <w:top w:val="single" w:sz="6" w:space="0" w:color="auto"/>
              <w:left w:val="single" w:sz="6" w:space="0" w:color="auto"/>
              <w:bottom w:val="single" w:sz="6" w:space="0" w:color="auto"/>
              <w:right w:val="single" w:sz="6" w:space="0" w:color="auto"/>
            </w:tcBorders>
            <w:vAlign w:val="bottom"/>
          </w:tcPr>
          <w:p w14:paraId="6B153E20" w14:textId="77272F1B"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&lt;0.01</w:t>
            </w:r>
          </w:p>
        </w:tc>
        <w:tc>
          <w:tcPr>
            <w:tcW w:w="1680" w:type="dxa"/>
            <w:tcBorders>
              <w:top w:val="single" w:sz="6" w:space="0" w:color="auto"/>
              <w:left w:val="single" w:sz="6" w:space="0" w:color="auto"/>
              <w:bottom w:val="single" w:sz="6" w:space="0" w:color="auto"/>
              <w:right w:val="single" w:sz="6" w:space="0" w:color="auto"/>
            </w:tcBorders>
            <w:vAlign w:val="bottom"/>
          </w:tcPr>
          <w:p w14:paraId="28FD4338" w14:textId="0491A703" w:rsidR="00BF49DD" w:rsidRPr="00BF49DD" w:rsidRDefault="00BF49DD" w:rsidP="00BF49DD">
            <w:pPr>
              <w:jc w:val="center"/>
              <w:rPr>
                <w:rFonts w:ascii="Arial Narrow" w:hAnsi="Arial Narrow"/>
                <w:sz w:val="20"/>
                <w:szCs w:val="20"/>
              </w:rPr>
            </w:pPr>
            <w:r w:rsidRPr="00BF49DD">
              <w:rPr>
                <w:rFonts w:ascii="Arial Narrow" w:hAnsi="Arial Narrow" w:cs="Calibri"/>
                <w:color w:val="000000"/>
                <w:sz w:val="20"/>
                <w:szCs w:val="20"/>
              </w:rPr>
              <w:t>0.81</w:t>
            </w:r>
          </w:p>
        </w:tc>
      </w:tr>
    </w:tbl>
    <w:p w14:paraId="4E25343F" w14:textId="77777777" w:rsidR="003279B5" w:rsidRPr="00FA3FDD" w:rsidRDefault="003279B5" w:rsidP="00F35736">
      <w:pPr>
        <w:spacing w:line="240" w:lineRule="auto"/>
      </w:pPr>
    </w:p>
    <w:p w14:paraId="179CA833" w14:textId="751DFAA5" w:rsidR="008F08A3" w:rsidRPr="00DB51D6" w:rsidRDefault="008F08A3" w:rsidP="00BA50C9">
      <w:pPr>
        <w:pStyle w:val="Heading2"/>
      </w:pPr>
      <w:bookmarkStart w:id="76" w:name="_Toc162948162"/>
      <w:r w:rsidRPr="00DB51D6">
        <w:t>Water Quality Data Assessment</w:t>
      </w:r>
      <w:bookmarkEnd w:id="76"/>
    </w:p>
    <w:p w14:paraId="6FED5AC1" w14:textId="5B7351AF" w:rsidR="008F08A3" w:rsidRPr="00DB51D6" w:rsidRDefault="00AD42AF" w:rsidP="00DD3C29">
      <w:pPr>
        <w:spacing w:before="120" w:after="120" w:line="360" w:lineRule="auto"/>
      </w:pPr>
      <w:r w:rsidRPr="00DB51D6">
        <w:t>Water quality data for all of the candidate stressor</w:t>
      </w:r>
      <w:r w:rsidR="00DD3C29" w:rsidRPr="00DB51D6">
        <w:t>s</w:t>
      </w:r>
      <w:r w:rsidRPr="00DB51D6">
        <w:t xml:space="preserve"> w</w:t>
      </w:r>
      <w:r w:rsidR="00DD3C29" w:rsidRPr="00DB51D6">
        <w:t>ere</w:t>
      </w:r>
      <w:r w:rsidRPr="00DB51D6">
        <w:t xml:space="preserve"> evaluated to assess trends</w:t>
      </w:r>
      <w:r w:rsidR="00DD3C29" w:rsidRPr="00DB51D6">
        <w:t xml:space="preserve"> and compare to relevant water quality standards and stressor thresholds</w:t>
      </w:r>
      <w:r w:rsidR="008F08A3" w:rsidRPr="00DB51D6">
        <w:t xml:space="preserve">. </w:t>
      </w:r>
      <w:r w:rsidR="00095305">
        <w:t>Stressor thresholds were b</w:t>
      </w:r>
      <w:r w:rsidR="00095305" w:rsidRPr="004B0E0F">
        <w:t>ased on VDEQ’s analysis of probabilistic monitoring data</w:t>
      </w:r>
      <w:r w:rsidR="00095305">
        <w:t xml:space="preserve"> from across the state (VDEQ, 2017). By comparing the patterns of </w:t>
      </w:r>
      <w:r w:rsidR="009D5E94">
        <w:t xml:space="preserve">benthic impairment with concentrations of a variety of water quality parameters, VDEQ established estimated </w:t>
      </w:r>
      <w:r w:rsidR="00095305">
        <w:t xml:space="preserve">thresholds for </w:t>
      </w:r>
      <w:r w:rsidR="009D5E94">
        <w:t>impairment</w:t>
      </w:r>
      <w:r w:rsidR="00095305">
        <w:t xml:space="preserve">. </w:t>
      </w:r>
      <w:r w:rsidR="009D5E94">
        <w:t>The thresholds represent concentrations where there is no probability of impairment, low probability, medium probability, and high probability of impairment. These thresholds can be useful in determining whether a water quality parameter may be responsible for impairment.</w:t>
      </w:r>
    </w:p>
    <w:p w14:paraId="4895D322" w14:textId="0A48774D" w:rsidR="00BA50C9" w:rsidRPr="00C012F1" w:rsidRDefault="00BA50C9" w:rsidP="00BA50C9">
      <w:pPr>
        <w:pStyle w:val="Heading3"/>
      </w:pPr>
      <w:bookmarkStart w:id="77" w:name="_Toc162948163"/>
      <w:r w:rsidRPr="00C012F1">
        <w:t>Temperature</w:t>
      </w:r>
      <w:bookmarkEnd w:id="77"/>
    </w:p>
    <w:p w14:paraId="0B835A8E" w14:textId="19A564D5" w:rsidR="00E704B7" w:rsidRDefault="00083B7E" w:rsidP="00083B7E">
      <w:pPr>
        <w:pStyle w:val="BlockText"/>
      </w:pPr>
      <w:r w:rsidRPr="00C012F1">
        <w:t>VDEQ measures temperature when collecting benthic or water quality samples, so periodic temperature data are available from 200</w:t>
      </w:r>
      <w:r w:rsidR="00766A1C" w:rsidRPr="00C012F1">
        <w:t>0</w:t>
      </w:r>
      <w:r w:rsidRPr="00C012F1">
        <w:t xml:space="preserve"> to present </w:t>
      </w:r>
      <w:r w:rsidR="004948EF">
        <w:t xml:space="preserve">for Roanoke River Project streams </w:t>
      </w:r>
      <w:r w:rsidR="00087A4F" w:rsidRPr="00C012F1">
        <w:t>(</w:t>
      </w:r>
      <w:r w:rsidR="00087A4F" w:rsidRPr="00C012F1">
        <w:fldChar w:fldCharType="begin"/>
      </w:r>
      <w:r w:rsidR="00087A4F" w:rsidRPr="00C012F1">
        <w:instrText xml:space="preserve"> REF _Ref44406377 \h </w:instrText>
      </w:r>
      <w:r w:rsidR="007A0C83" w:rsidRPr="00C012F1">
        <w:instrText xml:space="preserve"> \* MERGEFORMAT </w:instrText>
      </w:r>
      <w:r w:rsidR="00087A4F" w:rsidRPr="00C012F1">
        <w:fldChar w:fldCharType="separate"/>
      </w:r>
      <w:r w:rsidR="004A78BF" w:rsidRPr="00C012F1">
        <w:t xml:space="preserve">Figure </w:t>
      </w:r>
      <w:r w:rsidR="004A78BF">
        <w:rPr>
          <w:noProof/>
        </w:rPr>
        <w:t>16</w:t>
      </w:r>
      <w:r w:rsidR="00087A4F" w:rsidRPr="00C012F1">
        <w:fldChar w:fldCharType="end"/>
      </w:r>
      <w:r w:rsidR="00087A4F" w:rsidRPr="00C012F1">
        <w:t>)</w:t>
      </w:r>
      <w:r w:rsidR="00C012F1">
        <w:t>.</w:t>
      </w:r>
      <w:r w:rsidR="00766A1C" w:rsidRPr="00C012F1">
        <w:t xml:space="preserve"> </w:t>
      </w:r>
      <w:r w:rsidRPr="00C012F1">
        <w:t xml:space="preserve">Temperatures obviously vary by season, so ranges are wide when year-round measurements are considered. </w:t>
      </w:r>
      <w:r w:rsidR="00E704B7">
        <w:t>Wolf Creek and Tinker Creek temperatures were consistent with the Tinker Creek reference, averaging between 14 and 15</w:t>
      </w:r>
      <w:r w:rsidR="00E704B7" w:rsidRPr="00C012F1">
        <w:t>°C</w:t>
      </w:r>
      <w:r w:rsidR="00E704B7">
        <w:t>. In the Roanoke River, temperatures at the impaired stations averaged 15.4 to 17.8</w:t>
      </w:r>
      <w:r w:rsidR="00E704B7" w:rsidRPr="00C012F1">
        <w:t>°C</w:t>
      </w:r>
      <w:r w:rsidR="00E704B7">
        <w:t xml:space="preserve"> and were statistically higher than in the Roanoke River reference, which averaged 13.5</w:t>
      </w:r>
      <w:r w:rsidR="00E704B7" w:rsidRPr="00C012F1">
        <w:t>°C</w:t>
      </w:r>
      <w:r w:rsidR="00E704B7">
        <w:t>.</w:t>
      </w:r>
    </w:p>
    <w:p w14:paraId="531A52E4" w14:textId="0DE14E98" w:rsidR="00143FEC" w:rsidRDefault="004831A7" w:rsidP="00083B7E">
      <w:pPr>
        <w:pStyle w:val="BlockText"/>
      </w:pPr>
      <w:r>
        <w:t xml:space="preserve">None of the impaired streams had temperatures that </w:t>
      </w:r>
      <w:r w:rsidR="007D5707">
        <w:t xml:space="preserve">exceeded the relevant </w:t>
      </w:r>
      <w:r w:rsidR="00083B7E" w:rsidRPr="00C012F1">
        <w:t>water quality standard</w:t>
      </w:r>
      <w:r w:rsidR="00E704B7" w:rsidRPr="00E704B7">
        <w:t xml:space="preserve"> </w:t>
      </w:r>
      <w:r w:rsidR="00E704B7">
        <w:t>(</w:t>
      </w:r>
      <w:r w:rsidR="00E704B7">
        <w:fldChar w:fldCharType="begin"/>
      </w:r>
      <w:r w:rsidR="00E704B7">
        <w:instrText xml:space="preserve"> REF _Ref76463853 \h </w:instrText>
      </w:r>
      <w:r w:rsidR="00E704B7">
        <w:fldChar w:fldCharType="separate"/>
      </w:r>
      <w:r w:rsidR="004A78BF" w:rsidRPr="00C012F1">
        <w:t xml:space="preserve">Figure </w:t>
      </w:r>
      <w:r w:rsidR="004A78BF">
        <w:rPr>
          <w:noProof/>
        </w:rPr>
        <w:t>17</w:t>
      </w:r>
      <w:r w:rsidR="00E704B7">
        <w:fldChar w:fldCharType="end"/>
      </w:r>
      <w:r w:rsidR="00E704B7">
        <w:t>)</w:t>
      </w:r>
      <w:r w:rsidR="00C012F1">
        <w:t xml:space="preserve">. </w:t>
      </w:r>
      <w:r w:rsidR="007D5707">
        <w:t>For Wolf Creek and the Roanoke River, the temperature standard is 3</w:t>
      </w:r>
      <w:r w:rsidR="007D5707" w:rsidRPr="00C012F1">
        <w:t>1°C</w:t>
      </w:r>
      <w:r w:rsidR="007D5707">
        <w:t xml:space="preserve"> for mountainous zone waters. For Tinker Creek, a special standard of 26</w:t>
      </w:r>
      <w:r w:rsidR="007D5707" w:rsidRPr="00C012F1">
        <w:t>°C</w:t>
      </w:r>
      <w:r w:rsidR="007D5707">
        <w:t xml:space="preserve"> is applied from May to October to support </w:t>
      </w:r>
      <w:proofErr w:type="spellStart"/>
      <w:r w:rsidR="007D5707">
        <w:t>stockable</w:t>
      </w:r>
      <w:proofErr w:type="spellEnd"/>
      <w:r w:rsidR="007D5707">
        <w:t xml:space="preserve"> trout waters. </w:t>
      </w:r>
      <w:r w:rsidR="00143FEC">
        <w:t>The maximum temperature observed in Wolf Creek was 24.2</w:t>
      </w:r>
      <w:r w:rsidR="00143FEC" w:rsidRPr="00C012F1">
        <w:t>°C</w:t>
      </w:r>
      <w:r w:rsidR="00143FEC">
        <w:t>, the maximum temperature observed at impaired Tinker Creek stations was 24.6</w:t>
      </w:r>
      <w:r w:rsidR="00143FEC" w:rsidRPr="00C012F1">
        <w:t>°C</w:t>
      </w:r>
      <w:r w:rsidR="00143FEC">
        <w:t>, and the maximum temperature observed at impaired Roanoke River stations was 28.7</w:t>
      </w:r>
      <w:r w:rsidR="00143FEC" w:rsidRPr="00C012F1">
        <w:t>°C</w:t>
      </w:r>
      <w:r w:rsidR="00143FEC">
        <w:t>.</w:t>
      </w:r>
      <w:r w:rsidR="004C3A79" w:rsidRPr="004C3A79">
        <w:t xml:space="preserve"> </w:t>
      </w:r>
      <w:r w:rsidR="004C3A79">
        <w:t>Across other stations and tributaries in the Roanoke River watershed, temperatures remained within the mountainous zone standard. None of the nearly 1000 measurements exceeded 31</w:t>
      </w:r>
      <w:r w:rsidR="004C3A79" w:rsidRPr="00DF1AB9">
        <w:t>⁰C</w:t>
      </w:r>
      <w:r w:rsidR="004C3A79">
        <w:t>.</w:t>
      </w:r>
    </w:p>
    <w:p w14:paraId="0C516449" w14:textId="7EFFA37A" w:rsidR="005A1F96" w:rsidRDefault="00143FEC" w:rsidP="00083B7E">
      <w:pPr>
        <w:pStyle w:val="BlockText"/>
      </w:pPr>
      <w:r w:rsidRPr="00FD0B76">
        <w:t xml:space="preserve">In addition to periodic </w:t>
      </w:r>
      <w:r w:rsidR="00BD0FF7">
        <w:t>temperature</w:t>
      </w:r>
      <w:r w:rsidRPr="00FD0B76">
        <w:t xml:space="preserve"> measurements, </w:t>
      </w:r>
      <w:r>
        <w:t>the USGS operates a continuous gage and monitoring station that measures temperature on Tinker Creek and on the Roanoke River. The Tinker Creek gage (205551614) is located above Glade Creek and upstream of VDEQ station 4ATKR000.69. The Roanoke River gage (2055080) is located at the 13</w:t>
      </w:r>
      <w:r w:rsidRPr="00C42053">
        <w:rPr>
          <w:vertAlign w:val="superscript"/>
        </w:rPr>
        <w:t>th</w:t>
      </w:r>
      <w:r>
        <w:t xml:space="preserve"> Street bridge and co-located with VDEQ station 4AROA202.20. </w:t>
      </w:r>
      <w:r w:rsidRPr="00DF1AB9">
        <w:fldChar w:fldCharType="begin"/>
      </w:r>
      <w:r w:rsidRPr="00DF1AB9">
        <w:instrText xml:space="preserve"> REF _Ref84250842 \h  \* MERGEFORMAT </w:instrText>
      </w:r>
      <w:r w:rsidRPr="00DF1AB9">
        <w:fldChar w:fldCharType="separate"/>
      </w:r>
      <w:r w:rsidR="004A78BF" w:rsidRPr="00DB51D6">
        <w:t xml:space="preserve">Figure </w:t>
      </w:r>
      <w:r w:rsidR="004A78BF">
        <w:rPr>
          <w:noProof/>
        </w:rPr>
        <w:t>18</w:t>
      </w:r>
      <w:r w:rsidRPr="00DF1AB9">
        <w:fldChar w:fldCharType="end"/>
      </w:r>
      <w:r>
        <w:t xml:space="preserve"> shows 15-minute temperature data collected from these two stations since September 2019. </w:t>
      </w:r>
      <w:r w:rsidR="00406BF4">
        <w:t xml:space="preserve">Temperature in Tinker Creek exceeded the </w:t>
      </w:r>
      <w:proofErr w:type="spellStart"/>
      <w:r w:rsidR="00406BF4">
        <w:t>stockable</w:t>
      </w:r>
      <w:proofErr w:type="spellEnd"/>
      <w:r w:rsidR="00406BF4">
        <w:t xml:space="preserve"> trout special standard briefly in the summer of 2020 and 2021. The maximum temperature of 28.1</w:t>
      </w:r>
      <w:r w:rsidR="00E04A4B" w:rsidRPr="00DF1AB9">
        <w:t>⁰C</w:t>
      </w:r>
      <w:r w:rsidR="00406BF4">
        <w:t xml:space="preserve"> was observed on 8/11/2020. Over the 3-year period, temperatures exceeded the standard for a total of less than 6 hours. In the Roanoke River, temperatures remained well below the mountainous zone temperature standard of 3</w:t>
      </w:r>
      <w:r w:rsidR="00DF1AB9" w:rsidRPr="00DF1AB9">
        <w:t>1⁰C</w:t>
      </w:r>
      <w:r w:rsidR="00E04A4B" w:rsidRPr="00DF1AB9">
        <w:t xml:space="preserve">. </w:t>
      </w:r>
      <w:r w:rsidR="00406BF4">
        <w:t>The maximum observed temperature was 29.5</w:t>
      </w:r>
      <w:r w:rsidR="00406BF4" w:rsidRPr="00DF1AB9">
        <w:t>⁰C</w:t>
      </w:r>
      <w:r w:rsidR="00406BF4">
        <w:t>.</w:t>
      </w:r>
      <w:r w:rsidR="0049058F">
        <w:t xml:space="preserve"> </w:t>
      </w:r>
    </w:p>
    <w:p w14:paraId="59D271C6" w14:textId="20255170" w:rsidR="00580C74" w:rsidRPr="00C012F1" w:rsidRDefault="005A1F96" w:rsidP="00083B7E">
      <w:pPr>
        <w:pStyle w:val="BlockText"/>
      </w:pPr>
      <w:r>
        <w:t xml:space="preserve">In summary, temperature conditions in each of the impaired Roanoke River Project streams were sufficient to support a healthy benthic community. Even though there were several exceedances of the special standard in Tinker Creek, this standard is designed to support </w:t>
      </w:r>
      <w:proofErr w:type="spellStart"/>
      <w:r>
        <w:t>coldwater</w:t>
      </w:r>
      <w:proofErr w:type="spellEnd"/>
      <w:r>
        <w:t xml:space="preserve"> fisheries and is not targeted towards health of the benthic community. Temperature is not likely a stressor to the benthic community in Roanoke River Project streams.  </w:t>
      </w:r>
      <w:r w:rsidR="00E04A4B" w:rsidRPr="00C012F1">
        <w:t xml:space="preserve"> </w:t>
      </w:r>
    </w:p>
    <w:p w14:paraId="77364AE2" w14:textId="166CAA71" w:rsidR="00766A1C" w:rsidRPr="00C012F1" w:rsidRDefault="001747A1" w:rsidP="00766A1C">
      <w:pPr>
        <w:pStyle w:val="BlockText"/>
        <w:keepNext/>
      </w:pPr>
      <w:r>
        <w:rPr>
          <w:noProof/>
        </w:rPr>
        <w:drawing>
          <wp:inline distT="0" distB="0" distL="0" distR="0" wp14:anchorId="3FC9D2FE" wp14:editId="4722EF31">
            <wp:extent cx="4572000" cy="3208020"/>
            <wp:effectExtent l="0" t="0" r="0" b="0"/>
            <wp:docPr id="47" name="Picture 47" descr="Temperature in Roanoke River Project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3208020"/>
                    </a:xfrm>
                    <a:prstGeom prst="rect">
                      <a:avLst/>
                    </a:prstGeom>
                    <a:noFill/>
                  </pic:spPr>
                </pic:pic>
              </a:graphicData>
            </a:graphic>
          </wp:inline>
        </w:drawing>
      </w:r>
    </w:p>
    <w:p w14:paraId="567EF81B" w14:textId="2DE4893B" w:rsidR="00083B7E" w:rsidRPr="00C012F1" w:rsidRDefault="00766A1C" w:rsidP="00580C74">
      <w:pPr>
        <w:pStyle w:val="Caption"/>
      </w:pPr>
      <w:bookmarkStart w:id="78" w:name="_Ref44406377"/>
      <w:bookmarkStart w:id="79" w:name="_Toc162948234"/>
      <w:r w:rsidRPr="00C012F1">
        <w:t xml:space="preserve">Figure </w:t>
      </w:r>
      <w:r w:rsidR="00EC7614" w:rsidRPr="00C012F1">
        <w:rPr>
          <w:noProof/>
        </w:rPr>
        <w:fldChar w:fldCharType="begin"/>
      </w:r>
      <w:r w:rsidR="00EC7614" w:rsidRPr="00C012F1">
        <w:rPr>
          <w:noProof/>
        </w:rPr>
        <w:instrText xml:space="preserve"> SEQ Figure \* ARABIC </w:instrText>
      </w:r>
      <w:r w:rsidR="00EC7614" w:rsidRPr="00C012F1">
        <w:rPr>
          <w:noProof/>
        </w:rPr>
        <w:fldChar w:fldCharType="separate"/>
      </w:r>
      <w:r w:rsidR="004A78BF">
        <w:rPr>
          <w:noProof/>
        </w:rPr>
        <w:t>16</w:t>
      </w:r>
      <w:r w:rsidR="00EC7614" w:rsidRPr="00C012F1">
        <w:rPr>
          <w:noProof/>
        </w:rPr>
        <w:fldChar w:fldCharType="end"/>
      </w:r>
      <w:bookmarkEnd w:id="78"/>
      <w:r w:rsidRPr="00C012F1">
        <w:t xml:space="preserve">. Temperature </w:t>
      </w:r>
      <w:r w:rsidR="00A90011" w:rsidRPr="00C012F1">
        <w:t xml:space="preserve">in </w:t>
      </w:r>
      <w:r w:rsidR="004948EF">
        <w:t>Roanoke River Project streams</w:t>
      </w:r>
      <w:r w:rsidRPr="00C012F1">
        <w:t>. Boxes represent the inter-quartile range, whiskers represent minimum and maximum values excluding outliers, lines represent the median, and the X represent</w:t>
      </w:r>
      <w:r w:rsidR="00347535">
        <w:t>s</w:t>
      </w:r>
      <w:r w:rsidRPr="00C012F1">
        <w:t xml:space="preserve"> the mean. The "D" indicates a statistically significant difference from the </w:t>
      </w:r>
      <w:r w:rsidR="000763C6" w:rsidRPr="00C012F1">
        <w:t>r</w:t>
      </w:r>
      <w:r w:rsidRPr="00C012F1">
        <w:t xml:space="preserve">eference station. The </w:t>
      </w:r>
      <w:r w:rsidR="004948EF">
        <w:t xml:space="preserve">solid </w:t>
      </w:r>
      <w:r w:rsidRPr="00C012F1">
        <w:t>red line represents the Virginia water quality standard</w:t>
      </w:r>
      <w:r w:rsidR="004948EF">
        <w:t xml:space="preserve"> for the mountainous zone, and the dashed red line represents the special standard for stocked trout in Tinker Creek</w:t>
      </w:r>
      <w:r w:rsidRPr="00C012F1">
        <w:t>.</w:t>
      </w:r>
      <w:bookmarkEnd w:id="79"/>
    </w:p>
    <w:p w14:paraId="42283C8B" w14:textId="77777777" w:rsidR="00580C74" w:rsidRPr="00C012F1" w:rsidRDefault="00580C74" w:rsidP="00083B7E">
      <w:pPr>
        <w:pStyle w:val="BlockText"/>
      </w:pPr>
    </w:p>
    <w:p w14:paraId="39EE1F74" w14:textId="77777777" w:rsidR="00A90011" w:rsidRPr="007A0C83" w:rsidRDefault="00A90011" w:rsidP="00083B7E">
      <w:pPr>
        <w:pStyle w:val="BlockText"/>
        <w:rPr>
          <w:highlight w:val="yellow"/>
        </w:rPr>
      </w:pPr>
    </w:p>
    <w:p w14:paraId="3EDBC9FA" w14:textId="3AD956AE" w:rsidR="00286C2F" w:rsidRPr="00C012F1" w:rsidRDefault="007D5707" w:rsidP="00286C2F">
      <w:pPr>
        <w:keepNext/>
        <w:spacing w:before="120" w:after="120" w:line="360" w:lineRule="auto"/>
      </w:pPr>
      <w:r>
        <w:rPr>
          <w:noProof/>
        </w:rPr>
        <w:drawing>
          <wp:inline distT="0" distB="0" distL="0" distR="0" wp14:anchorId="395C4F81" wp14:editId="5829451E">
            <wp:extent cx="4104716" cy="7340600"/>
            <wp:effectExtent l="0" t="0" r="0" b="0"/>
            <wp:docPr id="50" name="Picture 50" descr="Temperature over time in Roanoke River Project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10651" cy="7351214"/>
                    </a:xfrm>
                    <a:prstGeom prst="rect">
                      <a:avLst/>
                    </a:prstGeom>
                    <a:noFill/>
                  </pic:spPr>
                </pic:pic>
              </a:graphicData>
            </a:graphic>
          </wp:inline>
        </w:drawing>
      </w:r>
    </w:p>
    <w:p w14:paraId="10E04780" w14:textId="36006A07" w:rsidR="00286C2F" w:rsidRPr="00C012F1" w:rsidRDefault="00286C2F" w:rsidP="00286C2F">
      <w:pPr>
        <w:pStyle w:val="Caption"/>
      </w:pPr>
      <w:bookmarkStart w:id="80" w:name="_Ref76463853"/>
      <w:bookmarkStart w:id="81" w:name="_Toc162948235"/>
      <w:r w:rsidRPr="00C012F1">
        <w:t xml:space="preserve">Figure </w:t>
      </w:r>
      <w:r w:rsidRPr="00C012F1">
        <w:rPr>
          <w:noProof/>
        </w:rPr>
        <w:fldChar w:fldCharType="begin"/>
      </w:r>
      <w:r w:rsidRPr="00C012F1">
        <w:rPr>
          <w:noProof/>
        </w:rPr>
        <w:instrText xml:space="preserve"> SEQ Figure \* ARABIC </w:instrText>
      </w:r>
      <w:r w:rsidRPr="00C012F1">
        <w:rPr>
          <w:noProof/>
        </w:rPr>
        <w:fldChar w:fldCharType="separate"/>
      </w:r>
      <w:r w:rsidR="004A78BF">
        <w:rPr>
          <w:noProof/>
        </w:rPr>
        <w:t>17</w:t>
      </w:r>
      <w:r w:rsidRPr="00C012F1">
        <w:rPr>
          <w:noProof/>
        </w:rPr>
        <w:fldChar w:fldCharType="end"/>
      </w:r>
      <w:bookmarkEnd w:id="80"/>
      <w:r w:rsidRPr="00C012F1">
        <w:t xml:space="preserve">. Temperature </w:t>
      </w:r>
      <w:r w:rsidR="007F6F3F" w:rsidRPr="00C012F1">
        <w:t xml:space="preserve">over time </w:t>
      </w:r>
      <w:r w:rsidRPr="00C012F1">
        <w:t xml:space="preserve">in </w:t>
      </w:r>
      <w:r w:rsidR="007D5707">
        <w:t>Roanoke River Project streams.</w:t>
      </w:r>
      <w:r w:rsidRPr="00C012F1">
        <w:t xml:space="preserve"> The red line represents the </w:t>
      </w:r>
      <w:r w:rsidR="00F65557">
        <w:t xml:space="preserve">relevant </w:t>
      </w:r>
      <w:r w:rsidRPr="00C012F1">
        <w:t>Virginia water quality standard.</w:t>
      </w:r>
      <w:bookmarkEnd w:id="81"/>
    </w:p>
    <w:p w14:paraId="0723BE83" w14:textId="137F4C83" w:rsidR="00286C2F" w:rsidRPr="00C012F1" w:rsidRDefault="00286C2F" w:rsidP="00286C2F">
      <w:pPr>
        <w:spacing w:before="120" w:after="120" w:line="360" w:lineRule="auto"/>
      </w:pPr>
    </w:p>
    <w:p w14:paraId="5B596BF1" w14:textId="69D54538" w:rsidR="00E04A4B" w:rsidRPr="00DB51D6" w:rsidRDefault="007F5C76" w:rsidP="00E04A4B">
      <w:pPr>
        <w:keepNext/>
        <w:spacing w:before="120" w:after="120" w:line="360" w:lineRule="auto"/>
      </w:pPr>
      <w:r>
        <w:rPr>
          <w:noProof/>
        </w:rPr>
        <w:drawing>
          <wp:inline distT="0" distB="0" distL="0" distR="0" wp14:anchorId="69810DD9" wp14:editId="0F2C242A">
            <wp:extent cx="4108450" cy="4950682"/>
            <wp:effectExtent l="0" t="0" r="6350" b="2540"/>
            <wp:docPr id="51" name="Picture 51" descr="Continuous temperature monitoring by the USGS in Tinker Creek and the Roanoke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13570" cy="4956851"/>
                    </a:xfrm>
                    <a:prstGeom prst="rect">
                      <a:avLst/>
                    </a:prstGeom>
                    <a:noFill/>
                  </pic:spPr>
                </pic:pic>
              </a:graphicData>
            </a:graphic>
          </wp:inline>
        </w:drawing>
      </w:r>
    </w:p>
    <w:p w14:paraId="15A6F02B" w14:textId="349B717A" w:rsidR="00BB6BAA" w:rsidRDefault="00E04A4B" w:rsidP="00E04A4B">
      <w:pPr>
        <w:pStyle w:val="Caption"/>
      </w:pPr>
      <w:bookmarkStart w:id="82" w:name="_Ref84250842"/>
      <w:bookmarkStart w:id="83" w:name="_Toc162948236"/>
      <w:r w:rsidRPr="00DB51D6">
        <w:t xml:space="preserve">Figure </w:t>
      </w:r>
      <w:r w:rsidR="00DF0271" w:rsidRPr="00DB51D6">
        <w:rPr>
          <w:noProof/>
        </w:rPr>
        <w:fldChar w:fldCharType="begin"/>
      </w:r>
      <w:r w:rsidR="00DF0271" w:rsidRPr="00DB51D6">
        <w:rPr>
          <w:noProof/>
        </w:rPr>
        <w:instrText xml:space="preserve"> SEQ Figure \* ARABIC </w:instrText>
      </w:r>
      <w:r w:rsidR="00DF0271" w:rsidRPr="00DB51D6">
        <w:rPr>
          <w:noProof/>
        </w:rPr>
        <w:fldChar w:fldCharType="separate"/>
      </w:r>
      <w:r w:rsidR="004A78BF">
        <w:rPr>
          <w:noProof/>
        </w:rPr>
        <w:t>18</w:t>
      </w:r>
      <w:r w:rsidR="00DF0271" w:rsidRPr="00DB51D6">
        <w:rPr>
          <w:noProof/>
        </w:rPr>
        <w:fldChar w:fldCharType="end"/>
      </w:r>
      <w:bookmarkEnd w:id="82"/>
      <w:r w:rsidRPr="00DB51D6">
        <w:t xml:space="preserve">. </w:t>
      </w:r>
      <w:r w:rsidR="00406BF4">
        <w:t>Continuous temperature monitoring by the USGS in Tinker Creek and the Roanoke River</w:t>
      </w:r>
      <w:r w:rsidRPr="00DB51D6">
        <w:t xml:space="preserve">. The red line represents the </w:t>
      </w:r>
      <w:r w:rsidR="00406BF4">
        <w:t xml:space="preserve">relevant </w:t>
      </w:r>
      <w:r w:rsidRPr="00DB51D6">
        <w:t>Virginia water quality standard.</w:t>
      </w:r>
      <w:bookmarkEnd w:id="83"/>
    </w:p>
    <w:p w14:paraId="3DDB3E20" w14:textId="77777777" w:rsidR="00DB51D6" w:rsidRPr="00DB51D6" w:rsidRDefault="00DB51D6" w:rsidP="00DB51D6"/>
    <w:p w14:paraId="5A920185" w14:textId="3F2793AA" w:rsidR="00BA50C9" w:rsidRPr="00DB51D6" w:rsidRDefault="00BA50C9" w:rsidP="00BA50C9">
      <w:pPr>
        <w:pStyle w:val="Heading3"/>
      </w:pPr>
      <w:bookmarkStart w:id="84" w:name="_Toc162948164"/>
      <w:r w:rsidRPr="00DB51D6">
        <w:t>pH</w:t>
      </w:r>
      <w:bookmarkEnd w:id="84"/>
    </w:p>
    <w:p w14:paraId="5EF4F18E" w14:textId="0B790496" w:rsidR="00420B19" w:rsidRDefault="000763C6" w:rsidP="004758E0">
      <w:pPr>
        <w:pStyle w:val="BlockText"/>
      </w:pPr>
      <w:r w:rsidRPr="008C64A6">
        <w:t xml:space="preserve">VDEQ measures pH when collecting benthic or water quality samples, so periodic pH data are available from </w:t>
      </w:r>
      <w:r w:rsidR="008C64A6" w:rsidRPr="00C012F1">
        <w:t xml:space="preserve">each of the impaired </w:t>
      </w:r>
      <w:r w:rsidR="008C64A6">
        <w:t xml:space="preserve">streams and </w:t>
      </w:r>
      <w:r w:rsidR="00CF7296">
        <w:t xml:space="preserve">a </w:t>
      </w:r>
      <w:r w:rsidR="008C64A6">
        <w:t>reference</w:t>
      </w:r>
      <w:r w:rsidR="008C64A6" w:rsidRPr="008C64A6">
        <w:t xml:space="preserve"> </w:t>
      </w:r>
      <w:r w:rsidRPr="008C64A6">
        <w:t>(</w:t>
      </w:r>
      <w:r w:rsidRPr="008C64A6">
        <w:fldChar w:fldCharType="begin"/>
      </w:r>
      <w:r w:rsidRPr="008C64A6">
        <w:instrText xml:space="preserve"> REF _Ref44414313 \h </w:instrText>
      </w:r>
      <w:r w:rsidR="00867C44" w:rsidRPr="008C64A6">
        <w:instrText xml:space="preserve"> \* MERGEFORMAT </w:instrText>
      </w:r>
      <w:r w:rsidRPr="008C64A6">
        <w:fldChar w:fldCharType="separate"/>
      </w:r>
      <w:r w:rsidR="004A78BF" w:rsidRPr="008C64A6">
        <w:t xml:space="preserve">Figure </w:t>
      </w:r>
      <w:r w:rsidR="004A78BF">
        <w:rPr>
          <w:noProof/>
        </w:rPr>
        <w:t>19</w:t>
      </w:r>
      <w:r w:rsidRPr="008C64A6">
        <w:fldChar w:fldCharType="end"/>
      </w:r>
      <w:r w:rsidRPr="008C64A6">
        <w:t>)</w:t>
      </w:r>
      <w:r w:rsidR="008C64A6">
        <w:t>.</w:t>
      </w:r>
      <w:r w:rsidRPr="008C64A6">
        <w:t xml:space="preserve"> </w:t>
      </w:r>
      <w:r w:rsidR="004758E0" w:rsidRPr="008C64A6">
        <w:t xml:space="preserve">Measured pH values were </w:t>
      </w:r>
      <w:r w:rsidR="00FC05B2" w:rsidRPr="008C64A6">
        <w:t xml:space="preserve">moderately alkaline in each of the </w:t>
      </w:r>
      <w:r w:rsidR="00004BE8">
        <w:t>streams with</w:t>
      </w:r>
      <w:r w:rsidR="004758E0" w:rsidRPr="008C64A6">
        <w:t xml:space="preserve"> average</w:t>
      </w:r>
      <w:r w:rsidR="00004BE8">
        <w:t>s</w:t>
      </w:r>
      <w:r w:rsidR="004758E0" w:rsidRPr="008C64A6">
        <w:t xml:space="preserve"> </w:t>
      </w:r>
      <w:r w:rsidR="00004BE8">
        <w:t>of</w:t>
      </w:r>
      <w:r w:rsidR="004758E0" w:rsidRPr="008C64A6">
        <w:t xml:space="preserve"> </w:t>
      </w:r>
      <w:r w:rsidR="00281528">
        <w:t xml:space="preserve">8.15 in Wolf Creek, 8.04 in Tinker Creek, and 8.00 to 8.13 at Roanoke River impaired stations. </w:t>
      </w:r>
      <w:r w:rsidR="00420B19">
        <w:t xml:space="preserve">Both Wolf Creek and Tinker Creek had </w:t>
      </w:r>
      <w:r w:rsidR="00B60F6B" w:rsidRPr="008C64A6">
        <w:t xml:space="preserve">statistically </w:t>
      </w:r>
      <w:r w:rsidR="00420B19">
        <w:t xml:space="preserve">higher pH </w:t>
      </w:r>
      <w:r w:rsidR="00004BE8">
        <w:t>than</w:t>
      </w:r>
      <w:r w:rsidR="00B60F6B" w:rsidRPr="008C64A6">
        <w:t xml:space="preserve"> the </w:t>
      </w:r>
      <w:r w:rsidR="00420B19">
        <w:t xml:space="preserve">stream </w:t>
      </w:r>
      <w:r w:rsidR="00B60F6B" w:rsidRPr="008C64A6">
        <w:t>reference site (p&lt;0.05 in t-test with unequal variance)</w:t>
      </w:r>
      <w:r w:rsidR="00420B19">
        <w:t xml:space="preserve">. Roanoke River stations 4AROA202.20 and 4AROA199.20 had </w:t>
      </w:r>
      <w:r w:rsidR="00420B19" w:rsidRPr="008C64A6">
        <w:t xml:space="preserve">statistically </w:t>
      </w:r>
      <w:r w:rsidR="00420B19">
        <w:t>lower pH than</w:t>
      </w:r>
      <w:r w:rsidR="00420B19" w:rsidRPr="008C64A6">
        <w:t xml:space="preserve"> the </w:t>
      </w:r>
      <w:r w:rsidR="00420B19">
        <w:t xml:space="preserve">river </w:t>
      </w:r>
      <w:r w:rsidR="00420B19" w:rsidRPr="008C64A6">
        <w:t>reference site (p&lt;0.05 in t-test with unequal variance)</w:t>
      </w:r>
      <w:r w:rsidR="00420B19">
        <w:t xml:space="preserve">. At all sites, however, </w:t>
      </w:r>
      <w:r w:rsidR="00BE0F96" w:rsidRPr="008C64A6">
        <w:t xml:space="preserve">median pH values </w:t>
      </w:r>
      <w:r w:rsidR="00FC05B2" w:rsidRPr="008C64A6">
        <w:t>were within the low probability range for stress</w:t>
      </w:r>
      <w:r w:rsidR="00BE0F96" w:rsidRPr="008C64A6">
        <w:t>or</w:t>
      </w:r>
      <w:r w:rsidR="00FC05B2" w:rsidRPr="008C64A6">
        <w:t xml:space="preserve"> effects</w:t>
      </w:r>
      <w:r w:rsidR="00B60F6B" w:rsidRPr="008C64A6">
        <w:t xml:space="preserve">. </w:t>
      </w:r>
    </w:p>
    <w:p w14:paraId="7F8EE2F1" w14:textId="01B5CD27" w:rsidR="003B48E8" w:rsidRDefault="00660F8F" w:rsidP="004758E0">
      <w:pPr>
        <w:pStyle w:val="BlockText"/>
      </w:pPr>
      <w:r w:rsidRPr="008C64A6">
        <w:fldChar w:fldCharType="begin"/>
      </w:r>
      <w:r w:rsidRPr="008C64A6">
        <w:instrText xml:space="preserve"> REF _Ref44417428 \h </w:instrText>
      </w:r>
      <w:r w:rsidR="007A0C83" w:rsidRPr="008C64A6">
        <w:instrText xml:space="preserve"> \* MERGEFORMAT </w:instrText>
      </w:r>
      <w:r w:rsidRPr="008C64A6">
        <w:fldChar w:fldCharType="separate"/>
      </w:r>
      <w:r w:rsidR="004A78BF" w:rsidRPr="008C64A6">
        <w:t xml:space="preserve">Figure </w:t>
      </w:r>
      <w:r w:rsidR="004A78BF">
        <w:rPr>
          <w:noProof/>
        </w:rPr>
        <w:t>20</w:t>
      </w:r>
      <w:r w:rsidRPr="008C64A6">
        <w:fldChar w:fldCharType="end"/>
      </w:r>
      <w:r w:rsidRPr="008C64A6">
        <w:t xml:space="preserve"> show</w:t>
      </w:r>
      <w:r w:rsidR="00C816EE">
        <w:t>s</w:t>
      </w:r>
      <w:r w:rsidRPr="008C64A6">
        <w:t xml:space="preserve"> the time series of pH values in </w:t>
      </w:r>
      <w:r w:rsidR="00420B19">
        <w:t xml:space="preserve">Roanoke River Project streams. </w:t>
      </w:r>
      <w:r w:rsidRPr="008C64A6">
        <w:t xml:space="preserve">While pH varied over time, all individual samples from all stations were </w:t>
      </w:r>
      <w:r w:rsidR="00420B19">
        <w:t xml:space="preserve">within the low probability range for stressor effects and within the relevant water quality standards. For Wolf Creek and Tinker Creek the mountainous zone water quality standard for pH is </w:t>
      </w:r>
      <w:r w:rsidRPr="008C64A6">
        <w:t>between 6 and 9</w:t>
      </w:r>
      <w:r w:rsidR="003B48E8">
        <w:t>. For the Roanoke River, there is a special standard for pH of 6.5 to 9.5.</w:t>
      </w:r>
      <w:r w:rsidRPr="008C64A6">
        <w:t xml:space="preserve"> </w:t>
      </w:r>
      <w:r w:rsidR="003B48E8">
        <w:t>In Wolf Creek, minimum and maximum pH values were 7.59 and 8.6, respectively. In Tinker Creek, minimum and maximum pH values were 6.1 and 8.9, respectively. In the Roanoke River, minimum and maximum pH values were 6.5 and 9.0, respectively.</w:t>
      </w:r>
      <w:r w:rsidR="00E245CA" w:rsidRPr="00E245CA">
        <w:t xml:space="preserve"> </w:t>
      </w:r>
    </w:p>
    <w:p w14:paraId="220880C2" w14:textId="6E1A6D09" w:rsidR="00037774" w:rsidRDefault="00037774" w:rsidP="00037774">
      <w:pPr>
        <w:pStyle w:val="BlockText"/>
      </w:pPr>
      <w:r w:rsidRPr="00FD0B76">
        <w:t xml:space="preserve">In addition to periodic </w:t>
      </w:r>
      <w:r>
        <w:t>pH</w:t>
      </w:r>
      <w:r w:rsidRPr="00FD0B76">
        <w:t xml:space="preserve"> measurements, </w:t>
      </w:r>
      <w:r>
        <w:t>the USGS operates a continuous gage and monitoring station that measures pH on Tinker Creek and on the Roanoke River. The Tinker Creek gage (205551614) is located above Glade Creek and upstream of VDEQ station 4ATKR000.69. The Roanoke River gage (2055080) is located at the 13</w:t>
      </w:r>
      <w:r w:rsidRPr="00C42053">
        <w:rPr>
          <w:vertAlign w:val="superscript"/>
        </w:rPr>
        <w:t>th</w:t>
      </w:r>
      <w:r>
        <w:t xml:space="preserve"> Street bridge and co-located with VDEQ station 4AROA202.20. </w:t>
      </w:r>
      <w:r>
        <w:fldChar w:fldCharType="begin"/>
      </w:r>
      <w:r>
        <w:instrText xml:space="preserve"> REF _Ref137636296 \h </w:instrText>
      </w:r>
      <w:r>
        <w:fldChar w:fldCharType="separate"/>
      </w:r>
      <w:r w:rsidR="004A78BF">
        <w:t xml:space="preserve">Figure </w:t>
      </w:r>
      <w:r w:rsidR="004A78BF">
        <w:rPr>
          <w:noProof/>
        </w:rPr>
        <w:t>21</w:t>
      </w:r>
      <w:r>
        <w:fldChar w:fldCharType="end"/>
      </w:r>
      <w:r>
        <w:t xml:space="preserve"> shows 15-minute pH data collected from these two stations since September 2019. In both streams, pH remained well within the 6 to 9 or 6.5 to 9.5 water quality standards. </w:t>
      </w:r>
    </w:p>
    <w:p w14:paraId="39736FF3" w14:textId="48C8E63C" w:rsidR="00685342" w:rsidRDefault="00685342" w:rsidP="00037774">
      <w:pPr>
        <w:pStyle w:val="BlockText"/>
      </w:pPr>
      <w:r>
        <w:t xml:space="preserve">In summary, pH conditions in each of the impaired Roanoke River Project streams were sufficient to support a healthy benthic community. While pH values were statistically above (Wolf Creek and Tinker Creek) or below (Roanoke River) the relevant references, all pH values were within water quality standards and in the low probability range for stressor effects. </w:t>
      </w:r>
    </w:p>
    <w:p w14:paraId="4C7FB6BB" w14:textId="7E80E08C" w:rsidR="00BA50C9" w:rsidRPr="007A0C83" w:rsidRDefault="00BA50C9" w:rsidP="00C80905">
      <w:pPr>
        <w:spacing w:before="120" w:after="120" w:line="360" w:lineRule="auto"/>
        <w:rPr>
          <w:highlight w:val="yellow"/>
        </w:rPr>
      </w:pPr>
    </w:p>
    <w:p w14:paraId="0AAC7A4D" w14:textId="30F7395B" w:rsidR="000763C6" w:rsidRPr="008C64A6" w:rsidRDefault="00196EB3" w:rsidP="000763C6">
      <w:pPr>
        <w:keepNext/>
        <w:spacing w:before="120" w:after="120" w:line="360" w:lineRule="auto"/>
      </w:pPr>
      <w:r>
        <w:rPr>
          <w:noProof/>
        </w:rPr>
        <w:drawing>
          <wp:inline distT="0" distB="0" distL="0" distR="0" wp14:anchorId="61AEB903" wp14:editId="55EBD6CD">
            <wp:extent cx="4579620" cy="3208020"/>
            <wp:effectExtent l="0" t="0" r="0" b="0"/>
            <wp:docPr id="1" name="Picture 1" descr="pH in Roanoke River Project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9620" cy="3208020"/>
                    </a:xfrm>
                    <a:prstGeom prst="rect">
                      <a:avLst/>
                    </a:prstGeom>
                    <a:noFill/>
                  </pic:spPr>
                </pic:pic>
              </a:graphicData>
            </a:graphic>
          </wp:inline>
        </w:drawing>
      </w:r>
    </w:p>
    <w:p w14:paraId="1262ED28" w14:textId="1B9A924C" w:rsidR="00193B5C" w:rsidRPr="008C64A6" w:rsidRDefault="000763C6" w:rsidP="000763C6">
      <w:pPr>
        <w:pStyle w:val="Caption"/>
      </w:pPr>
      <w:bookmarkStart w:id="85" w:name="_Ref44414313"/>
      <w:bookmarkStart w:id="86" w:name="_Toc162948237"/>
      <w:r w:rsidRPr="008C64A6">
        <w:t xml:space="preserve">Figure </w:t>
      </w:r>
      <w:r w:rsidR="00EC7614" w:rsidRPr="008C64A6">
        <w:rPr>
          <w:noProof/>
        </w:rPr>
        <w:fldChar w:fldCharType="begin"/>
      </w:r>
      <w:r w:rsidR="00EC7614" w:rsidRPr="008C64A6">
        <w:rPr>
          <w:noProof/>
        </w:rPr>
        <w:instrText xml:space="preserve"> SEQ Figure \* ARABIC </w:instrText>
      </w:r>
      <w:r w:rsidR="00EC7614" w:rsidRPr="008C64A6">
        <w:rPr>
          <w:noProof/>
        </w:rPr>
        <w:fldChar w:fldCharType="separate"/>
      </w:r>
      <w:r w:rsidR="004A78BF">
        <w:rPr>
          <w:noProof/>
        </w:rPr>
        <w:t>19</w:t>
      </w:r>
      <w:r w:rsidR="00EC7614" w:rsidRPr="008C64A6">
        <w:rPr>
          <w:noProof/>
        </w:rPr>
        <w:fldChar w:fldCharType="end"/>
      </w:r>
      <w:bookmarkEnd w:id="85"/>
      <w:r w:rsidRPr="008C64A6">
        <w:t xml:space="preserve">. pH in </w:t>
      </w:r>
      <w:r w:rsidR="00CF7296">
        <w:t xml:space="preserve">Roanoke River Project streams. </w:t>
      </w:r>
      <w:r w:rsidRPr="008C64A6">
        <w:t>Boxes represent the inter-quartile range, whiskers represent minimum and maximum values excluding outliers, lines represent the median, and the X represent</w:t>
      </w:r>
      <w:r w:rsidR="00347535">
        <w:t>s</w:t>
      </w:r>
      <w:r w:rsidRPr="008C64A6">
        <w:t xml:space="preserve"> the mean. Dots represent outliers that are greater than 1.5 times the inter-quartile range away from the mean. The "D" indicates a statistically significant difference from the reference station. The red line represents the Virginia water quality standard. Colors represent the probability that data within that range would be responsible for causing stress.</w:t>
      </w:r>
      <w:bookmarkEnd w:id="86"/>
    </w:p>
    <w:p w14:paraId="2856A065" w14:textId="71060FB0" w:rsidR="00AE6F77" w:rsidRPr="008C64A6" w:rsidRDefault="00AE6F77" w:rsidP="00AE6F77">
      <w:pPr>
        <w:pStyle w:val="BlockText"/>
      </w:pPr>
    </w:p>
    <w:p w14:paraId="564BF1EF" w14:textId="262391E4" w:rsidR="00691536" w:rsidRPr="008C64A6" w:rsidRDefault="00CF7296" w:rsidP="00691536">
      <w:pPr>
        <w:keepNext/>
        <w:spacing w:before="120" w:after="120" w:line="360" w:lineRule="auto"/>
      </w:pPr>
      <w:r>
        <w:rPr>
          <w:noProof/>
        </w:rPr>
        <w:drawing>
          <wp:inline distT="0" distB="0" distL="0" distR="0" wp14:anchorId="1B19D547" wp14:editId="7268E655">
            <wp:extent cx="4083050" cy="7444761"/>
            <wp:effectExtent l="0" t="0" r="0" b="3810"/>
            <wp:docPr id="34" name="Picture 34" descr="pH over time in Roanoke River Project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85949" cy="7450047"/>
                    </a:xfrm>
                    <a:prstGeom prst="rect">
                      <a:avLst/>
                    </a:prstGeom>
                    <a:noFill/>
                  </pic:spPr>
                </pic:pic>
              </a:graphicData>
            </a:graphic>
          </wp:inline>
        </w:drawing>
      </w:r>
    </w:p>
    <w:p w14:paraId="706FC641" w14:textId="4A274D0C" w:rsidR="003B22C6" w:rsidRPr="008C64A6" w:rsidRDefault="00691536" w:rsidP="00691536">
      <w:pPr>
        <w:pStyle w:val="Caption"/>
      </w:pPr>
      <w:bookmarkStart w:id="87" w:name="_Ref44417428"/>
      <w:bookmarkStart w:id="88" w:name="_Toc162948238"/>
      <w:r w:rsidRPr="008C64A6">
        <w:t xml:space="preserve">Figure </w:t>
      </w:r>
      <w:r w:rsidR="00EC7614" w:rsidRPr="008C64A6">
        <w:rPr>
          <w:noProof/>
        </w:rPr>
        <w:fldChar w:fldCharType="begin"/>
      </w:r>
      <w:r w:rsidR="00EC7614" w:rsidRPr="008C64A6">
        <w:rPr>
          <w:noProof/>
        </w:rPr>
        <w:instrText xml:space="preserve"> SEQ Figure \* ARABIC </w:instrText>
      </w:r>
      <w:r w:rsidR="00EC7614" w:rsidRPr="008C64A6">
        <w:rPr>
          <w:noProof/>
        </w:rPr>
        <w:fldChar w:fldCharType="separate"/>
      </w:r>
      <w:r w:rsidR="004A78BF">
        <w:rPr>
          <w:noProof/>
        </w:rPr>
        <w:t>20</w:t>
      </w:r>
      <w:r w:rsidR="00EC7614" w:rsidRPr="008C64A6">
        <w:rPr>
          <w:noProof/>
        </w:rPr>
        <w:fldChar w:fldCharType="end"/>
      </w:r>
      <w:bookmarkEnd w:id="87"/>
      <w:r w:rsidRPr="008C64A6">
        <w:t xml:space="preserve">. pH </w:t>
      </w:r>
      <w:r w:rsidR="007F6F3F" w:rsidRPr="008C64A6">
        <w:t xml:space="preserve">over time </w:t>
      </w:r>
      <w:r w:rsidRPr="008C64A6">
        <w:t xml:space="preserve">in </w:t>
      </w:r>
      <w:r w:rsidR="00CF7296">
        <w:t>Roanoke River Project streams</w:t>
      </w:r>
      <w:r w:rsidRPr="008C64A6">
        <w:t xml:space="preserve">. The red line represents the </w:t>
      </w:r>
      <w:r w:rsidR="00F65557">
        <w:t xml:space="preserve">relevant </w:t>
      </w:r>
      <w:r w:rsidRPr="008C64A6">
        <w:t>Virginia water quality standard. Colors represent the probability that data within that range would be responsible for causing stress.</w:t>
      </w:r>
      <w:bookmarkEnd w:id="88"/>
    </w:p>
    <w:p w14:paraId="58BDEAA3" w14:textId="4E561866" w:rsidR="003B22C6" w:rsidRDefault="003B22C6" w:rsidP="00C80905">
      <w:pPr>
        <w:spacing w:before="120" w:after="120" w:line="360" w:lineRule="auto"/>
      </w:pPr>
    </w:p>
    <w:p w14:paraId="486E86A1" w14:textId="77777777" w:rsidR="00037774" w:rsidRDefault="007E43BD" w:rsidP="00037774">
      <w:pPr>
        <w:keepNext/>
        <w:spacing w:before="120" w:after="120" w:line="360" w:lineRule="auto"/>
      </w:pPr>
      <w:r>
        <w:rPr>
          <w:noProof/>
        </w:rPr>
        <w:drawing>
          <wp:inline distT="0" distB="0" distL="0" distR="0" wp14:anchorId="0DB1625F" wp14:editId="7EAF2695">
            <wp:extent cx="4102100" cy="4977215"/>
            <wp:effectExtent l="0" t="0" r="0" b="0"/>
            <wp:docPr id="41" name="Picture 41" descr="Continuous pH monitoring by the USGS in Tinker Creek and the Roanoke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09760" cy="4986509"/>
                    </a:xfrm>
                    <a:prstGeom prst="rect">
                      <a:avLst/>
                    </a:prstGeom>
                    <a:noFill/>
                  </pic:spPr>
                </pic:pic>
              </a:graphicData>
            </a:graphic>
          </wp:inline>
        </w:drawing>
      </w:r>
    </w:p>
    <w:p w14:paraId="57F2D01A" w14:textId="60AE5746" w:rsidR="007E43BD" w:rsidRDefault="00037774" w:rsidP="00037774">
      <w:pPr>
        <w:pStyle w:val="Caption"/>
      </w:pPr>
      <w:bookmarkStart w:id="89" w:name="_Ref137636296"/>
      <w:bookmarkStart w:id="90" w:name="_Toc162948239"/>
      <w:r>
        <w:t xml:space="preserve">Figure </w:t>
      </w:r>
      <w:r w:rsidR="008C06B8">
        <w:rPr>
          <w:noProof/>
        </w:rPr>
        <w:fldChar w:fldCharType="begin"/>
      </w:r>
      <w:r w:rsidR="008C06B8">
        <w:rPr>
          <w:noProof/>
        </w:rPr>
        <w:instrText xml:space="preserve"> SEQ Figure \* ARABIC </w:instrText>
      </w:r>
      <w:r w:rsidR="008C06B8">
        <w:rPr>
          <w:noProof/>
        </w:rPr>
        <w:fldChar w:fldCharType="separate"/>
      </w:r>
      <w:r w:rsidR="004A78BF">
        <w:rPr>
          <w:noProof/>
        </w:rPr>
        <w:t>21</w:t>
      </w:r>
      <w:r w:rsidR="008C06B8">
        <w:rPr>
          <w:noProof/>
        </w:rPr>
        <w:fldChar w:fldCharType="end"/>
      </w:r>
      <w:bookmarkEnd w:id="89"/>
      <w:r>
        <w:t>. Continuous pH monitoring by the USGS in Tinker Creek and the Roanoke River</w:t>
      </w:r>
      <w:r w:rsidRPr="00DB51D6">
        <w:t xml:space="preserve">. The red line represents the </w:t>
      </w:r>
      <w:r>
        <w:t xml:space="preserve">relevant </w:t>
      </w:r>
      <w:r w:rsidRPr="00DB51D6">
        <w:t>Virginia water quality standard.</w:t>
      </w:r>
      <w:r w:rsidRPr="004C3A79">
        <w:t xml:space="preserve"> </w:t>
      </w:r>
      <w:r w:rsidRPr="00DF5F92">
        <w:t>Colors represent the probability that data within that range would be responsible for causing stress</w:t>
      </w:r>
      <w:r>
        <w:t>.</w:t>
      </w:r>
      <w:bookmarkEnd w:id="90"/>
    </w:p>
    <w:p w14:paraId="715CEB6B" w14:textId="77777777" w:rsidR="007E43BD" w:rsidRPr="008C64A6" w:rsidRDefault="007E43BD" w:rsidP="00F35736">
      <w:pPr>
        <w:spacing w:line="240" w:lineRule="auto"/>
      </w:pPr>
    </w:p>
    <w:p w14:paraId="1ABDAF33" w14:textId="578D5E27" w:rsidR="00BA50C9" w:rsidRPr="00C80DCF" w:rsidRDefault="00BA50C9" w:rsidP="00BA50C9">
      <w:pPr>
        <w:pStyle w:val="Heading3"/>
      </w:pPr>
      <w:bookmarkStart w:id="91" w:name="_Toc162948165"/>
      <w:r w:rsidRPr="00C80DCF">
        <w:t>Dissolved Oxygen</w:t>
      </w:r>
      <w:bookmarkEnd w:id="91"/>
    </w:p>
    <w:p w14:paraId="4FE9DDD6" w14:textId="3242272D" w:rsidR="003074D3" w:rsidRPr="0066638B" w:rsidRDefault="00B50BC9" w:rsidP="00174049">
      <w:pPr>
        <w:pStyle w:val="BlockText"/>
      </w:pPr>
      <w:r w:rsidRPr="00C80DCF">
        <w:t xml:space="preserve">VDEQ measures dissolved oxygen (DO) when collecting benthic or water quality samples, so periodic DO data are available from 2000 to present </w:t>
      </w:r>
      <w:r w:rsidR="00FD304E" w:rsidRPr="00C80DCF">
        <w:t xml:space="preserve">in each of the impaired </w:t>
      </w:r>
      <w:r w:rsidR="00257110">
        <w:t>streams and reference</w:t>
      </w:r>
      <w:r w:rsidR="00661602">
        <w:t xml:space="preserve"> stations</w:t>
      </w:r>
      <w:r w:rsidR="00257110">
        <w:t xml:space="preserve"> </w:t>
      </w:r>
      <w:r w:rsidRPr="00C80DCF">
        <w:t>(</w:t>
      </w:r>
      <w:r w:rsidRPr="00C80DCF">
        <w:fldChar w:fldCharType="begin"/>
      </w:r>
      <w:r w:rsidRPr="00C80DCF">
        <w:instrText xml:space="preserve"> REF _Ref44589522 \h </w:instrText>
      </w:r>
      <w:r w:rsidR="00867C44" w:rsidRPr="00C80DCF">
        <w:instrText xml:space="preserve"> \* MERGEFORMAT </w:instrText>
      </w:r>
      <w:r w:rsidRPr="00C80DCF">
        <w:fldChar w:fldCharType="separate"/>
      </w:r>
      <w:r w:rsidR="004A78BF" w:rsidRPr="00A978EF">
        <w:t xml:space="preserve">Figure </w:t>
      </w:r>
      <w:r w:rsidR="004A78BF">
        <w:rPr>
          <w:noProof/>
        </w:rPr>
        <w:t>22</w:t>
      </w:r>
      <w:r w:rsidRPr="00C80DCF">
        <w:fldChar w:fldCharType="end"/>
      </w:r>
      <w:r w:rsidRPr="00C80DCF">
        <w:t>)</w:t>
      </w:r>
      <w:r w:rsidR="00257110">
        <w:t>. D</w:t>
      </w:r>
      <w:r w:rsidR="00174049" w:rsidRPr="00C80DCF">
        <w:t xml:space="preserve">issolved oxygen </w:t>
      </w:r>
      <w:r w:rsidR="00257110">
        <w:t>averaged 10.</w:t>
      </w:r>
      <w:r w:rsidR="00F04F69">
        <w:t>6</w:t>
      </w:r>
      <w:r w:rsidR="00257110">
        <w:t xml:space="preserve"> mg/L in </w:t>
      </w:r>
      <w:r w:rsidR="00F04F69">
        <w:t>Wolf Creek, 10.5</w:t>
      </w:r>
      <w:r w:rsidR="00257110">
        <w:t xml:space="preserve"> mg/L in </w:t>
      </w:r>
      <w:r w:rsidR="00F04F69">
        <w:t>Tinker Creek,</w:t>
      </w:r>
      <w:r w:rsidR="00257110" w:rsidRPr="0066638B">
        <w:t xml:space="preserve"> and </w:t>
      </w:r>
      <w:r w:rsidR="00F04F69">
        <w:t xml:space="preserve">from 10.0 to 10.2 </w:t>
      </w:r>
      <w:r w:rsidR="00257110" w:rsidRPr="0066638B">
        <w:t xml:space="preserve">mg/L in </w:t>
      </w:r>
      <w:r w:rsidR="00F04F69">
        <w:t>impaired Roanoke River stations. No stations differed significantly from the relevant reference.</w:t>
      </w:r>
      <w:r w:rsidR="00011B78" w:rsidRPr="0066638B">
        <w:t xml:space="preserve"> </w:t>
      </w:r>
      <w:r w:rsidR="00F04F69">
        <w:t>M</w:t>
      </w:r>
      <w:r w:rsidR="00B97C41" w:rsidRPr="0066638B">
        <w:t>edian</w:t>
      </w:r>
      <w:r w:rsidR="003074D3" w:rsidRPr="0066638B">
        <w:t xml:space="preserve"> </w:t>
      </w:r>
      <w:r w:rsidR="00B97C41" w:rsidRPr="0066638B">
        <w:t xml:space="preserve">DO </w:t>
      </w:r>
      <w:r w:rsidR="003074D3" w:rsidRPr="0066638B">
        <w:t xml:space="preserve">values were in the </w:t>
      </w:r>
      <w:r w:rsidR="00F04F69">
        <w:t xml:space="preserve">no to </w:t>
      </w:r>
      <w:r w:rsidR="00B97C41" w:rsidRPr="0066638B">
        <w:t xml:space="preserve">low </w:t>
      </w:r>
      <w:r w:rsidR="003074D3" w:rsidRPr="0066638B">
        <w:t xml:space="preserve">probability range for </w:t>
      </w:r>
      <w:r w:rsidR="003F3C32" w:rsidRPr="0066638B">
        <w:t>stressor effects</w:t>
      </w:r>
      <w:r w:rsidR="003074D3" w:rsidRPr="0066638B">
        <w:t xml:space="preserve"> in </w:t>
      </w:r>
      <w:r w:rsidR="00F04F69">
        <w:t xml:space="preserve">all three impaired </w:t>
      </w:r>
      <w:r w:rsidR="0066638B" w:rsidRPr="0066638B">
        <w:t xml:space="preserve">streams. </w:t>
      </w:r>
    </w:p>
    <w:p w14:paraId="73B1C2B3" w14:textId="45E53171" w:rsidR="002B6F94" w:rsidRDefault="00CF7159" w:rsidP="00CF7159">
      <w:pPr>
        <w:pStyle w:val="BlockText"/>
      </w:pPr>
      <w:r w:rsidRPr="0086044D">
        <w:fldChar w:fldCharType="begin"/>
      </w:r>
      <w:r w:rsidRPr="0086044D">
        <w:instrText xml:space="preserve"> REF _Ref44662080 \h  \* MERGEFORMAT </w:instrText>
      </w:r>
      <w:r w:rsidRPr="0086044D">
        <w:fldChar w:fldCharType="separate"/>
      </w:r>
      <w:r w:rsidR="004A78BF" w:rsidRPr="00C80DCF">
        <w:t xml:space="preserve">Figure </w:t>
      </w:r>
      <w:r w:rsidR="004A78BF">
        <w:rPr>
          <w:noProof/>
        </w:rPr>
        <w:t>23</w:t>
      </w:r>
      <w:r w:rsidRPr="0086044D">
        <w:fldChar w:fldCharType="end"/>
      </w:r>
      <w:r w:rsidRPr="0086044D">
        <w:t xml:space="preserve"> shows the time series of DO concentrations in each impaired stream. </w:t>
      </w:r>
      <w:r w:rsidR="008C2BD1">
        <w:t>In Wolf Creek and Tinker Creek</w:t>
      </w:r>
      <w:r w:rsidR="00F075F1">
        <w:t xml:space="preserve">, there were no </w:t>
      </w:r>
      <w:r w:rsidR="00BD6426">
        <w:t xml:space="preserve">DO excursions </w:t>
      </w:r>
      <w:r w:rsidRPr="0086044D">
        <w:t>into the high probability range for stressor effects</w:t>
      </w:r>
      <w:r w:rsidR="00F075F1">
        <w:t xml:space="preserve"> and no DO values were below </w:t>
      </w:r>
      <w:r w:rsidR="00F075F1" w:rsidRPr="00DF5F92">
        <w:t>the average water quality standard of 5 mg/L</w:t>
      </w:r>
      <w:r w:rsidR="00F075F1">
        <w:t xml:space="preserve">. In the Roanoke River, 2% of </w:t>
      </w:r>
      <w:r w:rsidR="00BD6426">
        <w:t>DO value</w:t>
      </w:r>
      <w:r w:rsidR="00BD6426" w:rsidRPr="00DF5F92">
        <w:t>s were in the high probability range</w:t>
      </w:r>
      <w:r w:rsidR="00F075F1">
        <w:t>, but no DO values</w:t>
      </w:r>
      <w:r w:rsidR="00F075F1" w:rsidRPr="00F075F1">
        <w:t xml:space="preserve"> </w:t>
      </w:r>
      <w:r w:rsidR="00F075F1">
        <w:t xml:space="preserve">were below </w:t>
      </w:r>
      <w:r w:rsidR="00F075F1" w:rsidRPr="00DF5F92">
        <w:t>the average water quality standard</w:t>
      </w:r>
      <w:r w:rsidR="000E12CE">
        <w:t xml:space="preserve"> (5 mg/L)</w:t>
      </w:r>
      <w:r w:rsidR="00BD6426" w:rsidRPr="00DF5F92">
        <w:t xml:space="preserve">. The minimum DO in </w:t>
      </w:r>
      <w:r w:rsidR="00F075F1">
        <w:t xml:space="preserve">the Roanoke River was 5.43 mg/L recorded on 8/27/2002 at station 4AROA202.20. </w:t>
      </w:r>
    </w:p>
    <w:p w14:paraId="3D42D8D1" w14:textId="4DDD0E54" w:rsidR="004C3A79" w:rsidRDefault="004C3A79" w:rsidP="004C3A79">
      <w:pPr>
        <w:pStyle w:val="BlockText"/>
      </w:pPr>
      <w:r w:rsidRPr="00FD0B76">
        <w:t xml:space="preserve">In addition to periodic </w:t>
      </w:r>
      <w:r>
        <w:t>DO</w:t>
      </w:r>
      <w:r w:rsidRPr="00FD0B76">
        <w:t xml:space="preserve"> measurements, </w:t>
      </w:r>
      <w:r>
        <w:t>the USGS operates a continuous gage and monitoring station that measures DO on Tinker Creek and on the Roanoke River. The Tinker Creek gage (205551614) is located above Glade Creek and upstream of VDEQ station 4ATKR000.69. The Roanoke River gage (2055080) is located at the 13</w:t>
      </w:r>
      <w:r w:rsidRPr="00C42053">
        <w:rPr>
          <w:vertAlign w:val="superscript"/>
        </w:rPr>
        <w:t>th</w:t>
      </w:r>
      <w:r>
        <w:t xml:space="preserve"> Street bridge and co-located with VDEQ station 4AROA202.20. </w:t>
      </w:r>
      <w:r>
        <w:fldChar w:fldCharType="begin"/>
      </w:r>
      <w:r>
        <w:instrText xml:space="preserve"> REF _Ref137462420 \h </w:instrText>
      </w:r>
      <w:r>
        <w:fldChar w:fldCharType="separate"/>
      </w:r>
      <w:r w:rsidR="004A78BF" w:rsidRPr="00DB51D6">
        <w:t xml:space="preserve">Figure </w:t>
      </w:r>
      <w:r w:rsidR="004A78BF">
        <w:rPr>
          <w:noProof/>
        </w:rPr>
        <w:t>24</w:t>
      </w:r>
      <w:r>
        <w:fldChar w:fldCharType="end"/>
      </w:r>
      <w:r>
        <w:t xml:space="preserve"> shows 15-minute DO data collected from these two stations since September 2019. In both streams, DO remained above the instantaneous (4 mg/L) and the average water quality standard (5 mg/L) for the duration of the 3-year monitoring period. Minimum nighttime DO was 5.1 mg/L in Tinker Creek and 5.7 mg/L in the Roanoke River. </w:t>
      </w:r>
    </w:p>
    <w:p w14:paraId="763F0705" w14:textId="655FF494" w:rsidR="0024570B" w:rsidRPr="00B639C4" w:rsidRDefault="00E87A34" w:rsidP="0024570B">
      <w:pPr>
        <w:pStyle w:val="BlockText"/>
        <w:keepNext/>
      </w:pPr>
      <w:r>
        <w:t xml:space="preserve">In the late summer of 2021 and 2022, </w:t>
      </w:r>
      <w:r w:rsidR="0024570B" w:rsidRPr="00DF5F92">
        <w:t xml:space="preserve">VDEQ </w:t>
      </w:r>
      <w:r>
        <w:t xml:space="preserve">also </w:t>
      </w:r>
      <w:r w:rsidR="0024570B" w:rsidRPr="00DF5F92">
        <w:t xml:space="preserve">collected diurnal dissolved oxygen data at </w:t>
      </w:r>
      <w:r>
        <w:t>Tinker Creek station 4ATKR000.06 and Roanoke River station 4AROA198.08</w:t>
      </w:r>
      <w:r w:rsidR="0024570B" w:rsidRPr="00DF5F92">
        <w:t xml:space="preserve">. Diurnal data were collected at 15-minute intervals for </w:t>
      </w:r>
      <w:r>
        <w:t>5</w:t>
      </w:r>
      <w:r w:rsidR="00DF1AB9" w:rsidRPr="00DF5F92">
        <w:t xml:space="preserve"> to 1</w:t>
      </w:r>
      <w:r>
        <w:t>2</w:t>
      </w:r>
      <w:r w:rsidR="00DF1AB9" w:rsidRPr="00DF5F92">
        <w:t xml:space="preserve"> days </w:t>
      </w:r>
      <w:r w:rsidR="0024570B" w:rsidRPr="00DF5F92">
        <w:t xml:space="preserve">at each </w:t>
      </w:r>
      <w:r w:rsidR="00DF1AB9" w:rsidRPr="00DF5F92">
        <w:t>location</w:t>
      </w:r>
      <w:r w:rsidR="0024570B" w:rsidRPr="00DF5F92">
        <w:t>. Diurnal monitoring of dissolved oxygen is impo</w:t>
      </w:r>
      <w:r w:rsidR="0024570B" w:rsidRPr="00B639C4">
        <w:t xml:space="preserve">rtant, because critical dissolved oxygen levels are typically encountered just before sunrise.  This is due to the combination of oxygen consumption from respiration and the absence of oxygen production from photosynthesis during the night. Diurnal monitoring was conducted in </w:t>
      </w:r>
      <w:r w:rsidR="002836D9" w:rsidRPr="00B639C4">
        <w:t>August</w:t>
      </w:r>
      <w:r w:rsidR="0024570B" w:rsidRPr="00B639C4">
        <w:t xml:space="preserve"> through early September, because critical dissolved oxygen levels are more common during the hot and dry summer months.  </w:t>
      </w:r>
    </w:p>
    <w:p w14:paraId="075744C7" w14:textId="20DA73A5" w:rsidR="00CB2B47" w:rsidRPr="00B639C4" w:rsidRDefault="0024570B" w:rsidP="0024570B">
      <w:pPr>
        <w:pStyle w:val="BlockText"/>
      </w:pPr>
      <w:r w:rsidRPr="00B639C4">
        <w:t xml:space="preserve">Dissolved oxygen data </w:t>
      </w:r>
      <w:r w:rsidR="002E598A">
        <w:t xml:space="preserve">collected by VDEQ during </w:t>
      </w:r>
      <w:r w:rsidRPr="00B639C4">
        <w:t xml:space="preserve">diurnal deployments are </w:t>
      </w:r>
      <w:r w:rsidR="002E598A" w:rsidRPr="00B639C4">
        <w:t xml:space="preserve">expressed as percent saturation </w:t>
      </w:r>
      <w:r w:rsidRPr="00B639C4">
        <w:t xml:space="preserve">in </w:t>
      </w:r>
      <w:r w:rsidRPr="00B639C4">
        <w:fldChar w:fldCharType="begin"/>
      </w:r>
      <w:r w:rsidRPr="00B639C4">
        <w:instrText xml:space="preserve"> REF _Ref84251753 \h </w:instrText>
      </w:r>
      <w:r w:rsidR="007A0C83" w:rsidRPr="00B639C4">
        <w:instrText xml:space="preserve"> \* MERGEFORMAT </w:instrText>
      </w:r>
      <w:r w:rsidRPr="00B639C4">
        <w:fldChar w:fldCharType="separate"/>
      </w:r>
      <w:r w:rsidR="004A78BF" w:rsidRPr="00DF5F92">
        <w:t xml:space="preserve">Figure </w:t>
      </w:r>
      <w:r w:rsidR="004A78BF">
        <w:rPr>
          <w:noProof/>
        </w:rPr>
        <w:t>25</w:t>
      </w:r>
      <w:r w:rsidRPr="00B639C4">
        <w:fldChar w:fldCharType="end"/>
      </w:r>
      <w:r w:rsidRPr="00B639C4">
        <w:t xml:space="preserve">. </w:t>
      </w:r>
      <w:r w:rsidR="00E87A34" w:rsidRPr="00B639C4">
        <w:t xml:space="preserve">This method of analysis allows the observed DO to be compared with the anticipated DO if the stream were at full DO saturation. Values above 100% mean that the stream is super-saturated with DO, and values below 100% show that oxygen is depleted to varying degrees. Large swings in DO during a day indicate that nutrient enrichment may be driving high levels of photosynthesis by algae during the day and oxygen consumption at night. </w:t>
      </w:r>
      <w:r w:rsidR="002E598A">
        <w:t xml:space="preserve">Both streams </w:t>
      </w:r>
      <w:r w:rsidR="002E598A" w:rsidRPr="00B639C4">
        <w:t xml:space="preserve">exhibited </w:t>
      </w:r>
      <w:r w:rsidR="002E598A">
        <w:t>a</w:t>
      </w:r>
      <w:r w:rsidR="002E598A" w:rsidRPr="00B639C4">
        <w:t xml:space="preserve"> natural cycle of increas</w:t>
      </w:r>
      <w:r w:rsidR="002E598A">
        <w:t>ing DO</w:t>
      </w:r>
      <w:r w:rsidR="002E598A" w:rsidRPr="00B639C4">
        <w:t xml:space="preserve"> during the day while plants are photosynthesizing and decreas</w:t>
      </w:r>
      <w:r w:rsidR="002E598A">
        <w:t>ing DO</w:t>
      </w:r>
      <w:r w:rsidR="002E598A" w:rsidRPr="00B639C4">
        <w:t xml:space="preserve"> at night wh</w:t>
      </w:r>
      <w:r w:rsidR="002E598A">
        <w:t>en</w:t>
      </w:r>
      <w:r w:rsidR="002E598A" w:rsidRPr="00B639C4">
        <w:t xml:space="preserve"> respiration dominates. </w:t>
      </w:r>
      <w:r w:rsidR="00E87A34" w:rsidRPr="00B639C4">
        <w:t xml:space="preserve">Neither of the streams exhibited large swings </w:t>
      </w:r>
      <w:r w:rsidR="002E598A">
        <w:t>in</w:t>
      </w:r>
      <w:r w:rsidR="00E87A34" w:rsidRPr="00B639C4">
        <w:t xml:space="preserve"> DO indicative of nutrient enrichment and excess algal growth</w:t>
      </w:r>
      <w:r w:rsidR="002E598A">
        <w:t xml:space="preserve">. </w:t>
      </w:r>
      <w:r w:rsidR="00E87A34" w:rsidRPr="00B639C4">
        <w:t xml:space="preserve">In </w:t>
      </w:r>
      <w:r w:rsidR="002E598A">
        <w:t xml:space="preserve">both streams, DO saturation was primarily constrained between 80% and 120%. </w:t>
      </w:r>
      <w:r w:rsidR="004B7662">
        <w:t xml:space="preserve">In cases of nutrient enrichment, DO fluctuations often approach or exceed the 60% to 140% range. </w:t>
      </w:r>
    </w:p>
    <w:p w14:paraId="327DAF5F" w14:textId="125EFB29" w:rsidR="00BA50C9" w:rsidRPr="007A0C83" w:rsidRDefault="00174049" w:rsidP="004B7662">
      <w:pPr>
        <w:pStyle w:val="BlockText"/>
        <w:keepNext/>
        <w:rPr>
          <w:highlight w:val="yellow"/>
        </w:rPr>
      </w:pPr>
      <w:r w:rsidRPr="00B639C4">
        <w:t xml:space="preserve">In summary, dissolved oxygen </w:t>
      </w:r>
      <w:r w:rsidR="00A06A64" w:rsidRPr="00B639C4">
        <w:t xml:space="preserve">is </w:t>
      </w:r>
      <w:r w:rsidR="00CF7159" w:rsidRPr="00B639C4">
        <w:t xml:space="preserve">not likely a stressor in </w:t>
      </w:r>
      <w:r w:rsidR="004B7662">
        <w:t xml:space="preserve">any of the Roanoke River Project streams. Dissolved oxygen at impaired stations was not significantly different from reference stations. Median DO in each stream was in the no to low probability range for stressor effects. Minimum DO values were also above the average water quality standard of 5 mg/L, even in continuous diurnal monitoring. Dissolved oxygen patterns in these streams also do not point towards nutrient enrichment to the point where DO is artificially suppressed. </w:t>
      </w:r>
    </w:p>
    <w:p w14:paraId="2575F585" w14:textId="67A124D9" w:rsidR="00E350D5" w:rsidRPr="00A978EF" w:rsidRDefault="00514DCC" w:rsidP="00E350D5">
      <w:pPr>
        <w:keepNext/>
        <w:spacing w:before="120" w:after="120" w:line="360" w:lineRule="auto"/>
      </w:pPr>
      <w:r>
        <w:rPr>
          <w:noProof/>
        </w:rPr>
        <w:drawing>
          <wp:inline distT="0" distB="0" distL="0" distR="0" wp14:anchorId="61C214AD" wp14:editId="3C7CFDE0">
            <wp:extent cx="4579620" cy="3215640"/>
            <wp:effectExtent l="0" t="0" r="0" b="3810"/>
            <wp:docPr id="2" name="Picture 2" descr="Dissolved oxygen in Roanoke River Project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9620" cy="3215640"/>
                    </a:xfrm>
                    <a:prstGeom prst="rect">
                      <a:avLst/>
                    </a:prstGeom>
                    <a:noFill/>
                  </pic:spPr>
                </pic:pic>
              </a:graphicData>
            </a:graphic>
          </wp:inline>
        </w:drawing>
      </w:r>
    </w:p>
    <w:p w14:paraId="7B0F93D7" w14:textId="6882DA25" w:rsidR="001A3005" w:rsidRPr="00A978EF" w:rsidRDefault="00E350D5" w:rsidP="00C80DCF">
      <w:pPr>
        <w:pStyle w:val="Caption"/>
        <w:keepNext w:val="0"/>
        <w:widowControl w:val="0"/>
      </w:pPr>
      <w:bookmarkStart w:id="92" w:name="_Ref44589522"/>
      <w:bookmarkStart w:id="93" w:name="_Toc162948240"/>
      <w:r w:rsidRPr="00A978EF">
        <w:t xml:space="preserve">Figure </w:t>
      </w:r>
      <w:r w:rsidR="00EC7614" w:rsidRPr="00A978EF">
        <w:rPr>
          <w:noProof/>
        </w:rPr>
        <w:fldChar w:fldCharType="begin"/>
      </w:r>
      <w:r w:rsidR="00EC7614" w:rsidRPr="00A978EF">
        <w:rPr>
          <w:noProof/>
        </w:rPr>
        <w:instrText xml:space="preserve"> SEQ Figure \* ARABIC </w:instrText>
      </w:r>
      <w:r w:rsidR="00EC7614" w:rsidRPr="00A978EF">
        <w:rPr>
          <w:noProof/>
        </w:rPr>
        <w:fldChar w:fldCharType="separate"/>
      </w:r>
      <w:r w:rsidR="004A78BF">
        <w:rPr>
          <w:noProof/>
        </w:rPr>
        <w:t>22</w:t>
      </w:r>
      <w:r w:rsidR="00EC7614" w:rsidRPr="00A978EF">
        <w:rPr>
          <w:noProof/>
        </w:rPr>
        <w:fldChar w:fldCharType="end"/>
      </w:r>
      <w:bookmarkEnd w:id="92"/>
      <w:r w:rsidRPr="00A978EF">
        <w:t>. Dissolved oxygen in</w:t>
      </w:r>
      <w:r w:rsidR="001A3005" w:rsidRPr="00A978EF">
        <w:t xml:space="preserve"> </w:t>
      </w:r>
      <w:r w:rsidR="00514DCC">
        <w:t>Roanoke River Project streams</w:t>
      </w:r>
      <w:r w:rsidR="001A3005" w:rsidRPr="00A978EF">
        <w:t>. Boxes represent the inter-quartile range, whiskers represent minimum and maximum values excluding outliers, lines represent the median, and the X represent</w:t>
      </w:r>
      <w:r w:rsidR="00347535">
        <w:t>s</w:t>
      </w:r>
      <w:r w:rsidR="001A3005" w:rsidRPr="00A978EF">
        <w:t xml:space="preserve"> the mean. Dots represent outliers that are greater than 1.5 times the inter-quartile range away from the mean. The red line</w:t>
      </w:r>
      <w:r w:rsidR="00F3168D" w:rsidRPr="00A978EF">
        <w:t xml:space="preserve"> </w:t>
      </w:r>
      <w:r w:rsidR="001A3005" w:rsidRPr="00A978EF">
        <w:t>represents the Virginia water quality standard. Colors represent the probability that data within that range would be responsible for causing stress.</w:t>
      </w:r>
      <w:bookmarkEnd w:id="93"/>
    </w:p>
    <w:p w14:paraId="017C84F9" w14:textId="7387CC48" w:rsidR="00A978EF" w:rsidRPr="00C80DCF" w:rsidRDefault="00F04F69" w:rsidP="00D003D0">
      <w:pPr>
        <w:keepNext/>
        <w:spacing w:before="120" w:after="120" w:line="360" w:lineRule="auto"/>
      </w:pPr>
      <w:r>
        <w:rPr>
          <w:noProof/>
        </w:rPr>
        <w:drawing>
          <wp:inline distT="0" distB="0" distL="0" distR="0" wp14:anchorId="31C97F74" wp14:editId="74F567DF">
            <wp:extent cx="4102100" cy="7363270"/>
            <wp:effectExtent l="0" t="0" r="0" b="9525"/>
            <wp:docPr id="3" name="Picture 3" descr="Dissolved oxygen over time in Roanoke River Project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12505" cy="7381946"/>
                    </a:xfrm>
                    <a:prstGeom prst="rect">
                      <a:avLst/>
                    </a:prstGeom>
                    <a:noFill/>
                  </pic:spPr>
                </pic:pic>
              </a:graphicData>
            </a:graphic>
          </wp:inline>
        </w:drawing>
      </w:r>
    </w:p>
    <w:p w14:paraId="327132AF" w14:textId="281C0C00" w:rsidR="00272087" w:rsidRDefault="00D003D0" w:rsidP="00D003D0">
      <w:pPr>
        <w:pStyle w:val="Caption"/>
      </w:pPr>
      <w:bookmarkStart w:id="94" w:name="_Ref44662080"/>
      <w:bookmarkStart w:id="95" w:name="_Toc162948241"/>
      <w:r w:rsidRPr="00C80DCF">
        <w:t xml:space="preserve">Figure </w:t>
      </w:r>
      <w:r w:rsidR="00EC7614" w:rsidRPr="00C80DCF">
        <w:rPr>
          <w:noProof/>
        </w:rPr>
        <w:fldChar w:fldCharType="begin"/>
      </w:r>
      <w:r w:rsidR="00EC7614" w:rsidRPr="00C80DCF">
        <w:rPr>
          <w:noProof/>
        </w:rPr>
        <w:instrText xml:space="preserve"> SEQ Figure \* ARABIC </w:instrText>
      </w:r>
      <w:r w:rsidR="00EC7614" w:rsidRPr="00C80DCF">
        <w:rPr>
          <w:noProof/>
        </w:rPr>
        <w:fldChar w:fldCharType="separate"/>
      </w:r>
      <w:r w:rsidR="004A78BF">
        <w:rPr>
          <w:noProof/>
        </w:rPr>
        <w:t>23</w:t>
      </w:r>
      <w:r w:rsidR="00EC7614" w:rsidRPr="00C80DCF">
        <w:rPr>
          <w:noProof/>
        </w:rPr>
        <w:fldChar w:fldCharType="end"/>
      </w:r>
      <w:bookmarkEnd w:id="94"/>
      <w:r w:rsidRPr="00C80DCF">
        <w:t xml:space="preserve">. Dissolved oxygen over time in </w:t>
      </w:r>
      <w:r w:rsidR="00F04F69">
        <w:t>Roanoke River Project streams</w:t>
      </w:r>
      <w:r w:rsidRPr="00C80DCF">
        <w:t>. The red line represents the Virginia water quality standard. Colors represent the probability that data within that range would be responsible for causing stress.</w:t>
      </w:r>
      <w:bookmarkEnd w:id="95"/>
    </w:p>
    <w:p w14:paraId="3B179F5D" w14:textId="1449885B" w:rsidR="00756251" w:rsidRDefault="00756251" w:rsidP="00756251"/>
    <w:p w14:paraId="0E1882BC" w14:textId="6F8BF64A" w:rsidR="00756251" w:rsidRPr="00DB51D6" w:rsidRDefault="004C3A79" w:rsidP="00756251">
      <w:pPr>
        <w:keepNext/>
        <w:spacing w:before="120" w:after="120" w:line="360" w:lineRule="auto"/>
      </w:pPr>
      <w:r>
        <w:rPr>
          <w:noProof/>
        </w:rPr>
        <w:drawing>
          <wp:inline distT="0" distB="0" distL="0" distR="0" wp14:anchorId="1BF3F017" wp14:editId="30767F23">
            <wp:extent cx="4114800" cy="4959742"/>
            <wp:effectExtent l="0" t="0" r="0" b="0"/>
            <wp:docPr id="20" name="Picture 20" descr="Continuous dissolved oxygen monitoring by the USGS in Tinker Creek and the Roanoke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20696" cy="4966849"/>
                    </a:xfrm>
                    <a:prstGeom prst="rect">
                      <a:avLst/>
                    </a:prstGeom>
                    <a:noFill/>
                  </pic:spPr>
                </pic:pic>
              </a:graphicData>
            </a:graphic>
          </wp:inline>
        </w:drawing>
      </w:r>
    </w:p>
    <w:p w14:paraId="5D5C1F2A" w14:textId="4E299F60" w:rsidR="00756251" w:rsidRDefault="00756251" w:rsidP="00756251">
      <w:pPr>
        <w:pStyle w:val="Caption"/>
      </w:pPr>
      <w:bookmarkStart w:id="96" w:name="_Ref137462420"/>
      <w:bookmarkStart w:id="97" w:name="_Toc162948242"/>
      <w:r w:rsidRPr="00DB51D6">
        <w:t xml:space="preserve">Figure </w:t>
      </w:r>
      <w:r w:rsidRPr="00DB51D6">
        <w:rPr>
          <w:noProof/>
        </w:rPr>
        <w:fldChar w:fldCharType="begin"/>
      </w:r>
      <w:r w:rsidRPr="00DB51D6">
        <w:rPr>
          <w:noProof/>
        </w:rPr>
        <w:instrText xml:space="preserve"> SEQ Figure \* ARABIC </w:instrText>
      </w:r>
      <w:r w:rsidRPr="00DB51D6">
        <w:rPr>
          <w:noProof/>
        </w:rPr>
        <w:fldChar w:fldCharType="separate"/>
      </w:r>
      <w:r w:rsidR="004A78BF">
        <w:rPr>
          <w:noProof/>
        </w:rPr>
        <w:t>24</w:t>
      </w:r>
      <w:r w:rsidRPr="00DB51D6">
        <w:rPr>
          <w:noProof/>
        </w:rPr>
        <w:fldChar w:fldCharType="end"/>
      </w:r>
      <w:bookmarkEnd w:id="96"/>
      <w:r w:rsidRPr="00DB51D6">
        <w:t xml:space="preserve">. </w:t>
      </w:r>
      <w:r>
        <w:t xml:space="preserve">Continuous </w:t>
      </w:r>
      <w:r w:rsidR="004C3A79">
        <w:t>dissolved oxygen</w:t>
      </w:r>
      <w:r>
        <w:t xml:space="preserve"> monitoring by the USGS in Tinker Creek and the Roanoke River</w:t>
      </w:r>
      <w:r w:rsidRPr="00DB51D6">
        <w:t xml:space="preserve">. The red line represents the </w:t>
      </w:r>
      <w:r>
        <w:t xml:space="preserve">relevant </w:t>
      </w:r>
      <w:r w:rsidRPr="00DB51D6">
        <w:t>Virginia water quality standard.</w:t>
      </w:r>
      <w:r w:rsidR="004C3A79" w:rsidRPr="004C3A79">
        <w:t xml:space="preserve"> </w:t>
      </w:r>
      <w:r w:rsidR="004C3A79" w:rsidRPr="00DF5F92">
        <w:t>Colors represent the probability that data within that range would be responsible for causing stress</w:t>
      </w:r>
      <w:r w:rsidR="004C3A79">
        <w:t>.</w:t>
      </w:r>
      <w:bookmarkEnd w:id="97"/>
    </w:p>
    <w:p w14:paraId="3224894B" w14:textId="77777777" w:rsidR="00756251" w:rsidRPr="00DB51D6" w:rsidRDefault="00756251" w:rsidP="00756251"/>
    <w:p w14:paraId="6400CF2B" w14:textId="77777777" w:rsidR="00756251" w:rsidRPr="00756251" w:rsidRDefault="00756251" w:rsidP="00756251"/>
    <w:p w14:paraId="20B2EBAF" w14:textId="1278C14C" w:rsidR="00E04A4B" w:rsidRPr="00DF5F92" w:rsidRDefault="00E87A34" w:rsidP="00E04A4B">
      <w:pPr>
        <w:keepNext/>
        <w:spacing w:before="120" w:after="120" w:line="360" w:lineRule="auto"/>
      </w:pPr>
      <w:r>
        <w:rPr>
          <w:noProof/>
        </w:rPr>
        <w:drawing>
          <wp:inline distT="0" distB="0" distL="0" distR="0" wp14:anchorId="266478AB" wp14:editId="3D01A538">
            <wp:extent cx="4097547" cy="7600950"/>
            <wp:effectExtent l="0" t="0" r="0" b="0"/>
            <wp:docPr id="29" name="Picture 29" descr="Diurnal dissolved oxygen as a percentage of saturation in Tinker Creek and the Roanoke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04101" cy="7613107"/>
                    </a:xfrm>
                    <a:prstGeom prst="rect">
                      <a:avLst/>
                    </a:prstGeom>
                    <a:noFill/>
                  </pic:spPr>
                </pic:pic>
              </a:graphicData>
            </a:graphic>
          </wp:inline>
        </w:drawing>
      </w:r>
    </w:p>
    <w:p w14:paraId="7723315E" w14:textId="78E34CA5" w:rsidR="00272087" w:rsidRPr="00DF5F92" w:rsidRDefault="00E04A4B" w:rsidP="00E04A4B">
      <w:pPr>
        <w:pStyle w:val="Caption"/>
      </w:pPr>
      <w:bookmarkStart w:id="98" w:name="_Ref84251753"/>
      <w:bookmarkStart w:id="99" w:name="_Toc162948243"/>
      <w:r w:rsidRPr="00DF5F92">
        <w:t xml:space="preserve">Figure </w:t>
      </w:r>
      <w:r w:rsidR="00DF0271" w:rsidRPr="00DF5F92">
        <w:rPr>
          <w:noProof/>
        </w:rPr>
        <w:fldChar w:fldCharType="begin"/>
      </w:r>
      <w:r w:rsidR="00DF0271" w:rsidRPr="00DF5F92">
        <w:rPr>
          <w:noProof/>
        </w:rPr>
        <w:instrText xml:space="preserve"> SEQ Figure \* ARABIC </w:instrText>
      </w:r>
      <w:r w:rsidR="00DF0271" w:rsidRPr="00DF5F92">
        <w:rPr>
          <w:noProof/>
        </w:rPr>
        <w:fldChar w:fldCharType="separate"/>
      </w:r>
      <w:r w:rsidR="004A78BF">
        <w:rPr>
          <w:noProof/>
        </w:rPr>
        <w:t>25</w:t>
      </w:r>
      <w:r w:rsidR="00DF0271" w:rsidRPr="00DF5F92">
        <w:rPr>
          <w:noProof/>
        </w:rPr>
        <w:fldChar w:fldCharType="end"/>
      </w:r>
      <w:bookmarkEnd w:id="98"/>
      <w:r w:rsidRPr="00DF5F92">
        <w:t xml:space="preserve">. Diurnal dissolved oxygen </w:t>
      </w:r>
      <w:r w:rsidR="00E87A34">
        <w:t xml:space="preserve">as a percentage of saturation </w:t>
      </w:r>
      <w:r w:rsidRPr="00DF5F92">
        <w:t xml:space="preserve">in </w:t>
      </w:r>
      <w:r w:rsidR="00E87A34">
        <w:t>Tinker Creek and the Roanoke River</w:t>
      </w:r>
      <w:r w:rsidRPr="00DF5F92">
        <w:t>.</w:t>
      </w:r>
      <w:bookmarkEnd w:id="99"/>
      <w:r w:rsidR="0024570B" w:rsidRPr="00DF5F92">
        <w:t xml:space="preserve"> </w:t>
      </w:r>
    </w:p>
    <w:p w14:paraId="675ABEDB" w14:textId="45E30B42" w:rsidR="00E04A4B" w:rsidRPr="00DF5F92" w:rsidRDefault="00E04A4B" w:rsidP="00E04A4B"/>
    <w:p w14:paraId="17958F0A" w14:textId="5342A8D9" w:rsidR="00BA50C9" w:rsidRPr="00DF5F92" w:rsidRDefault="00BA50C9" w:rsidP="00BA50C9">
      <w:pPr>
        <w:pStyle w:val="Heading3"/>
      </w:pPr>
      <w:bookmarkStart w:id="100" w:name="_Toc162948166"/>
      <w:r w:rsidRPr="00DF5F92">
        <w:t>Conductivity and Total Dissolved Solids</w:t>
      </w:r>
      <w:bookmarkEnd w:id="100"/>
    </w:p>
    <w:p w14:paraId="79509E77" w14:textId="4769AA02" w:rsidR="00842213" w:rsidRDefault="008236B7" w:rsidP="008236B7">
      <w:pPr>
        <w:pStyle w:val="BlockText"/>
      </w:pPr>
      <w:r w:rsidRPr="00DF5F92">
        <w:t>Conductivity is a measure of the electrical potential of water based on the ionic charges of dissolved compounds.  For this reason, the conductivity of water is closely related to the total dissolved solids present.</w:t>
      </w:r>
      <w:r w:rsidR="00486F84" w:rsidRPr="00DF5F92">
        <w:t xml:space="preserve"> VDEQ measures conductivity when collecting benthic or water quality</w:t>
      </w:r>
      <w:r w:rsidR="00486F84" w:rsidRPr="009B1422">
        <w:t xml:space="preserve"> samples, so periodic </w:t>
      </w:r>
      <w:r w:rsidR="003C2451" w:rsidRPr="009B1422">
        <w:t>conductivity</w:t>
      </w:r>
      <w:r w:rsidR="00486F84" w:rsidRPr="009B1422">
        <w:t xml:space="preserve"> data are available from 2000 to present </w:t>
      </w:r>
      <w:r w:rsidR="009B1422" w:rsidRPr="00C80DCF">
        <w:t xml:space="preserve">in each of the impaired </w:t>
      </w:r>
      <w:r w:rsidR="009B1422">
        <w:t xml:space="preserve">streams and the </w:t>
      </w:r>
      <w:r w:rsidR="00861B35">
        <w:t xml:space="preserve">associated </w:t>
      </w:r>
      <w:r w:rsidR="009B1422">
        <w:t>reference</w:t>
      </w:r>
      <w:r w:rsidR="00861B35">
        <w:t xml:space="preserve"> stations</w:t>
      </w:r>
      <w:r w:rsidR="009B1422" w:rsidRPr="009B1422">
        <w:t xml:space="preserve"> </w:t>
      </w:r>
      <w:r w:rsidR="00CA070E" w:rsidRPr="009B1422">
        <w:t>(</w:t>
      </w:r>
      <w:r w:rsidR="00CA070E" w:rsidRPr="009B1422">
        <w:fldChar w:fldCharType="begin"/>
      </w:r>
      <w:r w:rsidR="00CA070E" w:rsidRPr="009B1422">
        <w:instrText xml:space="preserve"> REF _Ref44575217 \h </w:instrText>
      </w:r>
      <w:r w:rsidR="007A0C83" w:rsidRPr="009B1422">
        <w:instrText xml:space="preserve"> \* MERGEFORMAT </w:instrText>
      </w:r>
      <w:r w:rsidR="00CA070E" w:rsidRPr="009B1422">
        <w:fldChar w:fldCharType="separate"/>
      </w:r>
      <w:r w:rsidR="004A78BF" w:rsidRPr="009B1422">
        <w:t xml:space="preserve">Figure </w:t>
      </w:r>
      <w:r w:rsidR="004A78BF">
        <w:rPr>
          <w:noProof/>
        </w:rPr>
        <w:t>26</w:t>
      </w:r>
      <w:r w:rsidR="00CA070E" w:rsidRPr="009B1422">
        <w:fldChar w:fldCharType="end"/>
      </w:r>
      <w:r w:rsidR="00CA070E" w:rsidRPr="009B1422">
        <w:t xml:space="preserve">). </w:t>
      </w:r>
      <w:r w:rsidR="00F94476">
        <w:t xml:space="preserve">In general, the Roanoke River drains a predominantly limestone valley, so conductivities are naturally higher than in other parts of the state with less </w:t>
      </w:r>
      <w:r w:rsidR="00C5500B">
        <w:t xml:space="preserve">underlying </w:t>
      </w:r>
      <w:r w:rsidR="00F94476">
        <w:t xml:space="preserve">limestone geology. </w:t>
      </w:r>
      <w:r w:rsidR="00C5500B">
        <w:t>In Wolf Creek, c</w:t>
      </w:r>
      <w:r w:rsidR="00486F84" w:rsidRPr="009B1422">
        <w:t xml:space="preserve">onductivity </w:t>
      </w:r>
      <w:r w:rsidR="009B1422">
        <w:t xml:space="preserve">averaged </w:t>
      </w:r>
      <w:r w:rsidR="00861B35">
        <w:t xml:space="preserve">223 </w:t>
      </w:r>
      <w:proofErr w:type="spellStart"/>
      <w:r w:rsidR="00C80067">
        <w:rPr>
          <w:rFonts w:ascii="Calibri" w:hAnsi="Calibri"/>
        </w:rPr>
        <w:t>μ</w:t>
      </w:r>
      <w:r w:rsidR="0029014C" w:rsidRPr="009B1422">
        <w:t>S</w:t>
      </w:r>
      <w:proofErr w:type="spellEnd"/>
      <w:r w:rsidR="0029014C" w:rsidRPr="009B1422">
        <w:t>/cm</w:t>
      </w:r>
      <w:r w:rsidR="00C5500B">
        <w:t>, and in Tinker Creek, conductivity averaged</w:t>
      </w:r>
      <w:r w:rsidR="009B1422">
        <w:t xml:space="preserve"> </w:t>
      </w:r>
      <w:r w:rsidR="00861B35">
        <w:t>450</w:t>
      </w:r>
      <w:r w:rsidR="009B1422">
        <w:t xml:space="preserve"> </w:t>
      </w:r>
      <w:proofErr w:type="spellStart"/>
      <w:r w:rsidR="00C80067">
        <w:rPr>
          <w:rFonts w:ascii="Calibri" w:hAnsi="Calibri"/>
        </w:rPr>
        <w:t>μ</w:t>
      </w:r>
      <w:r w:rsidR="00486F84" w:rsidRPr="009B1422">
        <w:t>S</w:t>
      </w:r>
      <w:proofErr w:type="spellEnd"/>
      <w:r w:rsidR="00486F84" w:rsidRPr="009B1422">
        <w:t>/cm</w:t>
      </w:r>
      <w:r w:rsidR="00861B35">
        <w:t>. These two impaired streams were lower in conductivity than the stream reference station (4ATKR</w:t>
      </w:r>
      <w:r w:rsidR="00A87AB2">
        <w:t xml:space="preserve">015.88), which averaged 510 </w:t>
      </w:r>
      <w:proofErr w:type="spellStart"/>
      <w:r w:rsidR="00C80067">
        <w:rPr>
          <w:rFonts w:ascii="Calibri" w:hAnsi="Calibri"/>
        </w:rPr>
        <w:t>μ</w:t>
      </w:r>
      <w:r w:rsidR="00A87AB2" w:rsidRPr="009B1422">
        <w:t>S</w:t>
      </w:r>
      <w:proofErr w:type="spellEnd"/>
      <w:r w:rsidR="00A87AB2" w:rsidRPr="009B1422">
        <w:t>/cm</w:t>
      </w:r>
      <w:r w:rsidR="00A87AB2">
        <w:t>.</w:t>
      </w:r>
      <w:r w:rsidR="00EF0239">
        <w:t xml:space="preserve"> </w:t>
      </w:r>
      <w:r w:rsidR="00842213">
        <w:t xml:space="preserve">In the Roanoke River, </w:t>
      </w:r>
      <w:r w:rsidR="00DA0392">
        <w:t xml:space="preserve">conductivities averaged 295, 330, 394, and 407 </w:t>
      </w:r>
      <w:proofErr w:type="spellStart"/>
      <w:r w:rsidR="00DA0392">
        <w:rPr>
          <w:rFonts w:ascii="Calibri" w:hAnsi="Calibri"/>
        </w:rPr>
        <w:t>μ</w:t>
      </w:r>
      <w:r w:rsidR="00DA0392">
        <w:t>S</w:t>
      </w:r>
      <w:proofErr w:type="spellEnd"/>
      <w:r w:rsidR="00DA0392">
        <w:t xml:space="preserve">/cm at the reference station and river miles 202.20, 199.20, and 198.08, respectively. </w:t>
      </w:r>
      <w:r w:rsidR="00B961D6">
        <w:t xml:space="preserve">The two most downstream stations were statistically higher </w:t>
      </w:r>
      <w:r w:rsidR="009339B3">
        <w:t xml:space="preserve">in conductivity </w:t>
      </w:r>
      <w:r w:rsidR="00B961D6">
        <w:t>than the reference (t-test with unequal variance and alpha = 0.05 level).</w:t>
      </w:r>
    </w:p>
    <w:p w14:paraId="72A0CD4D" w14:textId="3B0335B0" w:rsidR="008B1530" w:rsidRDefault="00B961D6" w:rsidP="008236B7">
      <w:pPr>
        <w:pStyle w:val="BlockText"/>
      </w:pPr>
      <w:r w:rsidRPr="009B1422">
        <w:fldChar w:fldCharType="begin"/>
      </w:r>
      <w:r w:rsidRPr="009B1422">
        <w:instrText xml:space="preserve"> REF _Ref46301651 \h  \* MERGEFORMAT </w:instrText>
      </w:r>
      <w:r w:rsidRPr="009B1422">
        <w:fldChar w:fldCharType="separate"/>
      </w:r>
      <w:r w:rsidR="004A78BF" w:rsidRPr="00B639C4">
        <w:t xml:space="preserve">Figure </w:t>
      </w:r>
      <w:r w:rsidR="004A78BF">
        <w:rPr>
          <w:noProof/>
        </w:rPr>
        <w:t>27</w:t>
      </w:r>
      <w:r w:rsidRPr="009B1422">
        <w:fldChar w:fldCharType="end"/>
      </w:r>
      <w:r w:rsidRPr="009B1422">
        <w:t xml:space="preserve"> shows conductivity levels over time in </w:t>
      </w:r>
      <w:r>
        <w:t xml:space="preserve">Roanoke River Project streams. </w:t>
      </w:r>
      <w:r w:rsidR="00EF0239">
        <w:t xml:space="preserve">Median conductivity in Wolf Creek was in the no probability range for stressor effects and no conductivity measurements were above 500 </w:t>
      </w:r>
      <w:proofErr w:type="spellStart"/>
      <w:r w:rsidR="00EF0239">
        <w:rPr>
          <w:rFonts w:ascii="Calibri" w:hAnsi="Calibri"/>
        </w:rPr>
        <w:t>μ</w:t>
      </w:r>
      <w:r w:rsidR="00EF0239">
        <w:t>S</w:t>
      </w:r>
      <w:proofErr w:type="spellEnd"/>
      <w:r w:rsidR="00EF0239">
        <w:t xml:space="preserve">/cm. This indicates that conductivity is not likely a stressor in Wolf Creek. In Tinker Creek, median conductivities were in the medium probability range at impaired stations and high probability range at the reference station. At Tinker Creek impaired stations, 24% of measurements were above 500 </w:t>
      </w:r>
      <w:proofErr w:type="spellStart"/>
      <w:r w:rsidR="00EF0239">
        <w:rPr>
          <w:rFonts w:ascii="Calibri" w:hAnsi="Calibri"/>
        </w:rPr>
        <w:t>μ</w:t>
      </w:r>
      <w:r w:rsidR="00EF0239">
        <w:t>S</w:t>
      </w:r>
      <w:proofErr w:type="spellEnd"/>
      <w:r w:rsidR="00EF0239">
        <w:t xml:space="preserve">/cm, and the maximum conductivity was 880 </w:t>
      </w:r>
      <w:proofErr w:type="spellStart"/>
      <w:r w:rsidR="00EF0239">
        <w:rPr>
          <w:rFonts w:ascii="Calibri" w:hAnsi="Calibri"/>
        </w:rPr>
        <w:t>μ</w:t>
      </w:r>
      <w:r w:rsidR="00EF0239">
        <w:t>S</w:t>
      </w:r>
      <w:proofErr w:type="spellEnd"/>
      <w:r w:rsidR="00EF0239">
        <w:t>/cm. At the Tinker Creek reference station, 68%</w:t>
      </w:r>
      <w:r w:rsidR="00EF0239" w:rsidRPr="00EF0239">
        <w:t xml:space="preserve"> </w:t>
      </w:r>
      <w:r w:rsidR="00EF0239">
        <w:t xml:space="preserve">of measurements were above 500 </w:t>
      </w:r>
      <w:proofErr w:type="spellStart"/>
      <w:r w:rsidR="00EF0239">
        <w:rPr>
          <w:rFonts w:ascii="Calibri" w:hAnsi="Calibri"/>
        </w:rPr>
        <w:t>μ</w:t>
      </w:r>
      <w:r w:rsidR="00EF0239">
        <w:t>S</w:t>
      </w:r>
      <w:proofErr w:type="spellEnd"/>
      <w:r w:rsidR="00EF0239">
        <w:t xml:space="preserve">/cm, and the maximum conductivity was 695 </w:t>
      </w:r>
      <w:proofErr w:type="spellStart"/>
      <w:r w:rsidR="00EF0239">
        <w:rPr>
          <w:rFonts w:ascii="Calibri" w:hAnsi="Calibri"/>
        </w:rPr>
        <w:t>μ</w:t>
      </w:r>
      <w:r w:rsidR="00EF0239">
        <w:t>S</w:t>
      </w:r>
      <w:proofErr w:type="spellEnd"/>
      <w:r w:rsidR="00EF0239">
        <w:t xml:space="preserve">/cm. </w:t>
      </w:r>
      <w:r>
        <w:t xml:space="preserve">In the Roanoke River, </w:t>
      </w:r>
      <w:r w:rsidR="008B1530">
        <w:t xml:space="preserve">median conductivities were in the low probability range for stressor effect at river mile 202.20 and the medium probability range at the two most downstream stations. Less than 3% of conductivity measurements in the Roanoke River impaired section exceeded 500 </w:t>
      </w:r>
      <w:proofErr w:type="spellStart"/>
      <w:r w:rsidR="008B1530">
        <w:rPr>
          <w:rFonts w:ascii="Calibri" w:hAnsi="Calibri"/>
        </w:rPr>
        <w:t>μ</w:t>
      </w:r>
      <w:r w:rsidR="008B1530">
        <w:t>S</w:t>
      </w:r>
      <w:proofErr w:type="spellEnd"/>
      <w:r w:rsidR="008B1530">
        <w:t xml:space="preserve">/cm, with a maximum of 738 </w:t>
      </w:r>
      <w:proofErr w:type="spellStart"/>
      <w:r w:rsidR="008B1530">
        <w:rPr>
          <w:rFonts w:ascii="Calibri" w:hAnsi="Calibri"/>
        </w:rPr>
        <w:t>μ</w:t>
      </w:r>
      <w:r w:rsidR="008B1530">
        <w:t>S</w:t>
      </w:r>
      <w:proofErr w:type="spellEnd"/>
      <w:r w:rsidR="008B1530">
        <w:t>/cm.</w:t>
      </w:r>
    </w:p>
    <w:p w14:paraId="764CA5F4" w14:textId="16103542" w:rsidR="00A87AB2" w:rsidRDefault="008B1530" w:rsidP="008236B7">
      <w:pPr>
        <w:pStyle w:val="BlockText"/>
      </w:pPr>
      <w:r>
        <w:t xml:space="preserve">In summary, conductivity is not likely a stressor in Wolf Creek, as values are relatively low and in the no to low probability range for stressor effects. </w:t>
      </w:r>
      <w:r w:rsidR="00152320">
        <w:t>In Tinker Creek, conductivity levels are elevated, but they are highest at the upstream reference station and decrease at downstream impaired stations. This indicates that Tinker Creek has large spring and groundwater influences and that the high conductivity represents a natural condition. In the Roanoke River, conductivity increases significantly between river miles 202.20 and 199.20. This is likely due to high conductivity tributaries (like Tinker Creek) and point source</w:t>
      </w:r>
      <w:r w:rsidR="00143C1C">
        <w:t xml:space="preserve">s </w:t>
      </w:r>
      <w:r w:rsidR="00152320">
        <w:t>(like the Western V</w:t>
      </w:r>
      <w:r w:rsidR="006C6DD8">
        <w:t>irginia</w:t>
      </w:r>
      <w:r w:rsidR="00152320">
        <w:t xml:space="preserve"> Water Authority</w:t>
      </w:r>
      <w:r w:rsidR="00143C1C">
        <w:t xml:space="preserve"> Water Pollution Control Plant discharge</w:t>
      </w:r>
      <w:r w:rsidR="00152320">
        <w:t>) that enter the Roanoke River between these stations.</w:t>
      </w:r>
      <w:r w:rsidR="0022164E">
        <w:t xml:space="preserve"> Conductivity levels are elevated at downstream impaired stations but values are predominantly within the medium probability range for stressor effects.</w:t>
      </w:r>
      <w:r w:rsidR="00152320">
        <w:t xml:space="preserve">   </w:t>
      </w:r>
      <w:r>
        <w:t xml:space="preserve"> </w:t>
      </w:r>
      <w:r w:rsidR="00EF0239">
        <w:t xml:space="preserve"> </w:t>
      </w:r>
      <w:r w:rsidR="00A87AB2">
        <w:t xml:space="preserve"> </w:t>
      </w:r>
    </w:p>
    <w:p w14:paraId="61C9E0EE" w14:textId="0EFAD951" w:rsidR="00621622" w:rsidRPr="00FD0B76" w:rsidRDefault="00621622" w:rsidP="0022164E">
      <w:pPr>
        <w:pStyle w:val="BlockText"/>
      </w:pPr>
      <w:r w:rsidRPr="00FD0B76">
        <w:t xml:space="preserve">In addition to periodic conductivity measurements, </w:t>
      </w:r>
      <w:r w:rsidR="00FD0B76">
        <w:t xml:space="preserve">the USGS operates a </w:t>
      </w:r>
      <w:r w:rsidR="008576E9">
        <w:t xml:space="preserve">continuous gage and monitoring station </w:t>
      </w:r>
      <w:r w:rsidR="00C42053">
        <w:t xml:space="preserve">that measures conductivity </w:t>
      </w:r>
      <w:r w:rsidR="008576E9">
        <w:t>on Tinker Creek and on the Roanoke River. The Tinker Creek gage (</w:t>
      </w:r>
      <w:r w:rsidR="00C42053">
        <w:t>205551614) is located above Glade Creek and upstream of VDEQ station 4ATKR000.69. The Roanoke River gage (2055080) is located at the 13</w:t>
      </w:r>
      <w:r w:rsidR="00C42053" w:rsidRPr="00C42053">
        <w:rPr>
          <w:vertAlign w:val="superscript"/>
        </w:rPr>
        <w:t>th</w:t>
      </w:r>
      <w:r w:rsidR="00C42053">
        <w:t xml:space="preserve"> Street bridge and co-located with VDEQ station 4AROA202.20. </w:t>
      </w:r>
      <w:r w:rsidR="00C42053" w:rsidRPr="00FD0B76">
        <w:fldChar w:fldCharType="begin"/>
      </w:r>
      <w:r w:rsidR="00C42053" w:rsidRPr="00FD0B76">
        <w:instrText xml:space="preserve"> REF _Ref84255541 \h  \* MERGEFORMAT </w:instrText>
      </w:r>
      <w:r w:rsidR="00C42053" w:rsidRPr="00FD0B76">
        <w:fldChar w:fldCharType="separate"/>
      </w:r>
      <w:r w:rsidR="004A78BF" w:rsidRPr="00B639C4">
        <w:t xml:space="preserve">Figure </w:t>
      </w:r>
      <w:r w:rsidR="004A78BF">
        <w:rPr>
          <w:noProof/>
        </w:rPr>
        <w:t>28</w:t>
      </w:r>
      <w:r w:rsidR="00C42053" w:rsidRPr="00FD0B76">
        <w:fldChar w:fldCharType="end"/>
      </w:r>
      <w:r w:rsidR="00C42053">
        <w:t xml:space="preserve"> shows 15-minute conductivity data collected from these two stations since September 2019. The pattern of conductivity in Tinker Creek consisted of a baseline around 500 </w:t>
      </w:r>
      <w:proofErr w:type="spellStart"/>
      <w:r w:rsidR="00C42053">
        <w:rPr>
          <w:rFonts w:ascii="Calibri" w:hAnsi="Calibri" w:cs="Calibri"/>
        </w:rPr>
        <w:t>μ</w:t>
      </w:r>
      <w:r w:rsidR="00C42053">
        <w:t>S</w:t>
      </w:r>
      <w:proofErr w:type="spellEnd"/>
      <w:r w:rsidR="00C42053">
        <w:t>/cm, sharp decreases during rainfall events, and sharp increases during wintertime snowfall events. Salt application for roadway deicing during snowfall events likely increased Tinker Creek conductivity in the winter of 2019/2020, 2020/2021, and 2021/2022</w:t>
      </w:r>
      <w:r w:rsidR="00EB0C28">
        <w:t>. Conductivity peaked</w:t>
      </w:r>
      <w:r w:rsidR="00635DD8">
        <w:t xml:space="preserve"> at 1780 </w:t>
      </w:r>
      <w:proofErr w:type="spellStart"/>
      <w:r w:rsidR="00635DD8">
        <w:rPr>
          <w:rFonts w:ascii="Calibri" w:hAnsi="Calibri" w:cs="Calibri"/>
        </w:rPr>
        <w:t>μ</w:t>
      </w:r>
      <w:r w:rsidR="00635DD8">
        <w:t>S</w:t>
      </w:r>
      <w:proofErr w:type="spellEnd"/>
      <w:r w:rsidR="00635DD8">
        <w:t xml:space="preserve">/cm on 1/9/2022, and remained above 1000 </w:t>
      </w:r>
      <w:proofErr w:type="spellStart"/>
      <w:r w:rsidR="00635DD8">
        <w:rPr>
          <w:rFonts w:ascii="Calibri" w:hAnsi="Calibri" w:cs="Calibri"/>
        </w:rPr>
        <w:t>μ</w:t>
      </w:r>
      <w:r w:rsidR="00635DD8">
        <w:t>S</w:t>
      </w:r>
      <w:proofErr w:type="spellEnd"/>
      <w:r w:rsidR="00635DD8">
        <w:t xml:space="preserve">/cm for approximately 18 hours during January of 2022. The pattern of conductivity in the Roanoke River consisted of a lower baseline around 335 </w:t>
      </w:r>
      <w:proofErr w:type="spellStart"/>
      <w:r w:rsidR="00635DD8">
        <w:rPr>
          <w:rFonts w:ascii="Calibri" w:hAnsi="Calibri" w:cs="Calibri"/>
        </w:rPr>
        <w:t>μ</w:t>
      </w:r>
      <w:r w:rsidR="00635DD8">
        <w:t>S</w:t>
      </w:r>
      <w:proofErr w:type="spellEnd"/>
      <w:r w:rsidR="00635DD8">
        <w:t xml:space="preserve">/cm, less dramatic decreases during rainfall events, and very modest increases during snowfall events. Conductivity in the Roanoke River remained below 500 </w:t>
      </w:r>
      <w:proofErr w:type="spellStart"/>
      <w:r w:rsidR="00635DD8">
        <w:rPr>
          <w:rFonts w:ascii="Calibri" w:hAnsi="Calibri" w:cs="Calibri"/>
        </w:rPr>
        <w:t>μ</w:t>
      </w:r>
      <w:r w:rsidR="00635DD8">
        <w:t>S</w:t>
      </w:r>
      <w:proofErr w:type="spellEnd"/>
      <w:r w:rsidR="00635DD8">
        <w:t xml:space="preserve">/cm throughout the continuous monitoring period. </w:t>
      </w:r>
      <w:r w:rsidR="00B639C4" w:rsidRPr="00FD0B76">
        <w:t xml:space="preserve"> </w:t>
      </w:r>
    </w:p>
    <w:p w14:paraId="28FC3C47" w14:textId="6C6DBAF4" w:rsidR="00377542" w:rsidRPr="005B47D6" w:rsidRDefault="008236B7" w:rsidP="0022164E">
      <w:pPr>
        <w:pStyle w:val="BlockText"/>
      </w:pPr>
      <w:r w:rsidRPr="005B47D6">
        <w:t xml:space="preserve">Total dissolved solids </w:t>
      </w:r>
      <w:r w:rsidR="008D528C" w:rsidRPr="005B47D6">
        <w:t xml:space="preserve">(TDS) </w:t>
      </w:r>
      <w:r w:rsidRPr="005B47D6">
        <w:t xml:space="preserve">are closely tied to conductivity, since it is the dissolved ions that transmit electrical current. </w:t>
      </w:r>
      <w:r w:rsidR="008D528C" w:rsidRPr="005B47D6">
        <w:fldChar w:fldCharType="begin"/>
      </w:r>
      <w:r w:rsidR="008D528C" w:rsidRPr="005B47D6">
        <w:instrText xml:space="preserve"> REF _Ref45630117 \h </w:instrText>
      </w:r>
      <w:r w:rsidR="00867C44" w:rsidRPr="005B47D6">
        <w:instrText xml:space="preserve"> \* MERGEFORMAT </w:instrText>
      </w:r>
      <w:r w:rsidR="008D528C" w:rsidRPr="005B47D6">
        <w:fldChar w:fldCharType="separate"/>
      </w:r>
      <w:r w:rsidR="004A78BF" w:rsidRPr="009B1422">
        <w:t xml:space="preserve">Figure </w:t>
      </w:r>
      <w:r w:rsidR="004A78BF">
        <w:rPr>
          <w:noProof/>
        </w:rPr>
        <w:t>29</w:t>
      </w:r>
      <w:r w:rsidR="008D528C" w:rsidRPr="005B47D6">
        <w:fldChar w:fldCharType="end"/>
      </w:r>
      <w:r w:rsidR="008C6F35" w:rsidRPr="005B47D6">
        <w:t xml:space="preserve"> shows TDS levels in </w:t>
      </w:r>
      <w:r w:rsidR="005B47D6">
        <w:t xml:space="preserve">Roanoke River Project streams </w:t>
      </w:r>
      <w:r w:rsidR="00190886" w:rsidRPr="005B47D6">
        <w:t>compar</w:t>
      </w:r>
      <w:r w:rsidR="005B47D6">
        <w:t>ed</w:t>
      </w:r>
      <w:r w:rsidR="00190886" w:rsidRPr="005B47D6">
        <w:t xml:space="preserve"> to </w:t>
      </w:r>
      <w:r w:rsidR="005B47D6">
        <w:t>a reference</w:t>
      </w:r>
      <w:r w:rsidRPr="005B47D6">
        <w:t xml:space="preserve">. </w:t>
      </w:r>
      <w:r w:rsidR="003B3D7F" w:rsidRPr="005B47D6">
        <w:t xml:space="preserve">TDS averaged </w:t>
      </w:r>
      <w:r w:rsidR="00BF4C89">
        <w:t>135</w:t>
      </w:r>
      <w:r w:rsidR="003B3D7F" w:rsidRPr="005B47D6">
        <w:t xml:space="preserve"> mg/L in </w:t>
      </w:r>
      <w:r w:rsidR="00BF4C89">
        <w:t xml:space="preserve">Wolf Creek, 272 </w:t>
      </w:r>
      <w:r w:rsidR="00190886" w:rsidRPr="005B47D6">
        <w:t xml:space="preserve">mg/L in </w:t>
      </w:r>
      <w:r w:rsidR="00BF4C89">
        <w:t xml:space="preserve">Tinker Creek, and 189 to 243 at impaired Roanoke River stations. Wolf Creek and the impaired Tinker Creek stations were lower in TDS than the stream reference, but the most downstream Roanoke River station was significantly higher in TDS than the river reference (t-test with unequal variance and alpha = 0.05 level). </w:t>
      </w:r>
      <w:r w:rsidR="00190886" w:rsidRPr="005B47D6">
        <w:t xml:space="preserve">Median TDS values in </w:t>
      </w:r>
      <w:r w:rsidR="00BF4C89">
        <w:t xml:space="preserve">Wolf Creek and the Roanoke River were in the low probability range for stressor effects, and the median TDS value in Tinker Creek was in the medium probability range. </w:t>
      </w:r>
      <w:r w:rsidR="00CC30EB">
        <w:t>None of the impaired sites had TDS excursions into the high probability range (</w:t>
      </w:r>
      <w:r w:rsidR="00377542" w:rsidRPr="005B47D6">
        <w:fldChar w:fldCharType="begin"/>
      </w:r>
      <w:r w:rsidR="00377542" w:rsidRPr="005B47D6">
        <w:instrText xml:space="preserve"> REF _Ref75941497 \h </w:instrText>
      </w:r>
      <w:r w:rsidR="007A0C83" w:rsidRPr="005B47D6">
        <w:instrText xml:space="preserve"> \* MERGEFORMAT </w:instrText>
      </w:r>
      <w:r w:rsidR="00377542" w:rsidRPr="005B47D6">
        <w:fldChar w:fldCharType="separate"/>
      </w:r>
      <w:r w:rsidR="004A78BF" w:rsidRPr="009B1422">
        <w:t xml:space="preserve">Figure </w:t>
      </w:r>
      <w:r w:rsidR="004A78BF">
        <w:rPr>
          <w:noProof/>
        </w:rPr>
        <w:t>30</w:t>
      </w:r>
      <w:r w:rsidR="00377542" w:rsidRPr="005B47D6">
        <w:fldChar w:fldCharType="end"/>
      </w:r>
      <w:r w:rsidR="00CC30EB">
        <w:t>).</w:t>
      </w:r>
      <w:r w:rsidR="00BF4C89">
        <w:t xml:space="preserve"> </w:t>
      </w:r>
    </w:p>
    <w:p w14:paraId="3551A0E0" w14:textId="2C6F368C" w:rsidR="00BA50C9" w:rsidRPr="009B1422" w:rsidRDefault="00872F96" w:rsidP="0022164E">
      <w:pPr>
        <w:pStyle w:val="BlockText"/>
      </w:pPr>
      <w:r w:rsidRPr="005B47D6">
        <w:t xml:space="preserve">In summary, conductivity and TDS </w:t>
      </w:r>
      <w:r w:rsidR="00CC30EB">
        <w:t>are not likely chronic stressors in Roanoke River Project streams. Brief excursions of high conductivity were observed in Tinker Creek during winter storm deicing events, but chronic conductivity levels were higher in the unimpaired Tinker Creek reference than in the impaired Tinker Creek stations. Conductivity and TDS were consistently low in Wolf Creek and in the no to low probability range for stressor effects. Impaired Roanoke River stations were higher in conductivity and TDS than the upstream reference</w:t>
      </w:r>
      <w:r w:rsidR="00227B81">
        <w:t xml:space="preserve">, but median values were in the low to medium probability range for stressor effects. </w:t>
      </w:r>
    </w:p>
    <w:p w14:paraId="0AEB75DB" w14:textId="77777777" w:rsidR="0029014C" w:rsidRPr="009B1422" w:rsidRDefault="0029014C" w:rsidP="009B021C">
      <w:pPr>
        <w:pStyle w:val="BlockText"/>
      </w:pPr>
    </w:p>
    <w:p w14:paraId="26679C83" w14:textId="73D87C3D" w:rsidR="008236B7" w:rsidRPr="009B1422" w:rsidRDefault="00861B35" w:rsidP="008236B7">
      <w:pPr>
        <w:keepNext/>
        <w:spacing w:before="120" w:after="120" w:line="360" w:lineRule="auto"/>
      </w:pPr>
      <w:r>
        <w:rPr>
          <w:noProof/>
        </w:rPr>
        <w:drawing>
          <wp:inline distT="0" distB="0" distL="0" distR="0" wp14:anchorId="2A2827AF" wp14:editId="08CD3ABD">
            <wp:extent cx="4579620" cy="3314700"/>
            <wp:effectExtent l="0" t="0" r="0" b="0"/>
            <wp:docPr id="40" name="Picture 40" descr="Conductivity in Roanoke River Project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9620" cy="3314700"/>
                    </a:xfrm>
                    <a:prstGeom prst="rect">
                      <a:avLst/>
                    </a:prstGeom>
                    <a:noFill/>
                  </pic:spPr>
                </pic:pic>
              </a:graphicData>
            </a:graphic>
          </wp:inline>
        </w:drawing>
      </w:r>
    </w:p>
    <w:p w14:paraId="2F187D44" w14:textId="7E127D75" w:rsidR="005817F5" w:rsidRPr="009B1422" w:rsidRDefault="008236B7" w:rsidP="008236B7">
      <w:pPr>
        <w:pStyle w:val="Caption"/>
      </w:pPr>
      <w:bookmarkStart w:id="101" w:name="_Ref44575217"/>
      <w:bookmarkStart w:id="102" w:name="_Toc162948244"/>
      <w:r w:rsidRPr="009B1422">
        <w:t xml:space="preserve">Figure </w:t>
      </w:r>
      <w:r w:rsidR="00EC7614" w:rsidRPr="009B1422">
        <w:rPr>
          <w:noProof/>
        </w:rPr>
        <w:fldChar w:fldCharType="begin"/>
      </w:r>
      <w:r w:rsidR="00EC7614" w:rsidRPr="009B1422">
        <w:rPr>
          <w:noProof/>
        </w:rPr>
        <w:instrText xml:space="preserve"> SEQ Figure \* ARABIC </w:instrText>
      </w:r>
      <w:r w:rsidR="00EC7614" w:rsidRPr="009B1422">
        <w:rPr>
          <w:noProof/>
        </w:rPr>
        <w:fldChar w:fldCharType="separate"/>
      </w:r>
      <w:r w:rsidR="004A78BF">
        <w:rPr>
          <w:noProof/>
        </w:rPr>
        <w:t>26</w:t>
      </w:r>
      <w:r w:rsidR="00EC7614" w:rsidRPr="009B1422">
        <w:rPr>
          <w:noProof/>
        </w:rPr>
        <w:fldChar w:fldCharType="end"/>
      </w:r>
      <w:bookmarkEnd w:id="101"/>
      <w:r w:rsidRPr="009B1422">
        <w:t xml:space="preserve">. Conductivity in </w:t>
      </w:r>
      <w:r w:rsidR="00861B35">
        <w:t>Roanoke River Project streams.</w:t>
      </w:r>
      <w:r w:rsidRPr="009B1422">
        <w:t xml:space="preserve"> Boxes represent the inter-quartile range, whiskers represent minimum and maximum values excluding outliers, lines represent the median, and the X represent</w:t>
      </w:r>
      <w:r w:rsidR="00347535">
        <w:t>s</w:t>
      </w:r>
      <w:r w:rsidRPr="009B1422">
        <w:t xml:space="preserve"> the mean. Dots represent outliers that are greater than 1.5 times the inter-quartile range away from the mean. </w:t>
      </w:r>
      <w:r w:rsidR="00861B35">
        <w:t xml:space="preserve">Arrow indicates a value above the scale of the graph. </w:t>
      </w:r>
      <w:r w:rsidRPr="009B1422">
        <w:t xml:space="preserve">The "D" indicates statistically </w:t>
      </w:r>
      <w:r w:rsidR="005416D6">
        <w:t>higher conductivity</w:t>
      </w:r>
      <w:r w:rsidRPr="009B1422">
        <w:t xml:space="preserve"> </w:t>
      </w:r>
      <w:r w:rsidR="005416D6">
        <w:t xml:space="preserve">than </w:t>
      </w:r>
      <w:r w:rsidRPr="009B1422">
        <w:t>the reference station. Colors represent the probability that data within that range would be responsible for causing stress.</w:t>
      </w:r>
      <w:bookmarkEnd w:id="102"/>
    </w:p>
    <w:p w14:paraId="20FB18D1" w14:textId="77777777" w:rsidR="00BD18C5" w:rsidRPr="009B1422" w:rsidRDefault="00BD18C5" w:rsidP="00BD18C5"/>
    <w:p w14:paraId="79B7F99B" w14:textId="4ED7D7C5" w:rsidR="002070A9" w:rsidRPr="00B639C4" w:rsidRDefault="007D5707" w:rsidP="002070A9">
      <w:pPr>
        <w:keepNext/>
        <w:spacing w:before="120" w:after="120" w:line="360" w:lineRule="auto"/>
      </w:pPr>
      <w:r>
        <w:rPr>
          <w:noProof/>
        </w:rPr>
        <w:drawing>
          <wp:inline distT="0" distB="0" distL="0" distR="0" wp14:anchorId="752340E9" wp14:editId="78C13874">
            <wp:extent cx="4108450" cy="7367820"/>
            <wp:effectExtent l="0" t="0" r="6350" b="5080"/>
            <wp:docPr id="49" name="Picture 49" descr="Conductivity over time in Roanoke River Project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13181" cy="7376305"/>
                    </a:xfrm>
                    <a:prstGeom prst="rect">
                      <a:avLst/>
                    </a:prstGeom>
                    <a:noFill/>
                  </pic:spPr>
                </pic:pic>
              </a:graphicData>
            </a:graphic>
          </wp:inline>
        </w:drawing>
      </w:r>
    </w:p>
    <w:p w14:paraId="427FD3A2" w14:textId="2725AA7F" w:rsidR="002070A9" w:rsidRPr="00B639C4" w:rsidRDefault="002070A9" w:rsidP="002070A9">
      <w:pPr>
        <w:pStyle w:val="Caption"/>
      </w:pPr>
      <w:bookmarkStart w:id="103" w:name="_Ref46301651"/>
      <w:bookmarkStart w:id="104" w:name="_Toc162948245"/>
      <w:r w:rsidRPr="00B639C4">
        <w:t xml:space="preserve">Figure </w:t>
      </w:r>
      <w:r w:rsidR="00563518" w:rsidRPr="00B639C4">
        <w:rPr>
          <w:noProof/>
        </w:rPr>
        <w:fldChar w:fldCharType="begin"/>
      </w:r>
      <w:r w:rsidR="00563518" w:rsidRPr="00B639C4">
        <w:rPr>
          <w:noProof/>
        </w:rPr>
        <w:instrText xml:space="preserve"> SEQ Figure \* ARABIC </w:instrText>
      </w:r>
      <w:r w:rsidR="00563518" w:rsidRPr="00B639C4">
        <w:rPr>
          <w:noProof/>
        </w:rPr>
        <w:fldChar w:fldCharType="separate"/>
      </w:r>
      <w:r w:rsidR="004A78BF">
        <w:rPr>
          <w:noProof/>
        </w:rPr>
        <w:t>27</w:t>
      </w:r>
      <w:r w:rsidR="00563518" w:rsidRPr="00B639C4">
        <w:rPr>
          <w:noProof/>
        </w:rPr>
        <w:fldChar w:fldCharType="end"/>
      </w:r>
      <w:bookmarkEnd w:id="103"/>
      <w:r w:rsidRPr="00B639C4">
        <w:t xml:space="preserve">. </w:t>
      </w:r>
      <w:r w:rsidR="003F1472" w:rsidRPr="00B639C4">
        <w:t>Conductivity</w:t>
      </w:r>
      <w:r w:rsidRPr="00B639C4">
        <w:t xml:space="preserve"> </w:t>
      </w:r>
      <w:r w:rsidR="00BD18C5" w:rsidRPr="00B639C4">
        <w:t xml:space="preserve">over time </w:t>
      </w:r>
      <w:r w:rsidRPr="00B639C4">
        <w:t xml:space="preserve">in </w:t>
      </w:r>
      <w:r w:rsidR="00861B35">
        <w:t xml:space="preserve">Roanoke River Project streams. </w:t>
      </w:r>
      <w:r w:rsidRPr="00B639C4">
        <w:t>Colors represent the probability that data within that range would be responsible for causing stress.</w:t>
      </w:r>
      <w:bookmarkEnd w:id="104"/>
    </w:p>
    <w:p w14:paraId="3CF87B09" w14:textId="5AF67CE7" w:rsidR="002070A9" w:rsidRPr="00B639C4" w:rsidRDefault="002070A9" w:rsidP="00C80905">
      <w:pPr>
        <w:spacing w:before="120" w:after="120" w:line="360" w:lineRule="auto"/>
      </w:pPr>
    </w:p>
    <w:p w14:paraId="65F85A87" w14:textId="39964D34" w:rsidR="00E831E7" w:rsidRPr="00B639C4" w:rsidRDefault="00C052E0" w:rsidP="00E831E7">
      <w:pPr>
        <w:keepNext/>
        <w:spacing w:before="120" w:after="120" w:line="360" w:lineRule="auto"/>
      </w:pPr>
      <w:r>
        <w:rPr>
          <w:noProof/>
        </w:rPr>
        <w:drawing>
          <wp:inline distT="0" distB="0" distL="0" distR="0" wp14:anchorId="31DF33BF" wp14:editId="75EEA81D">
            <wp:extent cx="4564380" cy="5501640"/>
            <wp:effectExtent l="0" t="0" r="7620" b="3810"/>
            <wp:docPr id="45" name="Picture 45" descr="Continuous conductivity monitoring by the USGS in Tinker Creek and the Roanoke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64380" cy="5501640"/>
                    </a:xfrm>
                    <a:prstGeom prst="rect">
                      <a:avLst/>
                    </a:prstGeom>
                    <a:noFill/>
                  </pic:spPr>
                </pic:pic>
              </a:graphicData>
            </a:graphic>
          </wp:inline>
        </w:drawing>
      </w:r>
    </w:p>
    <w:p w14:paraId="3D2290F2" w14:textId="7616560A" w:rsidR="004B10BE" w:rsidRPr="00B639C4" w:rsidRDefault="00E831E7" w:rsidP="00E831E7">
      <w:pPr>
        <w:pStyle w:val="Caption"/>
      </w:pPr>
      <w:bookmarkStart w:id="105" w:name="_Ref84255541"/>
      <w:bookmarkStart w:id="106" w:name="_Toc162948246"/>
      <w:r w:rsidRPr="00B639C4">
        <w:t xml:space="preserve">Figure </w:t>
      </w:r>
      <w:r w:rsidR="00DF0271" w:rsidRPr="00B639C4">
        <w:rPr>
          <w:noProof/>
        </w:rPr>
        <w:fldChar w:fldCharType="begin"/>
      </w:r>
      <w:r w:rsidR="00DF0271" w:rsidRPr="00B639C4">
        <w:rPr>
          <w:noProof/>
        </w:rPr>
        <w:instrText xml:space="preserve"> SEQ Figure \* ARABIC </w:instrText>
      </w:r>
      <w:r w:rsidR="00DF0271" w:rsidRPr="00B639C4">
        <w:rPr>
          <w:noProof/>
        </w:rPr>
        <w:fldChar w:fldCharType="separate"/>
      </w:r>
      <w:r w:rsidR="004A78BF">
        <w:rPr>
          <w:noProof/>
        </w:rPr>
        <w:t>28</w:t>
      </w:r>
      <w:r w:rsidR="00DF0271" w:rsidRPr="00B639C4">
        <w:rPr>
          <w:noProof/>
        </w:rPr>
        <w:fldChar w:fldCharType="end"/>
      </w:r>
      <w:bookmarkEnd w:id="105"/>
      <w:r w:rsidRPr="00B639C4">
        <w:t xml:space="preserve">. </w:t>
      </w:r>
      <w:r w:rsidR="00FD0B76">
        <w:t xml:space="preserve">Continuous conductivity monitoring by the USGS in Tinker Creek and the Roanoke River. </w:t>
      </w:r>
      <w:r w:rsidRPr="00B639C4">
        <w:t>Colors represent the probability that data within that range would be responsible for causing stress.</w:t>
      </w:r>
      <w:bookmarkEnd w:id="106"/>
    </w:p>
    <w:p w14:paraId="3CCD7F40" w14:textId="77777777" w:rsidR="004B10BE" w:rsidRPr="00B639C4" w:rsidRDefault="004B10BE" w:rsidP="00C80905">
      <w:pPr>
        <w:spacing w:before="120" w:after="120" w:line="360" w:lineRule="auto"/>
      </w:pPr>
    </w:p>
    <w:p w14:paraId="1C46813A" w14:textId="14B5FFFF" w:rsidR="008D528C" w:rsidRPr="009B1422" w:rsidRDefault="005B47D6" w:rsidP="008D528C">
      <w:pPr>
        <w:keepNext/>
        <w:spacing w:before="120" w:after="120" w:line="360" w:lineRule="auto"/>
      </w:pPr>
      <w:r>
        <w:rPr>
          <w:noProof/>
        </w:rPr>
        <w:drawing>
          <wp:inline distT="0" distB="0" distL="0" distR="0" wp14:anchorId="15999143" wp14:editId="627599A2">
            <wp:extent cx="4579620" cy="3208020"/>
            <wp:effectExtent l="0" t="0" r="0" b="0"/>
            <wp:docPr id="44" name="Picture 44" descr="Total dissolved solids in Roanoke River Project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9620" cy="3208020"/>
                    </a:xfrm>
                    <a:prstGeom prst="rect">
                      <a:avLst/>
                    </a:prstGeom>
                    <a:noFill/>
                  </pic:spPr>
                </pic:pic>
              </a:graphicData>
            </a:graphic>
          </wp:inline>
        </w:drawing>
      </w:r>
    </w:p>
    <w:p w14:paraId="5BC61469" w14:textId="337DA2C3" w:rsidR="005817F5" w:rsidRPr="009B1422" w:rsidRDefault="008D528C" w:rsidP="008D528C">
      <w:pPr>
        <w:pStyle w:val="Caption"/>
      </w:pPr>
      <w:bookmarkStart w:id="107" w:name="_Ref45630117"/>
      <w:bookmarkStart w:id="108" w:name="_Toc162948247"/>
      <w:r w:rsidRPr="009B1422">
        <w:t xml:space="preserve">Figure </w:t>
      </w:r>
      <w:r w:rsidR="00563518" w:rsidRPr="009B1422">
        <w:rPr>
          <w:noProof/>
        </w:rPr>
        <w:fldChar w:fldCharType="begin"/>
      </w:r>
      <w:r w:rsidR="00563518" w:rsidRPr="009B1422">
        <w:rPr>
          <w:noProof/>
        </w:rPr>
        <w:instrText xml:space="preserve"> SEQ Figure \* ARABIC </w:instrText>
      </w:r>
      <w:r w:rsidR="00563518" w:rsidRPr="009B1422">
        <w:rPr>
          <w:noProof/>
        </w:rPr>
        <w:fldChar w:fldCharType="separate"/>
      </w:r>
      <w:r w:rsidR="004A78BF">
        <w:rPr>
          <w:noProof/>
        </w:rPr>
        <w:t>29</w:t>
      </w:r>
      <w:r w:rsidR="00563518" w:rsidRPr="009B1422">
        <w:rPr>
          <w:noProof/>
        </w:rPr>
        <w:fldChar w:fldCharType="end"/>
      </w:r>
      <w:bookmarkEnd w:id="107"/>
      <w:r w:rsidRPr="009B1422">
        <w:t xml:space="preserve">. Total dissolved solids in </w:t>
      </w:r>
      <w:r w:rsidR="005B47D6">
        <w:t>Roanoke River Project streams</w:t>
      </w:r>
      <w:r w:rsidRPr="009B1422">
        <w:t>. Boxes represent the inter-quartile range, whiskers represent minimum and maximum values excluding outliers, lines represent the median, and the X represent</w:t>
      </w:r>
      <w:r w:rsidR="00347535">
        <w:t>s</w:t>
      </w:r>
      <w:r w:rsidRPr="009B1422">
        <w:t xml:space="preserve"> the mean. Dots represent outliers that are greater than 1.5 times the inter-quartile range away from the mean. The "D" indicates statistically </w:t>
      </w:r>
      <w:r w:rsidR="005416D6">
        <w:t xml:space="preserve">higher total dissolved solids than </w:t>
      </w:r>
      <w:r w:rsidRPr="009B1422">
        <w:t>the reference station. Colors represent the probability that data within that range would be responsible for causing stress.</w:t>
      </w:r>
      <w:bookmarkEnd w:id="108"/>
    </w:p>
    <w:p w14:paraId="4E6E62F3" w14:textId="07440EE7" w:rsidR="00A11CFD" w:rsidRPr="009B1422" w:rsidRDefault="00A11CFD" w:rsidP="00C80905">
      <w:pPr>
        <w:spacing w:before="120" w:after="120" w:line="360" w:lineRule="auto"/>
      </w:pPr>
    </w:p>
    <w:p w14:paraId="27D6FDD1" w14:textId="3D01E7AB" w:rsidR="00FE5202" w:rsidRPr="009B1422" w:rsidRDefault="005B47D6" w:rsidP="00FE5202">
      <w:pPr>
        <w:keepNext/>
        <w:spacing w:before="120" w:after="120" w:line="360" w:lineRule="auto"/>
      </w:pPr>
      <w:r>
        <w:rPr>
          <w:noProof/>
        </w:rPr>
        <w:drawing>
          <wp:inline distT="0" distB="0" distL="0" distR="0" wp14:anchorId="22A65E88" wp14:editId="2863B713">
            <wp:extent cx="4111557" cy="7413158"/>
            <wp:effectExtent l="0" t="0" r="3810" b="0"/>
            <wp:docPr id="46" name="Picture 46" descr="Total dissolved solids over time in Roanoke River Project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29059" cy="7444715"/>
                    </a:xfrm>
                    <a:prstGeom prst="rect">
                      <a:avLst/>
                    </a:prstGeom>
                    <a:noFill/>
                  </pic:spPr>
                </pic:pic>
              </a:graphicData>
            </a:graphic>
          </wp:inline>
        </w:drawing>
      </w:r>
    </w:p>
    <w:p w14:paraId="7DD3FE5C" w14:textId="1A247171" w:rsidR="00FE5202" w:rsidRPr="009B1422" w:rsidRDefault="00FE5202" w:rsidP="00FE5202">
      <w:pPr>
        <w:pStyle w:val="Caption"/>
      </w:pPr>
      <w:bookmarkStart w:id="109" w:name="_Ref75941497"/>
      <w:bookmarkStart w:id="110" w:name="_Toc162948248"/>
      <w:r w:rsidRPr="009B1422">
        <w:t xml:space="preserve">Figure </w:t>
      </w:r>
      <w:r w:rsidRPr="009B1422">
        <w:rPr>
          <w:noProof/>
        </w:rPr>
        <w:fldChar w:fldCharType="begin"/>
      </w:r>
      <w:r w:rsidRPr="009B1422">
        <w:rPr>
          <w:noProof/>
        </w:rPr>
        <w:instrText xml:space="preserve"> SEQ Figure \* ARABIC </w:instrText>
      </w:r>
      <w:r w:rsidRPr="009B1422">
        <w:rPr>
          <w:noProof/>
        </w:rPr>
        <w:fldChar w:fldCharType="separate"/>
      </w:r>
      <w:r w:rsidR="004A78BF">
        <w:rPr>
          <w:noProof/>
        </w:rPr>
        <w:t>30</w:t>
      </w:r>
      <w:r w:rsidRPr="009B1422">
        <w:rPr>
          <w:noProof/>
        </w:rPr>
        <w:fldChar w:fldCharType="end"/>
      </w:r>
      <w:bookmarkEnd w:id="109"/>
      <w:r w:rsidRPr="009B1422">
        <w:t xml:space="preserve">. </w:t>
      </w:r>
      <w:r w:rsidR="00377542" w:rsidRPr="009B1422">
        <w:t>Total dissolved solids</w:t>
      </w:r>
      <w:r w:rsidRPr="009B1422">
        <w:t xml:space="preserve"> over time in </w:t>
      </w:r>
      <w:r w:rsidR="005B47D6">
        <w:t>Roanoke River Project streams</w:t>
      </w:r>
      <w:r w:rsidRPr="009B1422">
        <w:t>. Colors represent the probability that data within that range would be responsible for causing stress.</w:t>
      </w:r>
      <w:bookmarkEnd w:id="110"/>
    </w:p>
    <w:p w14:paraId="48D1FB8B" w14:textId="77777777" w:rsidR="00FE5202" w:rsidRPr="009B1422" w:rsidRDefault="00FE5202" w:rsidP="00FE5202">
      <w:pPr>
        <w:spacing w:before="120" w:after="120" w:line="360" w:lineRule="auto"/>
      </w:pPr>
    </w:p>
    <w:p w14:paraId="42EE5D83" w14:textId="74A63080" w:rsidR="00BA50C9" w:rsidRPr="000846F7" w:rsidRDefault="00BA50C9" w:rsidP="00BA50C9">
      <w:pPr>
        <w:pStyle w:val="Heading3"/>
      </w:pPr>
      <w:bookmarkStart w:id="111" w:name="_Toc162948167"/>
      <w:r w:rsidRPr="000846F7">
        <w:t>Dissolved Ions</w:t>
      </w:r>
      <w:bookmarkEnd w:id="111"/>
    </w:p>
    <w:p w14:paraId="7A431C91" w14:textId="28FD799F" w:rsidR="00494261" w:rsidRPr="000846F7" w:rsidRDefault="00494261" w:rsidP="00494261">
      <w:pPr>
        <w:pStyle w:val="BlockText"/>
      </w:pPr>
      <w:r w:rsidRPr="000846F7">
        <w:t xml:space="preserve">Dissolved </w:t>
      </w:r>
      <w:r w:rsidR="00A924E7" w:rsidRPr="000846F7">
        <w:t xml:space="preserve">sodium, </w:t>
      </w:r>
      <w:r w:rsidRPr="000846F7">
        <w:t xml:space="preserve">potassium, </w:t>
      </w:r>
      <w:r w:rsidR="00A924E7" w:rsidRPr="000846F7">
        <w:t>chloride</w:t>
      </w:r>
      <w:r w:rsidRPr="000846F7">
        <w:t xml:space="preserve">, and sulfate were measured in </w:t>
      </w:r>
      <w:r w:rsidR="00C57FFB">
        <w:t>Roanoke River Project streams</w:t>
      </w:r>
      <w:r w:rsidR="000846F7">
        <w:t xml:space="preserve"> (</w:t>
      </w:r>
      <w:r w:rsidR="00A924E7" w:rsidRPr="000846F7">
        <w:fldChar w:fldCharType="begin"/>
      </w:r>
      <w:r w:rsidR="00A924E7" w:rsidRPr="000846F7">
        <w:instrText xml:space="preserve"> REF _Ref45285432 \h </w:instrText>
      </w:r>
      <w:r w:rsidR="00867C44" w:rsidRPr="000846F7">
        <w:instrText xml:space="preserve"> \* MERGEFORMAT </w:instrText>
      </w:r>
      <w:r w:rsidR="00A924E7" w:rsidRPr="000846F7">
        <w:fldChar w:fldCharType="separate"/>
      </w:r>
      <w:r w:rsidR="004A78BF" w:rsidRPr="000846F7">
        <w:t xml:space="preserve">Figure </w:t>
      </w:r>
      <w:r w:rsidR="004A78BF">
        <w:rPr>
          <w:noProof/>
        </w:rPr>
        <w:t>31</w:t>
      </w:r>
      <w:r w:rsidR="00A924E7" w:rsidRPr="000846F7">
        <w:fldChar w:fldCharType="end"/>
      </w:r>
      <w:r w:rsidR="000846F7">
        <w:t>).</w:t>
      </w:r>
      <w:r w:rsidR="00A924E7" w:rsidRPr="000846F7">
        <w:t xml:space="preserve"> </w:t>
      </w:r>
      <w:r w:rsidR="000846F7">
        <w:t>D</w:t>
      </w:r>
      <w:r w:rsidR="00BC5BB1" w:rsidRPr="000846F7">
        <w:t xml:space="preserve">issolved sodium concentrations </w:t>
      </w:r>
      <w:r w:rsidR="00512239" w:rsidRPr="000846F7">
        <w:t xml:space="preserve">averaged </w:t>
      </w:r>
      <w:r w:rsidR="005A0004">
        <w:t>8.77</w:t>
      </w:r>
      <w:r w:rsidR="000846F7">
        <w:t xml:space="preserve"> mg/L in </w:t>
      </w:r>
      <w:r w:rsidR="005A0004">
        <w:t>Wolf Creek</w:t>
      </w:r>
      <w:r w:rsidR="00A831D9">
        <w:t>,</w:t>
      </w:r>
      <w:r w:rsidR="000846F7">
        <w:t xml:space="preserve"> </w:t>
      </w:r>
      <w:r w:rsidR="00A831D9">
        <w:t xml:space="preserve">9.34 mg/L in Tinker Creek, and 6.19 to 13.9 mg/L </w:t>
      </w:r>
      <w:r w:rsidR="00DE1382">
        <w:t>at</w:t>
      </w:r>
      <w:r w:rsidR="00A831D9">
        <w:t xml:space="preserve"> impaired Roanoke River stations. All impaired stations were statistically higher </w:t>
      </w:r>
      <w:r w:rsidR="008A7EEC">
        <w:t xml:space="preserve">in sodium </w:t>
      </w:r>
      <w:r w:rsidR="00A831D9">
        <w:t xml:space="preserve">than their respective reference station (t-test with unequal variance and alpha = 0.05). </w:t>
      </w:r>
      <w:r w:rsidR="000846F7">
        <w:t xml:space="preserve">Median dissolved sodium values </w:t>
      </w:r>
      <w:r w:rsidR="00A831D9">
        <w:t xml:space="preserve">were in the low probability range for stressor effects in Wolf Creek and Tinker Creek. Median values were in the no probability range for stressor effects at station 4AROA202.20 and the medium probability range at stations 4AROA199.20 and 4AROA198.08. None of the impaired stations had dissolved sodium </w:t>
      </w:r>
      <w:r w:rsidR="000846F7">
        <w:t>excursion</w:t>
      </w:r>
      <w:r w:rsidR="00A831D9">
        <w:t>s</w:t>
      </w:r>
      <w:r w:rsidR="000846F7">
        <w:t xml:space="preserve"> into the high probability range </w:t>
      </w:r>
      <w:r w:rsidR="00A831D9">
        <w:t xml:space="preserve">for stressor effects. </w:t>
      </w:r>
      <w:r w:rsidR="00DE1382">
        <w:t xml:space="preserve">The maximum measured sodium value was </w:t>
      </w:r>
      <w:r w:rsidR="00344F76">
        <w:t>18.1</w:t>
      </w:r>
      <w:r w:rsidR="00DE1382">
        <w:t xml:space="preserve"> mg/L at Roanoke River station 4AROA198.08.</w:t>
      </w:r>
    </w:p>
    <w:p w14:paraId="7DF02639" w14:textId="1CACB90D" w:rsidR="00CC1F05" w:rsidRPr="000846F7" w:rsidRDefault="000B0F06" w:rsidP="00FD02AC">
      <w:pPr>
        <w:pStyle w:val="BlockText"/>
      </w:pPr>
      <w:r w:rsidRPr="000846F7">
        <w:t>D</w:t>
      </w:r>
      <w:r w:rsidR="00CC1F05" w:rsidRPr="000846F7">
        <w:t xml:space="preserve">issolved </w:t>
      </w:r>
      <w:r w:rsidRPr="000846F7">
        <w:t>potassium</w:t>
      </w:r>
      <w:r w:rsidR="00CC1F05" w:rsidRPr="000846F7">
        <w:t xml:space="preserve"> concentrations averaged </w:t>
      </w:r>
      <w:r w:rsidR="00323198">
        <w:t>2.47</w:t>
      </w:r>
      <w:r w:rsidR="000846F7">
        <w:t xml:space="preserve"> mg/L in </w:t>
      </w:r>
      <w:r w:rsidR="00323198">
        <w:t xml:space="preserve">Wolf Creek, 2.44 mg/L in Tinker Creek, and 1.93 to 3.43 mg/L </w:t>
      </w:r>
      <w:r w:rsidR="00DE1382">
        <w:t>at</w:t>
      </w:r>
      <w:r w:rsidR="00323198">
        <w:t xml:space="preserve"> impaired Roanoke River stations. Wolf Creek and Tinker Creek were not statistically different from the stream reference, but impaired Roanoke River stations were statistically higher in dissolved potassium than the upstream river reference (t-test with unequal variance and alpha = 0.05). Median dissolved potassium values were in the medium probability range for stressor effects in all impaired streams, although no streams had e</w:t>
      </w:r>
      <w:r w:rsidR="0004624B">
        <w:t xml:space="preserve">xcursions </w:t>
      </w:r>
      <w:r w:rsidR="000846F7">
        <w:t>into the high probability range</w:t>
      </w:r>
      <w:r w:rsidR="0004624B">
        <w:t>.</w:t>
      </w:r>
      <w:r w:rsidR="00DE1382" w:rsidRPr="00DE1382">
        <w:t xml:space="preserve"> </w:t>
      </w:r>
      <w:r w:rsidR="00DE1382">
        <w:t xml:space="preserve">The maximum measured potassium value was </w:t>
      </w:r>
      <w:r w:rsidR="00344F76">
        <w:t>4.14</w:t>
      </w:r>
      <w:r w:rsidR="00DE1382">
        <w:t xml:space="preserve"> mg/L at Roanoke River station 4AROA198.08.</w:t>
      </w:r>
      <w:r w:rsidR="0004624B">
        <w:t xml:space="preserve"> </w:t>
      </w:r>
    </w:p>
    <w:p w14:paraId="3B791E91" w14:textId="7586D383" w:rsidR="0004624B" w:rsidRPr="000846F7" w:rsidRDefault="0004624B" w:rsidP="0004624B">
      <w:pPr>
        <w:pStyle w:val="BlockText"/>
      </w:pPr>
      <w:r w:rsidRPr="000846F7">
        <w:t xml:space="preserve">Dissolved </w:t>
      </w:r>
      <w:r>
        <w:t>chloride</w:t>
      </w:r>
      <w:r w:rsidRPr="000846F7">
        <w:t xml:space="preserve"> concentrations averaged </w:t>
      </w:r>
      <w:r>
        <w:t>1</w:t>
      </w:r>
      <w:r w:rsidR="00526AEF">
        <w:t>3.7</w:t>
      </w:r>
      <w:r>
        <w:t xml:space="preserve"> mg/L in </w:t>
      </w:r>
      <w:r w:rsidR="00DE1382">
        <w:t xml:space="preserve">Wolf Creek, 16.6 mg/L in Tinker Creek, and 10.8 to 25.6 mg/L at impaired Roanoke River stations. Tinker Creek and each of the impaired Roanoke River stations were statistically higher </w:t>
      </w:r>
      <w:r w:rsidR="008A7EEC">
        <w:t xml:space="preserve">in chloride </w:t>
      </w:r>
      <w:r w:rsidR="00DE1382">
        <w:t>than their respective reference station (t-test with unequal variance and alpha = 0.05). Median dissolved chloride values were in the low probability range for stressor effects in each of the impaired streams with the exception of Roanoke River station 4AROA199.20, where the median dissolved chloride value was in the medium probability range for stressor effects. None of the impaired stations had dissolved chloride excursions into the high probability range for stressor effects. The maximum measured chloride value was 31.2</w:t>
      </w:r>
      <w:r>
        <w:t xml:space="preserve"> mg/L</w:t>
      </w:r>
      <w:r w:rsidR="00DE1382">
        <w:t xml:space="preserve"> at Roanoke River station 4AROA198.08</w:t>
      </w:r>
      <w:r>
        <w:t>.</w:t>
      </w:r>
      <w:r w:rsidRPr="0004624B">
        <w:t xml:space="preserve"> </w:t>
      </w:r>
      <w:r>
        <w:t xml:space="preserve">This is still well below the </w:t>
      </w:r>
      <w:r w:rsidRPr="000846F7">
        <w:t>Virginia water quality criteri</w:t>
      </w:r>
      <w:r w:rsidR="008A7EEC">
        <w:t>on</w:t>
      </w:r>
      <w:r w:rsidRPr="000846F7">
        <w:t xml:space="preserve"> for chloride </w:t>
      </w:r>
      <w:r>
        <w:t>of</w:t>
      </w:r>
      <w:r w:rsidRPr="000846F7">
        <w:t xml:space="preserve"> 230 mg/L</w:t>
      </w:r>
      <w:r>
        <w:t>.</w:t>
      </w:r>
    </w:p>
    <w:p w14:paraId="412C3A71" w14:textId="38D31DC6" w:rsidR="00307CD2" w:rsidRPr="000846F7" w:rsidRDefault="00307CD2" w:rsidP="00307CD2">
      <w:pPr>
        <w:pStyle w:val="BlockText"/>
      </w:pPr>
      <w:r w:rsidRPr="000846F7">
        <w:t xml:space="preserve">Dissolved sulfate concentrations </w:t>
      </w:r>
      <w:r w:rsidR="0004624B">
        <w:t xml:space="preserve">averaged </w:t>
      </w:r>
      <w:r w:rsidR="00344F76">
        <w:t xml:space="preserve">7.41 mg/L in Wolf Creek, 25.4 mg/L in Tinker Creek, and 18.4 to 23.3 mg/L at impaired Roanoke River stations. Tinker Creek and each of the impaired Roanoke River stations were statistically higher </w:t>
      </w:r>
      <w:r w:rsidR="008A7EEC">
        <w:t xml:space="preserve">in sulfate </w:t>
      </w:r>
      <w:r w:rsidR="00344F76">
        <w:t xml:space="preserve">than their respective reference station (t-test with unequal variance and alpha = 0.05). Median dissolved sulfate values were in the no probability range for stressor effects in Wolf Creek, the medium probability range in Tinker Creek, and the low probability range at each of the impaired Roanoke River stations. None of the impaired stations had dissolved sulfate excursions into the high probability range for stressor effects. The maximum measured sulfate value was 32.5 mg/L in Tinker Creek. </w:t>
      </w:r>
    </w:p>
    <w:p w14:paraId="062134AC" w14:textId="3B2B8570" w:rsidR="00BA50C9" w:rsidRPr="000846F7" w:rsidRDefault="00494261" w:rsidP="00494261">
      <w:pPr>
        <w:spacing w:before="120" w:after="120" w:line="360" w:lineRule="auto"/>
      </w:pPr>
      <w:r w:rsidRPr="000846F7">
        <w:t xml:space="preserve">In summary, the potentially toxic ions chloride, potassium, sodium, and sulfate are not likely to be stressors in </w:t>
      </w:r>
      <w:r w:rsidR="00344F76">
        <w:t>Roanoke River Project streams</w:t>
      </w:r>
      <w:r w:rsidR="0017443D" w:rsidRPr="000846F7">
        <w:t xml:space="preserve">. </w:t>
      </w:r>
      <w:r w:rsidR="00DA31FD" w:rsidRPr="000846F7">
        <w:t>None of the streams had median concentrations</w:t>
      </w:r>
      <w:r w:rsidR="008336C6" w:rsidRPr="000846F7">
        <w:t xml:space="preserve"> </w:t>
      </w:r>
      <w:r w:rsidR="00DA31FD" w:rsidRPr="000846F7">
        <w:t xml:space="preserve">of any of the dissolved ions in the high probability range for stressor effects. </w:t>
      </w:r>
      <w:r w:rsidR="009D0927">
        <w:t>Several streams had</w:t>
      </w:r>
      <w:r w:rsidR="006E744A" w:rsidRPr="000846F7">
        <w:t xml:space="preserve"> median </w:t>
      </w:r>
      <w:r w:rsidR="00E30405">
        <w:t xml:space="preserve">dissolved </w:t>
      </w:r>
      <w:r w:rsidR="009D0927">
        <w:t xml:space="preserve">ion levels </w:t>
      </w:r>
      <w:r w:rsidR="006E744A" w:rsidRPr="000846F7">
        <w:t xml:space="preserve">in the medium probability range for stressor effects, but maximum values </w:t>
      </w:r>
      <w:r w:rsidR="00E30405">
        <w:t xml:space="preserve">of all ions </w:t>
      </w:r>
      <w:r w:rsidR="006E744A" w:rsidRPr="000846F7">
        <w:t xml:space="preserve">were well below water quality criteria or toxic levels reported by </w:t>
      </w:r>
      <w:r w:rsidR="008336C6" w:rsidRPr="000846F7">
        <w:t xml:space="preserve">Mount </w:t>
      </w:r>
      <w:r w:rsidR="008336C6" w:rsidRPr="000846F7">
        <w:rPr>
          <w:i/>
        </w:rPr>
        <w:t>et al.</w:t>
      </w:r>
      <w:r w:rsidR="008336C6" w:rsidRPr="000846F7">
        <w:t xml:space="preserve"> (2016)</w:t>
      </w:r>
      <w:r w:rsidR="006E744A" w:rsidRPr="000846F7">
        <w:t>.</w:t>
      </w:r>
      <w:r w:rsidR="008336C6" w:rsidRPr="000846F7">
        <w:t xml:space="preserve"> </w:t>
      </w:r>
      <w:r w:rsidR="006E744A" w:rsidRPr="000846F7">
        <w:t>Virginia’s water quality criteri</w:t>
      </w:r>
      <w:r w:rsidR="008A7EEC">
        <w:t>on</w:t>
      </w:r>
      <w:r w:rsidR="006E744A" w:rsidRPr="000846F7">
        <w:t xml:space="preserve"> for chloride is 230 mg/L, which is approximately </w:t>
      </w:r>
      <w:r w:rsidR="009D0927">
        <w:t>seven</w:t>
      </w:r>
      <w:r w:rsidR="006E744A" w:rsidRPr="000846F7">
        <w:t xml:space="preserve"> times higher than the highest chloride concentration measured in </w:t>
      </w:r>
      <w:r w:rsidR="009D0927">
        <w:t>Roanoke River Project streams</w:t>
      </w:r>
      <w:r w:rsidR="006E744A" w:rsidRPr="000846F7">
        <w:t xml:space="preserve">. Similarly, measured concentrations were well below toxic levels reported by Mount </w:t>
      </w:r>
      <w:r w:rsidR="006E744A" w:rsidRPr="000846F7">
        <w:rPr>
          <w:i/>
        </w:rPr>
        <w:t>et al.</w:t>
      </w:r>
      <w:r w:rsidR="006E744A" w:rsidRPr="000846F7">
        <w:t xml:space="preserve"> (2016) for sodium (460-920 mg/L), potassium (78-390 mg/L), or sulfate (96-2400 mg/L). </w:t>
      </w:r>
    </w:p>
    <w:p w14:paraId="4D5DAA02" w14:textId="77777777" w:rsidR="00FD489D" w:rsidRPr="000846F7" w:rsidRDefault="00FD489D" w:rsidP="00494261">
      <w:pPr>
        <w:spacing w:before="120" w:after="120" w:line="360" w:lineRule="auto"/>
      </w:pPr>
    </w:p>
    <w:p w14:paraId="45B92069" w14:textId="616A6752" w:rsidR="00A924E7" w:rsidRPr="000846F7" w:rsidRDefault="00344F76" w:rsidP="00A924E7">
      <w:pPr>
        <w:keepNext/>
        <w:spacing w:before="120" w:after="120" w:line="360" w:lineRule="auto"/>
      </w:pPr>
      <w:r>
        <w:rPr>
          <w:noProof/>
        </w:rPr>
        <w:drawing>
          <wp:inline distT="0" distB="0" distL="0" distR="0" wp14:anchorId="5DC906FE" wp14:editId="686284C1">
            <wp:extent cx="5997486" cy="4140200"/>
            <wp:effectExtent l="0" t="0" r="3810" b="0"/>
            <wp:docPr id="16" name="Picture 16" descr="Dissolved ions in Roanoke River Project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08834" cy="4148034"/>
                    </a:xfrm>
                    <a:prstGeom prst="rect">
                      <a:avLst/>
                    </a:prstGeom>
                    <a:noFill/>
                  </pic:spPr>
                </pic:pic>
              </a:graphicData>
            </a:graphic>
          </wp:inline>
        </w:drawing>
      </w:r>
    </w:p>
    <w:p w14:paraId="1397E957" w14:textId="49334483" w:rsidR="00C105F4" w:rsidRPr="000846F7" w:rsidRDefault="00A924E7" w:rsidP="00A924E7">
      <w:pPr>
        <w:pStyle w:val="Caption"/>
      </w:pPr>
      <w:bookmarkStart w:id="112" w:name="_Ref45285432"/>
      <w:bookmarkStart w:id="113" w:name="_Toc162948249"/>
      <w:r w:rsidRPr="000846F7">
        <w:t xml:space="preserve">Figure </w:t>
      </w:r>
      <w:r w:rsidR="00EC7614" w:rsidRPr="000846F7">
        <w:rPr>
          <w:noProof/>
        </w:rPr>
        <w:fldChar w:fldCharType="begin"/>
      </w:r>
      <w:r w:rsidR="00EC7614" w:rsidRPr="000846F7">
        <w:rPr>
          <w:noProof/>
        </w:rPr>
        <w:instrText xml:space="preserve"> SEQ Figure \* ARABIC </w:instrText>
      </w:r>
      <w:r w:rsidR="00EC7614" w:rsidRPr="000846F7">
        <w:rPr>
          <w:noProof/>
        </w:rPr>
        <w:fldChar w:fldCharType="separate"/>
      </w:r>
      <w:r w:rsidR="004A78BF">
        <w:rPr>
          <w:noProof/>
        </w:rPr>
        <w:t>31</w:t>
      </w:r>
      <w:r w:rsidR="00EC7614" w:rsidRPr="000846F7">
        <w:rPr>
          <w:noProof/>
        </w:rPr>
        <w:fldChar w:fldCharType="end"/>
      </w:r>
      <w:bookmarkEnd w:id="112"/>
      <w:r w:rsidRPr="000846F7">
        <w:t xml:space="preserve">. Dissolved ions in </w:t>
      </w:r>
      <w:r w:rsidR="00C25BE4">
        <w:t xml:space="preserve">Roanoke River Project streams. </w:t>
      </w:r>
      <w:r w:rsidRPr="000846F7">
        <w:t>Boxes represent the inter-quartile range, whiskers represent minimum and maximum values excluding outliers, lines represent the median, and the X represent</w:t>
      </w:r>
      <w:r w:rsidR="00347535">
        <w:t>s</w:t>
      </w:r>
      <w:r w:rsidRPr="000846F7">
        <w:t xml:space="preserve"> the mean. Dots represent outliers that are greater than 1.5 times the inter-quartile range away from the mean. The "D" indicates statistically </w:t>
      </w:r>
      <w:r w:rsidR="005416D6">
        <w:t xml:space="preserve">higher dissolved ions than </w:t>
      </w:r>
      <w:r w:rsidRPr="000846F7">
        <w:t>the reference station. Colors represent the probability that data within that range would be responsible for causing stress.</w:t>
      </w:r>
      <w:bookmarkEnd w:id="113"/>
    </w:p>
    <w:p w14:paraId="5D62041A" w14:textId="39619BC8" w:rsidR="00C105F4" w:rsidRPr="000846F7" w:rsidRDefault="00C105F4" w:rsidP="00F35736">
      <w:pPr>
        <w:spacing w:line="240" w:lineRule="auto"/>
      </w:pPr>
    </w:p>
    <w:p w14:paraId="59075E61" w14:textId="42A41FF8" w:rsidR="00BA50C9" w:rsidRPr="008D60CE" w:rsidRDefault="00BA50C9" w:rsidP="00BA50C9">
      <w:pPr>
        <w:pStyle w:val="Heading3"/>
      </w:pPr>
      <w:bookmarkStart w:id="114" w:name="_Toc162948168"/>
      <w:r w:rsidRPr="008D60CE">
        <w:t>Solids</w:t>
      </w:r>
      <w:bookmarkEnd w:id="114"/>
    </w:p>
    <w:p w14:paraId="1522F123" w14:textId="1D8842F4" w:rsidR="008D60CE" w:rsidRPr="008D60CE" w:rsidRDefault="00455282" w:rsidP="008D60CE">
      <w:pPr>
        <w:spacing w:before="120" w:after="120" w:line="360" w:lineRule="auto"/>
      </w:pPr>
      <w:r w:rsidRPr="008D60CE">
        <w:fldChar w:fldCharType="begin"/>
      </w:r>
      <w:r w:rsidRPr="008D60CE">
        <w:instrText xml:space="preserve"> REF _Ref43818756 \h </w:instrText>
      </w:r>
      <w:r w:rsidR="00867C44" w:rsidRPr="008D60CE">
        <w:instrText xml:space="preserve"> \* MERGEFORMAT </w:instrText>
      </w:r>
      <w:r w:rsidRPr="008D60CE">
        <w:fldChar w:fldCharType="separate"/>
      </w:r>
      <w:r w:rsidR="004A78BF" w:rsidRPr="008D60CE">
        <w:t xml:space="preserve">Figure </w:t>
      </w:r>
      <w:r w:rsidR="004A78BF">
        <w:rPr>
          <w:noProof/>
        </w:rPr>
        <w:t>32</w:t>
      </w:r>
      <w:r w:rsidRPr="008D60CE">
        <w:fldChar w:fldCharType="end"/>
      </w:r>
      <w:r w:rsidRPr="008D60CE">
        <w:t xml:space="preserve"> shows t</w:t>
      </w:r>
      <w:r w:rsidR="000A2AB8" w:rsidRPr="008D60CE">
        <w:t xml:space="preserve">otal suspended solids (TSS) measured in </w:t>
      </w:r>
      <w:r w:rsidR="004B0B1A">
        <w:t xml:space="preserve">Roanoke River Project streams. </w:t>
      </w:r>
      <w:r w:rsidR="001053FD">
        <w:t xml:space="preserve">TSS averaged 5.5 mg/L in Wolf Creek, 8.8 mg/L at Tinker Creek impaired stations, 11.3 </w:t>
      </w:r>
      <w:r w:rsidR="00A3620A">
        <w:t xml:space="preserve">mg/L at Roanoke River station 4AROA202.20, and 10.7 </w:t>
      </w:r>
      <w:r w:rsidR="001053FD">
        <w:t xml:space="preserve">mg/L at Roanoke River </w:t>
      </w:r>
      <w:r w:rsidR="00A3620A">
        <w:t>station 4AROA199.20</w:t>
      </w:r>
      <w:r w:rsidR="001053FD">
        <w:t>. None of the impaired stations differed statistically from relevant reference stations, although TSS data is inherently variable. Cumulative probability distributions of TSS values across the various sites were relatively consistent (</w:t>
      </w:r>
      <w:r w:rsidR="001053FD">
        <w:fldChar w:fldCharType="begin"/>
      </w:r>
      <w:r w:rsidR="001053FD">
        <w:instrText xml:space="preserve"> REF _Ref138664448 \h </w:instrText>
      </w:r>
      <w:r w:rsidR="001053FD">
        <w:fldChar w:fldCharType="separate"/>
      </w:r>
      <w:r w:rsidR="004A78BF">
        <w:t xml:space="preserve">Figure </w:t>
      </w:r>
      <w:r w:rsidR="004A78BF">
        <w:rPr>
          <w:noProof/>
        </w:rPr>
        <w:t>33</w:t>
      </w:r>
      <w:r w:rsidR="001053FD">
        <w:fldChar w:fldCharType="end"/>
      </w:r>
      <w:r w:rsidR="001053FD">
        <w:t>)</w:t>
      </w:r>
      <w:r w:rsidR="0055701A">
        <w:t>, with medians varying by only 2 mg/L and 75</w:t>
      </w:r>
      <w:r w:rsidR="0055701A" w:rsidRPr="0055701A">
        <w:rPr>
          <w:vertAlign w:val="superscript"/>
        </w:rPr>
        <w:t>th</w:t>
      </w:r>
      <w:r w:rsidR="0055701A">
        <w:t xml:space="preserve"> percentiles varying by only 4 mg/L</w:t>
      </w:r>
      <w:r w:rsidR="001053FD">
        <w:t xml:space="preserve">. </w:t>
      </w:r>
    </w:p>
    <w:p w14:paraId="3CCAA976" w14:textId="498C4D00" w:rsidR="0055701A" w:rsidRDefault="00C42AC6" w:rsidP="0055701A">
      <w:pPr>
        <w:spacing w:before="120" w:after="120" w:line="360" w:lineRule="auto"/>
      </w:pPr>
      <w:r w:rsidRPr="008D60CE">
        <w:t xml:space="preserve">In addition to TSS concentrations, turbidity levels were measured in </w:t>
      </w:r>
      <w:r w:rsidR="0055701A">
        <w:t xml:space="preserve">Roanoke River Project streams </w:t>
      </w:r>
      <w:r w:rsidRPr="008D60CE">
        <w:t>(</w:t>
      </w:r>
      <w:r w:rsidRPr="008D60CE">
        <w:fldChar w:fldCharType="begin"/>
      </w:r>
      <w:r w:rsidRPr="008D60CE">
        <w:instrText xml:space="preserve"> REF _Ref75421258 \h </w:instrText>
      </w:r>
      <w:r w:rsidR="007A0C83" w:rsidRPr="008D60CE">
        <w:instrText xml:space="preserve"> \* MERGEFORMAT </w:instrText>
      </w:r>
      <w:r w:rsidRPr="008D60CE">
        <w:fldChar w:fldCharType="separate"/>
      </w:r>
      <w:r w:rsidR="004A78BF" w:rsidRPr="008D60CE">
        <w:t xml:space="preserve">Figure </w:t>
      </w:r>
      <w:r w:rsidR="004A78BF">
        <w:rPr>
          <w:noProof/>
        </w:rPr>
        <w:t>34</w:t>
      </w:r>
      <w:r w:rsidRPr="008D60CE">
        <w:fldChar w:fldCharType="end"/>
      </w:r>
      <w:r w:rsidRPr="008D60CE">
        <w:t xml:space="preserve">). </w:t>
      </w:r>
      <w:r w:rsidR="00BE22AE">
        <w:t xml:space="preserve">Turbidity </w:t>
      </w:r>
      <w:r w:rsidR="0055701A">
        <w:t xml:space="preserve">averaged 5.6 NTU in Wolf Creek, 7.3 NTU at impaired Tinker Creek stations, </w:t>
      </w:r>
      <w:r w:rsidR="00A3620A">
        <w:t xml:space="preserve">9.1 NTU at Roanoke River station 4AROA202.20, and </w:t>
      </w:r>
      <w:r w:rsidR="0055701A">
        <w:t xml:space="preserve">7.4 </w:t>
      </w:r>
      <w:r w:rsidR="00A3620A">
        <w:t xml:space="preserve">NTU </w:t>
      </w:r>
      <w:r w:rsidR="0055701A">
        <w:t>at Roanoke River station</w:t>
      </w:r>
      <w:r w:rsidR="00A3620A">
        <w:t xml:space="preserve"> 4AROA199.20</w:t>
      </w:r>
      <w:r w:rsidR="0055701A">
        <w:t xml:space="preserve">. Like TSS, turbidity also did not differ statistically between impaired Roanoke River Project stations and relevant references. </w:t>
      </w:r>
    </w:p>
    <w:p w14:paraId="7165FF79" w14:textId="56719EB3" w:rsidR="00EE6BC2" w:rsidRDefault="0095743D" w:rsidP="0055701A">
      <w:pPr>
        <w:spacing w:before="120" w:after="120" w:line="360" w:lineRule="auto"/>
      </w:pPr>
      <w:r w:rsidRPr="00FD0B76">
        <w:t xml:space="preserve">In addition to periodic conductivity measurements, </w:t>
      </w:r>
      <w:r>
        <w:t>the USGS operates a continuous gage and monitoring station that measures turbidity on Tinker Creek and on the Roanoke River. The Tinker Creek gage (205551614) is located above Glade Creek and upstream of VDEQ station 4ATKR000.69. The Roanoke River gage (2055080) is located at the 13</w:t>
      </w:r>
      <w:r w:rsidRPr="00C42053">
        <w:rPr>
          <w:vertAlign w:val="superscript"/>
        </w:rPr>
        <w:t>th</w:t>
      </w:r>
      <w:r>
        <w:t xml:space="preserve"> Street bridge and co-located with VDEQ station 4AROA202.20. </w:t>
      </w:r>
      <w:r w:rsidR="00DC13D3">
        <w:fldChar w:fldCharType="begin"/>
      </w:r>
      <w:r w:rsidR="00DC13D3">
        <w:instrText xml:space="preserve"> REF _Ref84257478 \h </w:instrText>
      </w:r>
      <w:r w:rsidR="00DC13D3">
        <w:fldChar w:fldCharType="separate"/>
      </w:r>
      <w:r w:rsidR="004A78BF" w:rsidRPr="00C13F46">
        <w:t xml:space="preserve">Figure </w:t>
      </w:r>
      <w:r w:rsidR="004A78BF">
        <w:rPr>
          <w:noProof/>
        </w:rPr>
        <w:t>35</w:t>
      </w:r>
      <w:r w:rsidR="00DC13D3">
        <w:fldChar w:fldCharType="end"/>
      </w:r>
      <w:r>
        <w:t xml:space="preserve"> shows 15-minute </w:t>
      </w:r>
      <w:r w:rsidR="00DC13D3">
        <w:t>turbidity</w:t>
      </w:r>
      <w:r>
        <w:t xml:space="preserve"> data collected from these two stations since September 2019. </w:t>
      </w:r>
      <w:r w:rsidR="00DC13D3">
        <w:t xml:space="preserve">Turbidity is highly variable based on flow conditions. Median turbidity values during this time period were 2.4 FNU and 3.3 FNU in Tinker Creek and the Roanoke River, respectively. </w:t>
      </w:r>
      <w:r w:rsidR="007C212D">
        <w:fldChar w:fldCharType="begin"/>
      </w:r>
      <w:r w:rsidR="007C212D">
        <w:instrText xml:space="preserve"> REF _Ref140054937 \h </w:instrText>
      </w:r>
      <w:r w:rsidR="007C212D">
        <w:fldChar w:fldCharType="separate"/>
      </w:r>
      <w:r w:rsidR="004A78BF">
        <w:t xml:space="preserve">Figure </w:t>
      </w:r>
      <w:r w:rsidR="004A78BF">
        <w:rPr>
          <w:noProof/>
        </w:rPr>
        <w:t>36</w:t>
      </w:r>
      <w:r w:rsidR="007C212D">
        <w:fldChar w:fldCharType="end"/>
      </w:r>
      <w:r w:rsidR="007C212D">
        <w:t xml:space="preserve"> compares the cumulative probability distributions of turbidity at these stations with stream and river references. </w:t>
      </w:r>
      <w:r w:rsidR="00C8669F">
        <w:t>The distributions are relatively consistent</w:t>
      </w:r>
      <w:r w:rsidR="00BF3A08">
        <w:t>,</w:t>
      </w:r>
      <w:r w:rsidR="00C8669F">
        <w:t xml:space="preserve"> with Tinker Creek having only slightly higher turbidity than the stream reference and Roanoke River </w:t>
      </w:r>
      <w:r w:rsidR="00FF174F">
        <w:t xml:space="preserve">having </w:t>
      </w:r>
      <w:r w:rsidR="00C8669F">
        <w:t xml:space="preserve">only slightly higher </w:t>
      </w:r>
      <w:r w:rsidR="00FF174F">
        <w:t xml:space="preserve">turbidity </w:t>
      </w:r>
      <w:r w:rsidR="00C8669F">
        <w:t>than the river reference at the upper end of the distribution</w:t>
      </w:r>
      <w:r w:rsidR="00DC13D3">
        <w:t xml:space="preserve">. </w:t>
      </w:r>
    </w:p>
    <w:p w14:paraId="4ED6026B" w14:textId="42872274" w:rsidR="00FF174F" w:rsidRPr="008D60CE" w:rsidRDefault="00FF174F" w:rsidP="0055701A">
      <w:pPr>
        <w:spacing w:before="120" w:after="120" w:line="360" w:lineRule="auto"/>
      </w:pPr>
      <w:r>
        <w:t xml:space="preserve">In summary, total suspended solids and turbidity </w:t>
      </w:r>
      <w:r w:rsidR="0001659E">
        <w:t>in impaired Roanoke River Project streams were</w:t>
      </w:r>
      <w:r>
        <w:t xml:space="preserve"> </w:t>
      </w:r>
      <w:r w:rsidR="0001659E">
        <w:t xml:space="preserve">not statistically different from relevant references. These parameters, however, are </w:t>
      </w:r>
      <w:r>
        <w:t>highly variable based on flow conditions</w:t>
      </w:r>
      <w:r w:rsidR="0001659E">
        <w:t>, so identifying statistical differences is difficult</w:t>
      </w:r>
      <w:r>
        <w:t xml:space="preserve">. </w:t>
      </w:r>
      <w:r w:rsidR="00B7522D">
        <w:t>For this reason, the impacts of suspended solids as a stressor are better diagnosed through habitat and biological data</w:t>
      </w:r>
      <w:r>
        <w:t xml:space="preserve">. </w:t>
      </w:r>
    </w:p>
    <w:p w14:paraId="5AB36F18" w14:textId="45377659" w:rsidR="007050F6" w:rsidRPr="008D60CE" w:rsidRDefault="007050F6" w:rsidP="00C42AC6">
      <w:pPr>
        <w:spacing w:before="120" w:after="120" w:line="360" w:lineRule="auto"/>
      </w:pPr>
    </w:p>
    <w:p w14:paraId="38C5C7B2" w14:textId="2EDD78F4" w:rsidR="001C3CED" w:rsidRPr="008D60CE" w:rsidRDefault="00922C7C" w:rsidP="001C3CED">
      <w:pPr>
        <w:keepNext/>
        <w:spacing w:before="120" w:after="120" w:line="360" w:lineRule="auto"/>
      </w:pPr>
      <w:r>
        <w:rPr>
          <w:noProof/>
        </w:rPr>
        <w:drawing>
          <wp:inline distT="0" distB="0" distL="0" distR="0" wp14:anchorId="43425055" wp14:editId="3B5FD102">
            <wp:extent cx="4579620" cy="3208020"/>
            <wp:effectExtent l="0" t="0" r="0" b="0"/>
            <wp:docPr id="28" name="Picture 28" descr="Total suspended solids in Roanoke River Project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9620" cy="3208020"/>
                    </a:xfrm>
                    <a:prstGeom prst="rect">
                      <a:avLst/>
                    </a:prstGeom>
                    <a:noFill/>
                  </pic:spPr>
                </pic:pic>
              </a:graphicData>
            </a:graphic>
          </wp:inline>
        </w:drawing>
      </w:r>
    </w:p>
    <w:p w14:paraId="0B502924" w14:textId="3BF9413A" w:rsidR="001C3CED" w:rsidRPr="008D60CE" w:rsidRDefault="001C3CED" w:rsidP="001C3CED">
      <w:pPr>
        <w:pStyle w:val="Caption"/>
      </w:pPr>
      <w:bookmarkStart w:id="115" w:name="_Ref43818756"/>
      <w:bookmarkStart w:id="116" w:name="_Toc162948250"/>
      <w:r w:rsidRPr="008D60CE">
        <w:t xml:space="preserve">Figure </w:t>
      </w:r>
      <w:r w:rsidR="00083B7E" w:rsidRPr="008D60CE">
        <w:rPr>
          <w:noProof/>
        </w:rPr>
        <w:fldChar w:fldCharType="begin"/>
      </w:r>
      <w:r w:rsidR="00083B7E" w:rsidRPr="008D60CE">
        <w:rPr>
          <w:noProof/>
        </w:rPr>
        <w:instrText xml:space="preserve"> SEQ Figure \* ARABIC </w:instrText>
      </w:r>
      <w:r w:rsidR="00083B7E" w:rsidRPr="008D60CE">
        <w:rPr>
          <w:noProof/>
        </w:rPr>
        <w:fldChar w:fldCharType="separate"/>
      </w:r>
      <w:r w:rsidR="004A78BF">
        <w:rPr>
          <w:noProof/>
        </w:rPr>
        <w:t>32</w:t>
      </w:r>
      <w:r w:rsidR="00083B7E" w:rsidRPr="008D60CE">
        <w:rPr>
          <w:noProof/>
        </w:rPr>
        <w:fldChar w:fldCharType="end"/>
      </w:r>
      <w:bookmarkEnd w:id="115"/>
      <w:r w:rsidRPr="008D60CE">
        <w:t xml:space="preserve">. Total suspended solids in </w:t>
      </w:r>
      <w:r w:rsidR="00EC0E21">
        <w:t>Roanoke River Project streams</w:t>
      </w:r>
      <w:r w:rsidRPr="008D60CE">
        <w:t>. Boxes represent the inter-quartile range, whiskers represent minimum and maximum values excluding outliers, lines represent the median, and the X represent</w:t>
      </w:r>
      <w:r w:rsidR="00347535">
        <w:t>s</w:t>
      </w:r>
      <w:r w:rsidRPr="008D60CE">
        <w:t xml:space="preserve"> the mean. Dots represent outliers that are greater than 1.5 times the inter-quartile range away from the mean. </w:t>
      </w:r>
      <w:r w:rsidR="00EC0E21">
        <w:t>Arrows indicate values exceeding the range of the graph.</w:t>
      </w:r>
      <w:bookmarkEnd w:id="116"/>
      <w:r w:rsidR="00EC0E21">
        <w:t xml:space="preserve"> </w:t>
      </w:r>
    </w:p>
    <w:p w14:paraId="148B385C" w14:textId="77777777" w:rsidR="00107256" w:rsidRPr="008D60CE" w:rsidRDefault="00107256" w:rsidP="00107256"/>
    <w:p w14:paraId="4C10C7DB" w14:textId="77777777" w:rsidR="001053FD" w:rsidRDefault="001053FD" w:rsidP="001053FD">
      <w:pPr>
        <w:keepNext/>
        <w:spacing w:before="120" w:after="120" w:line="360" w:lineRule="auto"/>
      </w:pPr>
      <w:r>
        <w:rPr>
          <w:noProof/>
          <w:highlight w:val="yellow"/>
        </w:rPr>
        <w:drawing>
          <wp:inline distT="0" distB="0" distL="0" distR="0" wp14:anchorId="29FF8D3D" wp14:editId="36BB8E03">
            <wp:extent cx="4572000" cy="2743200"/>
            <wp:effectExtent l="0" t="0" r="0" b="0"/>
            <wp:docPr id="32" name="Picture 32" descr="Cumulative probability distribution of total suspended solids in Roanoke River Project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pic:spPr>
                </pic:pic>
              </a:graphicData>
            </a:graphic>
          </wp:inline>
        </w:drawing>
      </w:r>
    </w:p>
    <w:p w14:paraId="5EB2CC53" w14:textId="3236EA9B" w:rsidR="000F4E99" w:rsidRDefault="001053FD" w:rsidP="001053FD">
      <w:pPr>
        <w:pStyle w:val="Caption"/>
        <w:rPr>
          <w:highlight w:val="yellow"/>
        </w:rPr>
      </w:pPr>
      <w:bookmarkStart w:id="117" w:name="_Ref138664448"/>
      <w:bookmarkStart w:id="118" w:name="_Toc162948251"/>
      <w:r>
        <w:t xml:space="preserve">Figure </w:t>
      </w:r>
      <w:r w:rsidR="00852401">
        <w:rPr>
          <w:noProof/>
        </w:rPr>
        <w:fldChar w:fldCharType="begin"/>
      </w:r>
      <w:r w:rsidR="00852401">
        <w:rPr>
          <w:noProof/>
        </w:rPr>
        <w:instrText xml:space="preserve"> SEQ Figure \* ARABIC </w:instrText>
      </w:r>
      <w:r w:rsidR="00852401">
        <w:rPr>
          <w:noProof/>
        </w:rPr>
        <w:fldChar w:fldCharType="separate"/>
      </w:r>
      <w:r w:rsidR="004A78BF">
        <w:rPr>
          <w:noProof/>
        </w:rPr>
        <w:t>33</w:t>
      </w:r>
      <w:r w:rsidR="00852401">
        <w:rPr>
          <w:noProof/>
        </w:rPr>
        <w:fldChar w:fldCharType="end"/>
      </w:r>
      <w:bookmarkEnd w:id="117"/>
      <w:r>
        <w:t>. Cumulative probability distribution of total suspended solids in Roanoke River Project streams.</w:t>
      </w:r>
      <w:bookmarkEnd w:id="118"/>
    </w:p>
    <w:p w14:paraId="1BF07652" w14:textId="77777777" w:rsidR="001053FD" w:rsidRDefault="001053FD" w:rsidP="00107256">
      <w:pPr>
        <w:spacing w:before="120" w:after="120" w:line="360" w:lineRule="auto"/>
        <w:rPr>
          <w:highlight w:val="yellow"/>
        </w:rPr>
      </w:pPr>
    </w:p>
    <w:p w14:paraId="3B97D7C7" w14:textId="77777777" w:rsidR="001053FD" w:rsidRPr="007A0C83" w:rsidRDefault="001053FD" w:rsidP="00107256">
      <w:pPr>
        <w:spacing w:before="120" w:after="120" w:line="360" w:lineRule="auto"/>
        <w:rPr>
          <w:highlight w:val="yellow"/>
        </w:rPr>
      </w:pPr>
    </w:p>
    <w:p w14:paraId="471566C9" w14:textId="43903C42" w:rsidR="001C3CED" w:rsidRPr="007A0C83" w:rsidRDefault="001C3CED" w:rsidP="00BA50C9">
      <w:pPr>
        <w:spacing w:before="120" w:after="120" w:line="360" w:lineRule="auto"/>
        <w:rPr>
          <w:highlight w:val="yellow"/>
        </w:rPr>
      </w:pPr>
    </w:p>
    <w:p w14:paraId="5076E017" w14:textId="3E93A03A" w:rsidR="004C3218" w:rsidRPr="008D60CE" w:rsidRDefault="0055701A" w:rsidP="004C3218">
      <w:pPr>
        <w:keepNext/>
        <w:spacing w:before="120" w:after="120" w:line="360" w:lineRule="auto"/>
      </w:pPr>
      <w:r>
        <w:rPr>
          <w:noProof/>
        </w:rPr>
        <w:drawing>
          <wp:inline distT="0" distB="0" distL="0" distR="0" wp14:anchorId="7853332C" wp14:editId="717C4AE9">
            <wp:extent cx="4579620" cy="3139440"/>
            <wp:effectExtent l="0" t="0" r="0" b="3810"/>
            <wp:docPr id="42" name="Picture 42" descr="Turbidity in Roanoke River Project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9620" cy="3139440"/>
                    </a:xfrm>
                    <a:prstGeom prst="rect">
                      <a:avLst/>
                    </a:prstGeom>
                    <a:noFill/>
                  </pic:spPr>
                </pic:pic>
              </a:graphicData>
            </a:graphic>
          </wp:inline>
        </w:drawing>
      </w:r>
    </w:p>
    <w:p w14:paraId="7B7FBD46" w14:textId="551B27C4" w:rsidR="004C3218" w:rsidRPr="008D60CE" w:rsidRDefault="004C3218" w:rsidP="004C3218">
      <w:pPr>
        <w:pStyle w:val="Caption"/>
      </w:pPr>
      <w:bookmarkStart w:id="119" w:name="_Ref75421258"/>
      <w:bookmarkStart w:id="120" w:name="_Toc162948252"/>
      <w:r w:rsidRPr="008D60CE">
        <w:t xml:space="preserve">Figure </w:t>
      </w:r>
      <w:r w:rsidRPr="008D60CE">
        <w:rPr>
          <w:noProof/>
        </w:rPr>
        <w:fldChar w:fldCharType="begin"/>
      </w:r>
      <w:r w:rsidRPr="008D60CE">
        <w:rPr>
          <w:noProof/>
        </w:rPr>
        <w:instrText xml:space="preserve"> SEQ Figure \* ARABIC </w:instrText>
      </w:r>
      <w:r w:rsidRPr="008D60CE">
        <w:rPr>
          <w:noProof/>
        </w:rPr>
        <w:fldChar w:fldCharType="separate"/>
      </w:r>
      <w:r w:rsidR="004A78BF">
        <w:rPr>
          <w:noProof/>
        </w:rPr>
        <w:t>34</w:t>
      </w:r>
      <w:r w:rsidRPr="008D60CE">
        <w:rPr>
          <w:noProof/>
        </w:rPr>
        <w:fldChar w:fldCharType="end"/>
      </w:r>
      <w:bookmarkEnd w:id="119"/>
      <w:r w:rsidRPr="008D60CE">
        <w:t>. T</w:t>
      </w:r>
      <w:r w:rsidR="00BB0B4D" w:rsidRPr="008D60CE">
        <w:t>urbidity</w:t>
      </w:r>
      <w:r w:rsidRPr="008D60CE">
        <w:t xml:space="preserve"> in </w:t>
      </w:r>
      <w:r w:rsidR="0055701A">
        <w:t>Roanoke River Project streams</w:t>
      </w:r>
      <w:r w:rsidRPr="008D60CE">
        <w:t>. Boxes represent the inter-quartile range, whiskers represent minimum and maximum values excluding outliers, lines represent the median, and the X represent</w:t>
      </w:r>
      <w:r w:rsidR="00347535">
        <w:t>s</w:t>
      </w:r>
      <w:r w:rsidRPr="008D60CE">
        <w:t xml:space="preserve"> the mean. Dots represent outliers that are greater than 1.5 times the inter-quartile range away from the mean.</w:t>
      </w:r>
      <w:bookmarkEnd w:id="120"/>
    </w:p>
    <w:p w14:paraId="6E8D2E59" w14:textId="77777777" w:rsidR="004C3218" w:rsidRPr="008D60CE" w:rsidRDefault="004C3218" w:rsidP="004C3218"/>
    <w:p w14:paraId="5960FE12" w14:textId="55D14650" w:rsidR="00B62DA1" w:rsidRPr="00C13F46" w:rsidRDefault="00F57236" w:rsidP="00B62DA1">
      <w:pPr>
        <w:keepNext/>
        <w:spacing w:before="120" w:after="120" w:line="360" w:lineRule="auto"/>
      </w:pPr>
      <w:r>
        <w:rPr>
          <w:noProof/>
        </w:rPr>
        <w:drawing>
          <wp:inline distT="0" distB="0" distL="0" distR="0" wp14:anchorId="174D761A" wp14:editId="67A95F2C">
            <wp:extent cx="4572000" cy="5440680"/>
            <wp:effectExtent l="0" t="0" r="0" b="7620"/>
            <wp:docPr id="5" name="Picture 5" descr="Continuous turbidity monitoring by the USGS in Tinker Creek and the Roanoke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72000" cy="5440680"/>
                    </a:xfrm>
                    <a:prstGeom prst="rect">
                      <a:avLst/>
                    </a:prstGeom>
                    <a:noFill/>
                  </pic:spPr>
                </pic:pic>
              </a:graphicData>
            </a:graphic>
          </wp:inline>
        </w:drawing>
      </w:r>
    </w:p>
    <w:p w14:paraId="0E510CC0" w14:textId="65B69CC2" w:rsidR="00B62DA1" w:rsidRPr="00C13F46" w:rsidRDefault="00B62DA1" w:rsidP="00B62DA1">
      <w:pPr>
        <w:pStyle w:val="Caption"/>
      </w:pPr>
      <w:bookmarkStart w:id="121" w:name="_Ref84257478"/>
      <w:bookmarkStart w:id="122" w:name="_Toc162948253"/>
      <w:r w:rsidRPr="00C13F46">
        <w:t xml:space="preserve">Figure </w:t>
      </w:r>
      <w:r w:rsidR="00DF0271" w:rsidRPr="00C13F46">
        <w:rPr>
          <w:noProof/>
        </w:rPr>
        <w:fldChar w:fldCharType="begin"/>
      </w:r>
      <w:r w:rsidR="00DF0271" w:rsidRPr="00C13F46">
        <w:rPr>
          <w:noProof/>
        </w:rPr>
        <w:instrText xml:space="preserve"> SEQ Figure \* ARABIC </w:instrText>
      </w:r>
      <w:r w:rsidR="00DF0271" w:rsidRPr="00C13F46">
        <w:rPr>
          <w:noProof/>
        </w:rPr>
        <w:fldChar w:fldCharType="separate"/>
      </w:r>
      <w:r w:rsidR="004A78BF">
        <w:rPr>
          <w:noProof/>
        </w:rPr>
        <w:t>35</w:t>
      </w:r>
      <w:r w:rsidR="00DF0271" w:rsidRPr="00C13F46">
        <w:rPr>
          <w:noProof/>
        </w:rPr>
        <w:fldChar w:fldCharType="end"/>
      </w:r>
      <w:bookmarkEnd w:id="121"/>
      <w:r w:rsidRPr="00C13F46">
        <w:t xml:space="preserve">. </w:t>
      </w:r>
      <w:r w:rsidR="00DC13D3">
        <w:t>Continuous turbidity monitoring by the USGS in Tinker Creek and the Roanoke River</w:t>
      </w:r>
      <w:r w:rsidRPr="00C13F46">
        <w:t>.</w:t>
      </w:r>
      <w:bookmarkEnd w:id="122"/>
    </w:p>
    <w:p w14:paraId="29F3D43A" w14:textId="02F22785" w:rsidR="00B62DA1" w:rsidRDefault="00B62DA1" w:rsidP="004C3218">
      <w:pPr>
        <w:spacing w:before="120" w:after="120" w:line="360" w:lineRule="auto"/>
      </w:pPr>
    </w:p>
    <w:p w14:paraId="3CFCED8E" w14:textId="77777777" w:rsidR="007C212D" w:rsidRDefault="007C212D" w:rsidP="007C212D">
      <w:pPr>
        <w:keepNext/>
        <w:spacing w:before="120" w:after="120" w:line="360" w:lineRule="auto"/>
      </w:pPr>
      <w:r>
        <w:rPr>
          <w:noProof/>
        </w:rPr>
        <w:drawing>
          <wp:inline distT="0" distB="0" distL="0" distR="0" wp14:anchorId="37B67ED1" wp14:editId="153215B2">
            <wp:extent cx="4564380" cy="2743200"/>
            <wp:effectExtent l="0" t="0" r="7620" b="0"/>
            <wp:docPr id="8" name="Picture 8" descr="Cumulative probability distribution of turbidity in Roanoke River Project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64380" cy="2743200"/>
                    </a:xfrm>
                    <a:prstGeom prst="rect">
                      <a:avLst/>
                    </a:prstGeom>
                    <a:noFill/>
                  </pic:spPr>
                </pic:pic>
              </a:graphicData>
            </a:graphic>
          </wp:inline>
        </w:drawing>
      </w:r>
    </w:p>
    <w:p w14:paraId="1EE2B890" w14:textId="67B7812C" w:rsidR="007C212D" w:rsidRDefault="007C212D" w:rsidP="007C212D">
      <w:pPr>
        <w:pStyle w:val="Caption"/>
      </w:pPr>
      <w:bookmarkStart w:id="123" w:name="_Ref140054937"/>
      <w:bookmarkStart w:id="124" w:name="_Toc162948254"/>
      <w:r>
        <w:t xml:space="preserve">Figure </w:t>
      </w:r>
      <w:r w:rsidR="00852401">
        <w:rPr>
          <w:noProof/>
        </w:rPr>
        <w:fldChar w:fldCharType="begin"/>
      </w:r>
      <w:r w:rsidR="00852401">
        <w:rPr>
          <w:noProof/>
        </w:rPr>
        <w:instrText xml:space="preserve"> SEQ Figure \* ARABIC </w:instrText>
      </w:r>
      <w:r w:rsidR="00852401">
        <w:rPr>
          <w:noProof/>
        </w:rPr>
        <w:fldChar w:fldCharType="separate"/>
      </w:r>
      <w:r w:rsidR="004A78BF">
        <w:rPr>
          <w:noProof/>
        </w:rPr>
        <w:t>36</w:t>
      </w:r>
      <w:r w:rsidR="00852401">
        <w:rPr>
          <w:noProof/>
        </w:rPr>
        <w:fldChar w:fldCharType="end"/>
      </w:r>
      <w:bookmarkEnd w:id="123"/>
      <w:r>
        <w:t xml:space="preserve">. </w:t>
      </w:r>
      <w:r w:rsidRPr="00232A73">
        <w:t>Cumulative probability distribution of t</w:t>
      </w:r>
      <w:r>
        <w:t>urbidity</w:t>
      </w:r>
      <w:r w:rsidRPr="00232A73">
        <w:t xml:space="preserve"> in Roanoke River Project streams</w:t>
      </w:r>
      <w:r>
        <w:t>.</w:t>
      </w:r>
      <w:bookmarkEnd w:id="124"/>
    </w:p>
    <w:p w14:paraId="5F96C40C" w14:textId="77777777" w:rsidR="007C212D" w:rsidRPr="00C13F46" w:rsidRDefault="007C212D" w:rsidP="00F35736">
      <w:pPr>
        <w:spacing w:line="240" w:lineRule="auto"/>
      </w:pPr>
    </w:p>
    <w:p w14:paraId="6929803C" w14:textId="145820AE" w:rsidR="00BA50C9" w:rsidRPr="00C13F46" w:rsidRDefault="00C20518" w:rsidP="00BA50C9">
      <w:pPr>
        <w:pStyle w:val="Heading3"/>
      </w:pPr>
      <w:r w:rsidRPr="00C13F46">
        <w:t xml:space="preserve"> </w:t>
      </w:r>
      <w:bookmarkStart w:id="125" w:name="_Toc162948169"/>
      <w:r w:rsidR="00BA50C9" w:rsidRPr="00C13F46">
        <w:t>Organic Matter</w:t>
      </w:r>
      <w:bookmarkEnd w:id="125"/>
    </w:p>
    <w:p w14:paraId="47C0EEBC" w14:textId="77777777" w:rsidR="0061018C" w:rsidRDefault="00406BDE" w:rsidP="009F431A">
      <w:pPr>
        <w:spacing w:before="120" w:after="120" w:line="360" w:lineRule="auto"/>
      </w:pPr>
      <w:r w:rsidRPr="002470AB">
        <w:t xml:space="preserve">Various forms of organic matter were measured in </w:t>
      </w:r>
      <w:r w:rsidR="002470AB">
        <w:t xml:space="preserve">a limited number of samples from </w:t>
      </w:r>
      <w:r w:rsidR="00042B30">
        <w:t xml:space="preserve">Roanoke River Project streams. </w:t>
      </w:r>
      <w:r w:rsidR="0061018C">
        <w:t xml:space="preserve">Total organic carbon (TOC) </w:t>
      </w:r>
      <w:r w:rsidR="0061018C" w:rsidRPr="00867C44">
        <w:t>is the mass of carbon in organic form dissolved or suspended in the water column</w:t>
      </w:r>
      <w:r w:rsidR="0061018C">
        <w:t xml:space="preserve">. TOC was measured in five or fewer samples from Roanoke River Project streams. Within this small dataset, TOC was relatively low, averaging from 2.2 to 2.8 mg/L, just above the method detection limit of 2 mg/L. Dissolved organic carbon (DOC) was similarly low, averaging 1.56 to 2.96 mg/L in a limited number of samples. </w:t>
      </w:r>
    </w:p>
    <w:p w14:paraId="36BD8CEF" w14:textId="3B130D57" w:rsidR="00406BDE" w:rsidRDefault="0061018C" w:rsidP="009F431A">
      <w:pPr>
        <w:spacing w:before="120" w:after="120" w:line="360" w:lineRule="auto"/>
      </w:pPr>
      <w:r>
        <w:t xml:space="preserve">The most commonly measured form of organic matter in Roanoke River Project streams was </w:t>
      </w:r>
      <w:r w:rsidR="007E10B6" w:rsidRPr="002470AB">
        <w:t>t</w:t>
      </w:r>
      <w:r w:rsidR="00406BDE" w:rsidRPr="002470AB">
        <w:t xml:space="preserve">otal volatile solids </w:t>
      </w:r>
      <w:r w:rsidR="007E10B6" w:rsidRPr="002470AB">
        <w:t>(TVS)</w:t>
      </w:r>
      <w:r>
        <w:t>. TVS</w:t>
      </w:r>
      <w:r w:rsidR="007E10B6" w:rsidRPr="002470AB">
        <w:t xml:space="preserve"> </w:t>
      </w:r>
      <w:r w:rsidR="00406BDE" w:rsidRPr="002470AB">
        <w:t xml:space="preserve">captures the mass of </w:t>
      </w:r>
      <w:r w:rsidR="007E10B6" w:rsidRPr="002470AB">
        <w:t xml:space="preserve">suspended or dissolved </w:t>
      </w:r>
      <w:r w:rsidR="00406BDE" w:rsidRPr="002470AB">
        <w:t xml:space="preserve">solids </w:t>
      </w:r>
      <w:r w:rsidR="007E10B6" w:rsidRPr="002470AB">
        <w:t xml:space="preserve">in the stream </w:t>
      </w:r>
      <w:r w:rsidR="00406BDE" w:rsidRPr="002470AB">
        <w:t>that volatilize</w:t>
      </w:r>
      <w:r w:rsidR="007E10B6" w:rsidRPr="002470AB">
        <w:t>s</w:t>
      </w:r>
      <w:r w:rsidR="00406BDE" w:rsidRPr="002470AB">
        <w:t xml:space="preserve"> when heated to 550</w:t>
      </w:r>
      <w:r w:rsidR="007D03C6" w:rsidRPr="002470AB">
        <w:rPr>
          <w:rFonts w:ascii="Calibri" w:hAnsi="Calibri" w:cs="Calibri"/>
        </w:rPr>
        <w:t>⁰</w:t>
      </w:r>
      <w:r w:rsidR="007E10B6" w:rsidRPr="002470AB">
        <w:t>C. At this temperature, only inorganic material remains, so TVS represents the organic fraction</w:t>
      </w:r>
      <w:r w:rsidR="00FC195B" w:rsidRPr="002470AB">
        <w:t xml:space="preserve">. TVS </w:t>
      </w:r>
      <w:r w:rsidR="00D33F1C">
        <w:t>averaged 2.5 mg/L in Wolf Creek, 4.8 mg/L at impaired Tinker Creek stations, and 3.25 to 4 mg/L at impaired Roanoke River stations (</w:t>
      </w:r>
      <w:r w:rsidR="00D33F1C">
        <w:fldChar w:fldCharType="begin"/>
      </w:r>
      <w:r w:rsidR="00D33F1C">
        <w:instrText xml:space="preserve"> REF _Ref138677783 \h </w:instrText>
      </w:r>
      <w:r w:rsidR="00D33F1C">
        <w:fldChar w:fldCharType="separate"/>
      </w:r>
      <w:r w:rsidR="004A78BF">
        <w:t xml:space="preserve">Figure </w:t>
      </w:r>
      <w:r w:rsidR="004A78BF">
        <w:rPr>
          <w:noProof/>
        </w:rPr>
        <w:t>37</w:t>
      </w:r>
      <w:r w:rsidR="00D33F1C">
        <w:fldChar w:fldCharType="end"/>
      </w:r>
      <w:r w:rsidR="00D33F1C">
        <w:t xml:space="preserve">). None of the impaired streams differed statistically from the relevant reference stations. </w:t>
      </w:r>
    </w:p>
    <w:p w14:paraId="5140230D" w14:textId="480457F3" w:rsidR="00B7522D" w:rsidRDefault="00B7522D" w:rsidP="009F431A">
      <w:pPr>
        <w:spacing w:before="120" w:after="120" w:line="360" w:lineRule="auto"/>
      </w:pPr>
      <w:r>
        <w:t xml:space="preserve">In summary, chemical measures of organic matter in Roanoke River Project streams were relatively low and not statistically different from relevant references. The datasets for these parameters, however, were relatively small, so it is difficult to draw definitive conclusions.  </w:t>
      </w:r>
    </w:p>
    <w:p w14:paraId="23EF1FFF" w14:textId="27AB4D1C" w:rsidR="00317C63" w:rsidRDefault="00317C63" w:rsidP="009F431A">
      <w:pPr>
        <w:spacing w:before="120" w:after="120" w:line="360" w:lineRule="auto"/>
      </w:pPr>
    </w:p>
    <w:p w14:paraId="43FDE253" w14:textId="77777777" w:rsidR="00317C63" w:rsidRDefault="00317C63" w:rsidP="00317C63">
      <w:pPr>
        <w:keepNext/>
        <w:spacing w:before="120" w:after="120" w:line="360" w:lineRule="auto"/>
      </w:pPr>
      <w:r>
        <w:rPr>
          <w:noProof/>
        </w:rPr>
        <w:drawing>
          <wp:inline distT="0" distB="0" distL="0" distR="0" wp14:anchorId="62F48BBF" wp14:editId="3213944F">
            <wp:extent cx="4579620" cy="3223260"/>
            <wp:effectExtent l="0" t="0" r="0" b="0"/>
            <wp:docPr id="48" name="Picture 48" descr="Total volatile solids in Roanoke River Project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79620" cy="3223260"/>
                    </a:xfrm>
                    <a:prstGeom prst="rect">
                      <a:avLst/>
                    </a:prstGeom>
                    <a:noFill/>
                  </pic:spPr>
                </pic:pic>
              </a:graphicData>
            </a:graphic>
          </wp:inline>
        </w:drawing>
      </w:r>
    </w:p>
    <w:p w14:paraId="71B9EBFB" w14:textId="10E6C524" w:rsidR="00317C63" w:rsidRDefault="00317C63" w:rsidP="00317C63">
      <w:pPr>
        <w:pStyle w:val="Caption"/>
      </w:pPr>
      <w:bookmarkStart w:id="126" w:name="_Ref138677783"/>
      <w:bookmarkStart w:id="127" w:name="_Toc162948255"/>
      <w:r>
        <w:t xml:space="preserve">Figure </w:t>
      </w:r>
      <w:r w:rsidR="00852401">
        <w:rPr>
          <w:noProof/>
        </w:rPr>
        <w:fldChar w:fldCharType="begin"/>
      </w:r>
      <w:r w:rsidR="00852401">
        <w:rPr>
          <w:noProof/>
        </w:rPr>
        <w:instrText xml:space="preserve"> SEQ Figure \* ARABIC </w:instrText>
      </w:r>
      <w:r w:rsidR="00852401">
        <w:rPr>
          <w:noProof/>
        </w:rPr>
        <w:fldChar w:fldCharType="separate"/>
      </w:r>
      <w:r w:rsidR="004A78BF">
        <w:rPr>
          <w:noProof/>
        </w:rPr>
        <w:t>37</w:t>
      </w:r>
      <w:r w:rsidR="00852401">
        <w:rPr>
          <w:noProof/>
        </w:rPr>
        <w:fldChar w:fldCharType="end"/>
      </w:r>
      <w:bookmarkEnd w:id="126"/>
      <w:r>
        <w:t>. Total volatile solids in Roanoke River Project streams.</w:t>
      </w:r>
      <w:r w:rsidR="00D33F1C" w:rsidRPr="00D33F1C">
        <w:t xml:space="preserve"> </w:t>
      </w:r>
      <w:r w:rsidR="00D33F1C" w:rsidRPr="008D60CE">
        <w:t>Boxes represent the inter-quartile range, whiskers represent minimum and maximum values excluding outliers, lines represent the median, and the X represent</w:t>
      </w:r>
      <w:r w:rsidR="00D33F1C">
        <w:t>s</w:t>
      </w:r>
      <w:r w:rsidR="00D33F1C" w:rsidRPr="008D60CE">
        <w:t xml:space="preserve"> the mean. Dots represent outliers that are greater than 1.5 times the inter-quartile range away from the mean.</w:t>
      </w:r>
      <w:bookmarkEnd w:id="127"/>
    </w:p>
    <w:p w14:paraId="621BFE62" w14:textId="3F070EFD" w:rsidR="009B521B" w:rsidRPr="00867C44" w:rsidRDefault="009B521B" w:rsidP="00F35736">
      <w:pPr>
        <w:spacing w:line="240" w:lineRule="auto"/>
      </w:pPr>
    </w:p>
    <w:p w14:paraId="7C3DB8A5" w14:textId="1EDFBC50" w:rsidR="00BA50C9" w:rsidRPr="00E44DCF" w:rsidRDefault="00BA50C9" w:rsidP="00BA50C9">
      <w:pPr>
        <w:pStyle w:val="Heading3"/>
      </w:pPr>
      <w:bookmarkStart w:id="128" w:name="_Toc162948170"/>
      <w:r w:rsidRPr="00E44DCF">
        <w:t>Nutrients</w:t>
      </w:r>
      <w:bookmarkEnd w:id="128"/>
    </w:p>
    <w:p w14:paraId="2F4DC475" w14:textId="77777777" w:rsidR="00DD1429" w:rsidRDefault="00EC7614" w:rsidP="00EC7614">
      <w:pPr>
        <w:pStyle w:val="BlockText"/>
      </w:pPr>
      <w:r w:rsidRPr="00E44DCF">
        <w:t xml:space="preserve">Nitrogen and phosphorus are the primary nutrients of concern in freshwater. These nutrients are necessary to support healthy ecosystems, but excess nutrients can lead to eutrophication. Excess nutrients spur algae growth and can change the benthic community composition. An overabundance of algae can reduce oxygen levels, leading to further changes in community composition and eventually hypoxic conditions. </w:t>
      </w:r>
    </w:p>
    <w:p w14:paraId="3EE5FCFF" w14:textId="77777777" w:rsidR="00DD1429" w:rsidRDefault="00EC7614" w:rsidP="00EC7614">
      <w:pPr>
        <w:pStyle w:val="BlockText"/>
      </w:pPr>
      <w:r w:rsidRPr="00E44DCF">
        <w:t xml:space="preserve">The initiation of this eutrophication process is not reliant upon the total nutrient availability, but upon the availability of the limiting nutrient. The typical ratio of nitrogen to phosphorus in algae is </w:t>
      </w:r>
      <w:r w:rsidR="00076A4E" w:rsidRPr="00E44DCF">
        <w:t>16</w:t>
      </w:r>
      <w:r w:rsidRPr="00E44DCF">
        <w:t>:1</w:t>
      </w:r>
      <w:r w:rsidR="00F228E8" w:rsidRPr="00E44DCF">
        <w:t xml:space="preserve"> (Redfield, 1958)</w:t>
      </w:r>
      <w:r w:rsidR="000A3F1B" w:rsidRPr="00E44DCF">
        <w:t xml:space="preserve"> on a molar basis</w:t>
      </w:r>
      <w:r w:rsidR="005272A1" w:rsidRPr="00E44DCF">
        <w:t>, or 7.2:1 on a N to P mass basis. S</w:t>
      </w:r>
      <w:r w:rsidRPr="00E44DCF">
        <w:t>o</w:t>
      </w:r>
      <w:r w:rsidR="005272A1" w:rsidRPr="00E44DCF">
        <w:t>,</w:t>
      </w:r>
      <w:r w:rsidRPr="00E44DCF">
        <w:t xml:space="preserve"> ratios </w:t>
      </w:r>
      <w:r w:rsidR="005272A1" w:rsidRPr="00E44DCF">
        <w:t xml:space="preserve">of nitrogen to phosphorus concentrations </w:t>
      </w:r>
      <w:r w:rsidRPr="00E44DCF">
        <w:t xml:space="preserve">above </w:t>
      </w:r>
      <w:r w:rsidR="005272A1" w:rsidRPr="00E44DCF">
        <w:t>7.2</w:t>
      </w:r>
      <w:r w:rsidRPr="00E44DCF">
        <w:t xml:space="preserve"> </w:t>
      </w:r>
      <w:r w:rsidR="00534E49">
        <w:t xml:space="preserve">have traditionally been used to </w:t>
      </w:r>
      <w:r w:rsidRPr="00E44DCF">
        <w:t xml:space="preserve">indicate that phosphorus is the limiting nutrient and ratios below </w:t>
      </w:r>
      <w:r w:rsidR="005272A1" w:rsidRPr="00E44DCF">
        <w:t>7.2</w:t>
      </w:r>
      <w:r w:rsidRPr="00E44DCF">
        <w:t xml:space="preserve"> </w:t>
      </w:r>
      <w:r w:rsidR="00534E49">
        <w:t xml:space="preserve">have traditionally been used to </w:t>
      </w:r>
      <w:r w:rsidRPr="00E44DCF">
        <w:t xml:space="preserve">indicate that nitrogen is the limiting nutrient. </w:t>
      </w:r>
      <w:r w:rsidR="00E44DCF">
        <w:t>A</w:t>
      </w:r>
      <w:r w:rsidRPr="00E44DCF">
        <w:t>verage nitrogen to phosphorus ratio</w:t>
      </w:r>
      <w:r w:rsidR="00E95CB1" w:rsidRPr="00E44DCF">
        <w:t>s</w:t>
      </w:r>
      <w:r w:rsidRPr="00E44DCF">
        <w:t xml:space="preserve"> </w:t>
      </w:r>
      <w:r w:rsidR="00E44DCF">
        <w:t xml:space="preserve">were </w:t>
      </w:r>
      <w:r w:rsidR="008B565E">
        <w:t xml:space="preserve">27 to 86 in Roanoke River Project streams, </w:t>
      </w:r>
      <w:r w:rsidR="00076A4E" w:rsidRPr="00E44DCF">
        <w:t xml:space="preserve">indicating that phosphorus is </w:t>
      </w:r>
      <w:r w:rsidR="008B565E">
        <w:t xml:space="preserve">likely </w:t>
      </w:r>
      <w:r w:rsidR="00076A4E" w:rsidRPr="00E44DCF">
        <w:t>the limiting nutrient</w:t>
      </w:r>
      <w:r w:rsidR="008B565E">
        <w:t xml:space="preserve">. </w:t>
      </w:r>
    </w:p>
    <w:p w14:paraId="5F6532F7" w14:textId="5ACBAE2F" w:rsidR="002B4CF5" w:rsidRPr="00E44DCF" w:rsidRDefault="00DD1429" w:rsidP="002B4CF5">
      <w:pPr>
        <w:pStyle w:val="BlockText"/>
      </w:pPr>
      <w:r>
        <w:t>Traditional assumptions about nutrient limitations, however, have begun to be questioned</w:t>
      </w:r>
      <w:r w:rsidR="002B4CF5">
        <w:t>, and many authors and policy makers now recommend controlling both nitrogen and phosphorus in nutrient enriched waters (</w:t>
      </w:r>
      <w:r w:rsidR="002B4CF5" w:rsidRPr="00912486">
        <w:t xml:space="preserve">Lewis </w:t>
      </w:r>
      <w:r w:rsidR="002B4CF5">
        <w:t xml:space="preserve">and </w:t>
      </w:r>
      <w:proofErr w:type="spellStart"/>
      <w:r w:rsidR="002B4CF5" w:rsidRPr="00912486">
        <w:t>Wurtsbaugh</w:t>
      </w:r>
      <w:proofErr w:type="spellEnd"/>
      <w:r w:rsidR="002B4CF5" w:rsidRPr="00912486">
        <w:t>, 2008</w:t>
      </w:r>
      <w:r w:rsidR="002B4CF5">
        <w:t xml:space="preserve">; Lewis </w:t>
      </w:r>
      <w:r w:rsidR="002B4CF5" w:rsidRPr="00CC0A07">
        <w:rPr>
          <w:i/>
        </w:rPr>
        <w:t>et al.</w:t>
      </w:r>
      <w:r w:rsidR="002B4CF5">
        <w:rPr>
          <w:i/>
        </w:rPr>
        <w:t>,</w:t>
      </w:r>
      <w:r w:rsidR="002B4CF5">
        <w:t xml:space="preserve"> 2011; </w:t>
      </w:r>
      <w:proofErr w:type="spellStart"/>
      <w:r w:rsidR="002B4CF5">
        <w:t>Dodds</w:t>
      </w:r>
      <w:proofErr w:type="spellEnd"/>
      <w:r w:rsidR="002B4CF5">
        <w:t xml:space="preserve"> and Smith, 2016; Conley </w:t>
      </w:r>
      <w:r w:rsidR="002B4CF5" w:rsidRPr="00E046AB">
        <w:rPr>
          <w:i/>
        </w:rPr>
        <w:t>et al.</w:t>
      </w:r>
      <w:r w:rsidR="002B4CF5">
        <w:rPr>
          <w:i/>
        </w:rPr>
        <w:t>,</w:t>
      </w:r>
      <w:r w:rsidR="002B4CF5">
        <w:t xml:space="preserve"> 2009).</w:t>
      </w:r>
      <w:r>
        <w:t xml:space="preserve"> </w:t>
      </w:r>
      <w:r w:rsidR="002B4CF5">
        <w:t>N</w:t>
      </w:r>
      <w:r w:rsidR="008B565E">
        <w:t xml:space="preserve">utrient dynamics are complicated and can be influenced by </w:t>
      </w:r>
      <w:r w:rsidR="00534E49">
        <w:t xml:space="preserve">a host of </w:t>
      </w:r>
      <w:r w:rsidR="00534E49" w:rsidRPr="00F6410F">
        <w:t xml:space="preserve">factors </w:t>
      </w:r>
      <w:r w:rsidR="00534E49">
        <w:t xml:space="preserve">including </w:t>
      </w:r>
      <w:r w:rsidR="00534E49" w:rsidRPr="00F6410F">
        <w:t>sunlight, predation</w:t>
      </w:r>
      <w:r w:rsidR="00534E49">
        <w:t>, competition</w:t>
      </w:r>
      <w:r w:rsidR="00534E49" w:rsidRPr="00F6410F">
        <w:t>, nutrient cycling, sediment</w:t>
      </w:r>
      <w:r w:rsidR="00534E49">
        <w:t xml:space="preserve"> dynamics</w:t>
      </w:r>
      <w:r w:rsidR="00534E49" w:rsidRPr="00F6410F">
        <w:t>, retention times, flow conditions</w:t>
      </w:r>
      <w:r w:rsidR="00534E49">
        <w:t>, bioavailable fractions, sediment fluxes, and diffusion through biofilm and periphyton layers</w:t>
      </w:r>
      <w:r w:rsidR="00534E49" w:rsidRPr="00F6410F">
        <w:t>.</w:t>
      </w:r>
      <w:r w:rsidR="00076A4E" w:rsidRPr="00E44DCF">
        <w:t xml:space="preserve"> </w:t>
      </w:r>
      <w:r w:rsidR="002B4CF5">
        <w:t>E</w:t>
      </w:r>
      <w:r w:rsidR="00534E49">
        <w:t xml:space="preserve">ach of these factors are variable in time and space, </w:t>
      </w:r>
      <w:r w:rsidR="002B4CF5">
        <w:t xml:space="preserve">so nutrient limitations based on average conditions may not tell the complete story. </w:t>
      </w:r>
    </w:p>
    <w:p w14:paraId="145CDB47" w14:textId="41F4D3D2" w:rsidR="00DD1429" w:rsidRPr="00E44DCF" w:rsidRDefault="00DD1429" w:rsidP="00DD1429">
      <w:pPr>
        <w:pStyle w:val="Heading4"/>
      </w:pPr>
      <w:bookmarkStart w:id="129" w:name="_Toc162948171"/>
      <w:r>
        <w:t>Phosphorus</w:t>
      </w:r>
      <w:bookmarkEnd w:id="129"/>
    </w:p>
    <w:p w14:paraId="3167FC9F" w14:textId="1BD0B312" w:rsidR="00BB16E3" w:rsidRPr="00E44DCF" w:rsidRDefault="002239EA" w:rsidP="00EC7614">
      <w:pPr>
        <w:spacing w:before="120" w:after="120" w:line="360" w:lineRule="auto"/>
      </w:pPr>
      <w:r w:rsidRPr="00E44DCF">
        <w:t xml:space="preserve">Over time, VDEQ has measured various forms of phosphorus (total and dissolved orthophosphate, and total and dissolved phosphorus). While these various forms signal the availability of nutrients for biological uptake, total phosphorus is used in the stressor analysis to identify the potential for nutrient enrichment. </w:t>
      </w:r>
      <w:r w:rsidR="001D435C" w:rsidRPr="00E44DCF">
        <w:fldChar w:fldCharType="begin"/>
      </w:r>
      <w:r w:rsidR="001D435C" w:rsidRPr="00E44DCF">
        <w:instrText xml:space="preserve"> REF _Ref45613200 \h </w:instrText>
      </w:r>
      <w:r w:rsidR="00867C44" w:rsidRPr="00E44DCF">
        <w:instrText xml:space="preserve"> \* MERGEFORMAT </w:instrText>
      </w:r>
      <w:r w:rsidR="001D435C" w:rsidRPr="00E44DCF">
        <w:fldChar w:fldCharType="separate"/>
      </w:r>
      <w:r w:rsidR="004A78BF" w:rsidRPr="002470AB">
        <w:t xml:space="preserve">Figure </w:t>
      </w:r>
      <w:r w:rsidR="004A78BF">
        <w:rPr>
          <w:noProof/>
        </w:rPr>
        <w:t>38</w:t>
      </w:r>
      <w:r w:rsidR="001D435C" w:rsidRPr="00E44DCF">
        <w:fldChar w:fldCharType="end"/>
      </w:r>
      <w:r w:rsidR="001D435C" w:rsidRPr="00E44DCF">
        <w:t xml:space="preserve"> </w:t>
      </w:r>
      <w:r w:rsidR="00EC7614" w:rsidRPr="00E44DCF">
        <w:t xml:space="preserve">shows the total phosphorus levels </w:t>
      </w:r>
      <w:r w:rsidR="001D435C" w:rsidRPr="00E44DCF">
        <w:t xml:space="preserve">in </w:t>
      </w:r>
      <w:r w:rsidR="00E10403">
        <w:t xml:space="preserve">Roanoke River Project streams. </w:t>
      </w:r>
      <w:r w:rsidR="00A76BC7">
        <w:t>T</w:t>
      </w:r>
      <w:r w:rsidR="001D435C" w:rsidRPr="00E44DCF">
        <w:t xml:space="preserve">otal phosphorus averaged </w:t>
      </w:r>
      <w:r w:rsidR="00A76BC7">
        <w:t>0.0</w:t>
      </w:r>
      <w:r w:rsidR="00E10403">
        <w:t>32</w:t>
      </w:r>
      <w:r w:rsidR="001D435C" w:rsidRPr="00E44DCF">
        <w:t xml:space="preserve"> mg/L in </w:t>
      </w:r>
      <w:r w:rsidR="00E10403">
        <w:t xml:space="preserve">Wolf Creek, 0.034 mg/L at impaired Tinker Creek stations, and 0.026 to 0.036 mg/L at impaired Roanoke River stations. </w:t>
      </w:r>
      <w:r w:rsidR="00F579F3">
        <w:t xml:space="preserve">At all stations, median phosphorus values were in the no to low probability range for stressor effects, although levels at station 4AROA199.20 were statistically higher than the reference </w:t>
      </w:r>
      <w:r w:rsidR="00E95CB1" w:rsidRPr="00E44DCF">
        <w:t>(t-test with unequal variance and alpha = 0.05)</w:t>
      </w:r>
      <w:r w:rsidR="00277FE7">
        <w:t xml:space="preserve">. </w:t>
      </w:r>
    </w:p>
    <w:p w14:paraId="57B49069" w14:textId="675F72D7" w:rsidR="00FC5254" w:rsidRPr="00E44DCF" w:rsidRDefault="00FC5254" w:rsidP="00EC7614">
      <w:pPr>
        <w:spacing w:before="120" w:after="120" w:line="360" w:lineRule="auto"/>
      </w:pPr>
      <w:r w:rsidRPr="00E44DCF">
        <w:fldChar w:fldCharType="begin"/>
      </w:r>
      <w:r w:rsidRPr="00E44DCF">
        <w:instrText xml:space="preserve"> REF _Ref45619165 \h  \* MERGEFORMAT </w:instrText>
      </w:r>
      <w:r w:rsidRPr="00E44DCF">
        <w:fldChar w:fldCharType="separate"/>
      </w:r>
      <w:r w:rsidR="004A78BF" w:rsidRPr="002470AB">
        <w:t xml:space="preserve">Figure </w:t>
      </w:r>
      <w:r w:rsidR="004A78BF">
        <w:rPr>
          <w:noProof/>
        </w:rPr>
        <w:t>39</w:t>
      </w:r>
      <w:r w:rsidRPr="00E44DCF">
        <w:fldChar w:fldCharType="end"/>
      </w:r>
      <w:r w:rsidRPr="00E44DCF">
        <w:t xml:space="preserve"> shows the time series of total phosphorus levels in </w:t>
      </w:r>
      <w:r w:rsidR="002A7C23">
        <w:t>Roanoke River Project streams</w:t>
      </w:r>
      <w:r w:rsidR="00277FE7">
        <w:t xml:space="preserve">. In </w:t>
      </w:r>
      <w:r w:rsidR="002A7C23">
        <w:t xml:space="preserve">Wolf Creek, </w:t>
      </w:r>
      <w:r w:rsidR="00277FE7">
        <w:t xml:space="preserve">total phosphorus levels were relatively consistent </w:t>
      </w:r>
      <w:r w:rsidR="002A7C23">
        <w:t>with no excursions into the high probability range for stressor effects. In Tinker Creek, 3.6% of phosphorus values were in the high probability range, with a maximum of 0.34 mg/L phosphorus. In the Roanoke River, 3.5% of phosphorus values were in the high probability range at station 4AROA202.20</w:t>
      </w:r>
      <w:r w:rsidR="000302E6">
        <w:t xml:space="preserve"> and 2.4% were in the high probability range at station 4AROA</w:t>
      </w:r>
      <w:r w:rsidR="002B4CF5">
        <w:t>199.20</w:t>
      </w:r>
      <w:r w:rsidR="000302E6">
        <w:t xml:space="preserve">. No phosphorus values were in the high range at station 4AROA198.08. Maximum phosphorus levels were 0.24, 0.18, and 0.1 mg/L at river miles 202.20, 199.20, and 198.08, respectively. </w:t>
      </w:r>
    </w:p>
    <w:p w14:paraId="18169FCD" w14:textId="1092E88F" w:rsidR="002629FC" w:rsidRPr="00E44DCF" w:rsidRDefault="009E6E4B" w:rsidP="00EC7614">
      <w:pPr>
        <w:spacing w:before="120" w:after="120" w:line="360" w:lineRule="auto"/>
      </w:pPr>
      <w:r w:rsidRPr="00E44DCF">
        <w:t xml:space="preserve">While VDEQ does not have nutrient criteria for freshwater streams, USEPA has published recommended criteria by ecoregion (USEPA, 2000a). </w:t>
      </w:r>
      <w:r w:rsidR="000302E6">
        <w:t xml:space="preserve">The Roanoke River watershed is </w:t>
      </w:r>
      <w:r w:rsidRPr="00E44DCF">
        <w:t xml:space="preserve">in the </w:t>
      </w:r>
      <w:r w:rsidR="00D74AEA" w:rsidRPr="00E44DCF">
        <w:t>Ridge and Valley</w:t>
      </w:r>
      <w:r w:rsidRPr="00E44DCF">
        <w:t xml:space="preserve"> Level 3 Ecoregion</w:t>
      </w:r>
      <w:r w:rsidR="00D74AEA" w:rsidRPr="00E44DCF">
        <w:t>, and</w:t>
      </w:r>
      <w:r w:rsidR="00343DF5" w:rsidRPr="00E44DCF">
        <w:t xml:space="preserve"> the recommended total phosphorus criterion based on the 25</w:t>
      </w:r>
      <w:r w:rsidR="00343DF5" w:rsidRPr="00E44DCF">
        <w:rPr>
          <w:vertAlign w:val="superscript"/>
        </w:rPr>
        <w:t>th</w:t>
      </w:r>
      <w:r w:rsidR="00343DF5" w:rsidRPr="00E44DCF">
        <w:t xml:space="preserve"> percentile of streams</w:t>
      </w:r>
      <w:r w:rsidR="001634E6">
        <w:t xml:space="preserve"> in this region</w:t>
      </w:r>
      <w:r w:rsidR="00343DF5" w:rsidRPr="00E44DCF">
        <w:t xml:space="preserve"> is 0.0</w:t>
      </w:r>
      <w:r w:rsidR="002D5E4D" w:rsidRPr="00E44DCF">
        <w:t>1</w:t>
      </w:r>
      <w:r w:rsidR="00343DF5" w:rsidRPr="00E44DCF">
        <w:t xml:space="preserve"> mg/L</w:t>
      </w:r>
      <w:r w:rsidR="00D74AEA" w:rsidRPr="00E44DCF">
        <w:t>.</w:t>
      </w:r>
      <w:r w:rsidR="00343DF5" w:rsidRPr="00E44DCF">
        <w:t xml:space="preserve"> </w:t>
      </w:r>
      <w:r w:rsidR="000302E6">
        <w:t xml:space="preserve">Each of the impaired streams as well as the reference stations </w:t>
      </w:r>
      <w:r w:rsidR="007C0BF2">
        <w:t>exceeded this threshold</w:t>
      </w:r>
      <w:r w:rsidR="000302E6">
        <w:t>.</w:t>
      </w:r>
    </w:p>
    <w:p w14:paraId="5D9624CB" w14:textId="6EF065FA" w:rsidR="007347F7" w:rsidRPr="00E44DCF" w:rsidRDefault="007347F7" w:rsidP="00EC7614">
      <w:pPr>
        <w:spacing w:before="120" w:after="120" w:line="360" w:lineRule="auto"/>
      </w:pPr>
    </w:p>
    <w:p w14:paraId="42B98584" w14:textId="6EE47F8F" w:rsidR="001D435C" w:rsidRPr="002470AB" w:rsidRDefault="008B565E" w:rsidP="001D435C">
      <w:pPr>
        <w:keepNext/>
        <w:spacing w:before="120" w:after="120" w:line="360" w:lineRule="auto"/>
      </w:pPr>
      <w:r>
        <w:rPr>
          <w:noProof/>
        </w:rPr>
        <w:drawing>
          <wp:inline distT="0" distB="0" distL="0" distR="0" wp14:anchorId="4E26B2DE" wp14:editId="27D57A88">
            <wp:extent cx="4693920" cy="3208020"/>
            <wp:effectExtent l="0" t="0" r="0" b="0"/>
            <wp:docPr id="52" name="Picture 52" descr="Total phosphorus in Roanoke River Project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93920" cy="3208020"/>
                    </a:xfrm>
                    <a:prstGeom prst="rect">
                      <a:avLst/>
                    </a:prstGeom>
                    <a:noFill/>
                  </pic:spPr>
                </pic:pic>
              </a:graphicData>
            </a:graphic>
          </wp:inline>
        </w:drawing>
      </w:r>
    </w:p>
    <w:p w14:paraId="6DD59D69" w14:textId="43946F16" w:rsidR="007C0F29" w:rsidRPr="002470AB" w:rsidRDefault="001D435C" w:rsidP="001D435C">
      <w:pPr>
        <w:pStyle w:val="Caption"/>
      </w:pPr>
      <w:bookmarkStart w:id="130" w:name="_Ref45613200"/>
      <w:bookmarkStart w:id="131" w:name="_Toc162948256"/>
      <w:r w:rsidRPr="002470AB">
        <w:t xml:space="preserve">Figure </w:t>
      </w:r>
      <w:r w:rsidR="00563518" w:rsidRPr="002470AB">
        <w:rPr>
          <w:noProof/>
        </w:rPr>
        <w:fldChar w:fldCharType="begin"/>
      </w:r>
      <w:r w:rsidR="00563518" w:rsidRPr="002470AB">
        <w:rPr>
          <w:noProof/>
        </w:rPr>
        <w:instrText xml:space="preserve"> SEQ Figure \* ARABIC </w:instrText>
      </w:r>
      <w:r w:rsidR="00563518" w:rsidRPr="002470AB">
        <w:rPr>
          <w:noProof/>
        </w:rPr>
        <w:fldChar w:fldCharType="separate"/>
      </w:r>
      <w:r w:rsidR="004A78BF">
        <w:rPr>
          <w:noProof/>
        </w:rPr>
        <w:t>38</w:t>
      </w:r>
      <w:r w:rsidR="00563518" w:rsidRPr="002470AB">
        <w:rPr>
          <w:noProof/>
        </w:rPr>
        <w:fldChar w:fldCharType="end"/>
      </w:r>
      <w:bookmarkEnd w:id="130"/>
      <w:r w:rsidRPr="002470AB">
        <w:t xml:space="preserve">. Total phosphorus in </w:t>
      </w:r>
      <w:r w:rsidR="00E10403">
        <w:t>Roanoke River Project streams</w:t>
      </w:r>
      <w:r w:rsidRPr="002470AB">
        <w:t>. Boxes represent the inter-quartile range, whiskers represent minimum and maximum values excluding outliers, lines represent the median, and the X represent</w:t>
      </w:r>
      <w:r w:rsidR="007E6275">
        <w:t>s</w:t>
      </w:r>
      <w:r w:rsidRPr="002470AB">
        <w:t xml:space="preserve"> the mean. Dots represent outliers that are greater than 1.5 times the inter-quartile range away from the mean. </w:t>
      </w:r>
      <w:r w:rsidR="0025147A" w:rsidRPr="002470AB">
        <w:t xml:space="preserve">The "D" indicates statistically </w:t>
      </w:r>
      <w:r w:rsidR="005416D6">
        <w:t xml:space="preserve">higher total phosphorus than </w:t>
      </w:r>
      <w:r w:rsidR="0025147A" w:rsidRPr="002470AB">
        <w:t xml:space="preserve">the reference station. </w:t>
      </w:r>
      <w:r w:rsidRPr="002470AB">
        <w:t>Colors represent the probability that data within that range would be responsible for causing stress</w:t>
      </w:r>
      <w:r w:rsidR="00DB1726" w:rsidRPr="002470AB">
        <w:t>.</w:t>
      </w:r>
      <w:bookmarkEnd w:id="131"/>
    </w:p>
    <w:p w14:paraId="4B0B7090" w14:textId="659220E5" w:rsidR="007C0F29" w:rsidRPr="002470AB" w:rsidRDefault="007C0F29" w:rsidP="00EC7614">
      <w:pPr>
        <w:spacing w:before="120" w:after="120" w:line="360" w:lineRule="auto"/>
      </w:pPr>
    </w:p>
    <w:p w14:paraId="1DD392E8" w14:textId="4BDE2119" w:rsidR="00205223" w:rsidRPr="002470AB" w:rsidRDefault="002A7C23" w:rsidP="00205223">
      <w:pPr>
        <w:keepNext/>
        <w:spacing w:before="120" w:after="120" w:line="360" w:lineRule="auto"/>
      </w:pPr>
      <w:r>
        <w:rPr>
          <w:noProof/>
        </w:rPr>
        <w:drawing>
          <wp:inline distT="0" distB="0" distL="0" distR="0" wp14:anchorId="5334E5BF" wp14:editId="063D137C">
            <wp:extent cx="3721100" cy="7630072"/>
            <wp:effectExtent l="0" t="0" r="0" b="9525"/>
            <wp:docPr id="54" name="Picture 54" descr="Total phosphorus over time in Roanoke River Project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37105" cy="7662889"/>
                    </a:xfrm>
                    <a:prstGeom prst="rect">
                      <a:avLst/>
                    </a:prstGeom>
                    <a:noFill/>
                  </pic:spPr>
                </pic:pic>
              </a:graphicData>
            </a:graphic>
          </wp:inline>
        </w:drawing>
      </w:r>
    </w:p>
    <w:p w14:paraId="5753C632" w14:textId="11FB2E84" w:rsidR="00EC4AB1" w:rsidRPr="002470AB" w:rsidRDefault="00205223" w:rsidP="00205223">
      <w:pPr>
        <w:pStyle w:val="Caption"/>
      </w:pPr>
      <w:bookmarkStart w:id="132" w:name="_Ref45619165"/>
      <w:bookmarkStart w:id="133" w:name="_Toc162948257"/>
      <w:r w:rsidRPr="002470AB">
        <w:t xml:space="preserve">Figure </w:t>
      </w:r>
      <w:r w:rsidR="00563518" w:rsidRPr="002470AB">
        <w:rPr>
          <w:noProof/>
        </w:rPr>
        <w:fldChar w:fldCharType="begin"/>
      </w:r>
      <w:r w:rsidR="00563518" w:rsidRPr="002470AB">
        <w:rPr>
          <w:noProof/>
        </w:rPr>
        <w:instrText xml:space="preserve"> SEQ Figure \* ARABIC </w:instrText>
      </w:r>
      <w:r w:rsidR="00563518" w:rsidRPr="002470AB">
        <w:rPr>
          <w:noProof/>
        </w:rPr>
        <w:fldChar w:fldCharType="separate"/>
      </w:r>
      <w:r w:rsidR="004A78BF">
        <w:rPr>
          <w:noProof/>
        </w:rPr>
        <w:t>39</w:t>
      </w:r>
      <w:r w:rsidR="00563518" w:rsidRPr="002470AB">
        <w:rPr>
          <w:noProof/>
        </w:rPr>
        <w:fldChar w:fldCharType="end"/>
      </w:r>
      <w:bookmarkEnd w:id="132"/>
      <w:r w:rsidR="009441B1" w:rsidRPr="002470AB">
        <w:t xml:space="preserve">. Total phosphorus over time in </w:t>
      </w:r>
      <w:r w:rsidR="002A7C23">
        <w:t xml:space="preserve">Roanoke River Project streams. </w:t>
      </w:r>
      <w:r w:rsidR="009441B1" w:rsidRPr="002470AB">
        <w:t>Colors represent the probability that data within that range would be responsible for causing stress</w:t>
      </w:r>
      <w:r w:rsidRPr="002470AB">
        <w:t>.</w:t>
      </w:r>
      <w:bookmarkEnd w:id="133"/>
    </w:p>
    <w:p w14:paraId="478F58E7" w14:textId="09E6FD46" w:rsidR="007C0F29" w:rsidRPr="0006052F" w:rsidRDefault="007C0F29" w:rsidP="00DD1429">
      <w:pPr>
        <w:pStyle w:val="Heading4"/>
      </w:pPr>
      <w:bookmarkStart w:id="134" w:name="_Toc162948172"/>
      <w:r w:rsidRPr="0006052F">
        <w:t>Nitrogen</w:t>
      </w:r>
      <w:bookmarkEnd w:id="134"/>
    </w:p>
    <w:p w14:paraId="014F7300" w14:textId="2A57CFAF" w:rsidR="007C0F29" w:rsidRPr="0006052F" w:rsidRDefault="007C0F29" w:rsidP="007C0F29">
      <w:pPr>
        <w:pStyle w:val="BlockText"/>
      </w:pPr>
      <w:r w:rsidRPr="0006052F">
        <w:t xml:space="preserve">Over time, VDEQ has measured various forms of nitrogen (total and dissolved nitrite, total and dissolved nitrate, total and dissolved ammonia, total </w:t>
      </w:r>
      <w:proofErr w:type="spellStart"/>
      <w:r w:rsidRPr="0006052F">
        <w:t>Kjeldahl</w:t>
      </w:r>
      <w:proofErr w:type="spellEnd"/>
      <w:r w:rsidRPr="0006052F">
        <w:t xml:space="preserve"> nitrogen, and total nitrogen). While these various forms signal the availability of nutrients for biological uptake, total nitrogen </w:t>
      </w:r>
      <w:r w:rsidR="002239EA" w:rsidRPr="0006052F">
        <w:t>is</w:t>
      </w:r>
      <w:r w:rsidRPr="0006052F">
        <w:t xml:space="preserve"> used in the stressor analysis to identify the potential for nutrient enrichment. </w:t>
      </w:r>
      <w:r w:rsidR="002239EA" w:rsidRPr="0006052F">
        <w:fldChar w:fldCharType="begin"/>
      </w:r>
      <w:r w:rsidR="002239EA" w:rsidRPr="0006052F">
        <w:instrText xml:space="preserve"> REF _Ref45626565 \h </w:instrText>
      </w:r>
      <w:r w:rsidR="00867C44" w:rsidRPr="0006052F">
        <w:instrText xml:space="preserve"> \* MERGEFORMAT </w:instrText>
      </w:r>
      <w:r w:rsidR="002239EA" w:rsidRPr="0006052F">
        <w:fldChar w:fldCharType="separate"/>
      </w:r>
      <w:r w:rsidR="004A78BF" w:rsidRPr="002470AB">
        <w:t xml:space="preserve">Figure </w:t>
      </w:r>
      <w:r w:rsidR="004A78BF">
        <w:rPr>
          <w:noProof/>
        </w:rPr>
        <w:t>40</w:t>
      </w:r>
      <w:r w:rsidR="002239EA" w:rsidRPr="0006052F">
        <w:fldChar w:fldCharType="end"/>
      </w:r>
      <w:r w:rsidRPr="0006052F">
        <w:t xml:space="preserve"> </w:t>
      </w:r>
      <w:r w:rsidR="00401284">
        <w:t>s</w:t>
      </w:r>
      <w:r w:rsidRPr="0006052F">
        <w:t>how</w:t>
      </w:r>
      <w:r w:rsidR="00401284">
        <w:t>s</w:t>
      </w:r>
      <w:r w:rsidRPr="0006052F">
        <w:t xml:space="preserve"> the total nitrogen levels </w:t>
      </w:r>
      <w:r w:rsidR="002239EA" w:rsidRPr="0006052F">
        <w:t>in</w:t>
      </w:r>
      <w:r w:rsidRPr="0006052F">
        <w:t xml:space="preserve"> </w:t>
      </w:r>
      <w:r w:rsidR="00C75EFC">
        <w:t>Roanoke River Project streams</w:t>
      </w:r>
      <w:r w:rsidR="00F47223" w:rsidRPr="0006052F">
        <w:t xml:space="preserve">. </w:t>
      </w:r>
      <w:r w:rsidR="00401284">
        <w:t>To</w:t>
      </w:r>
      <w:r w:rsidR="002239EA" w:rsidRPr="0006052F">
        <w:t xml:space="preserve">tal nitrogen averaged </w:t>
      </w:r>
      <w:r w:rsidR="00C75EFC">
        <w:t>1.15</w:t>
      </w:r>
      <w:r w:rsidR="00F47223" w:rsidRPr="0006052F">
        <w:t xml:space="preserve"> mg/L in </w:t>
      </w:r>
      <w:r w:rsidR="00C75EFC">
        <w:t xml:space="preserve">Wolf Creek, 1.48 mg/L in Tinker Creek, 0.709 mg/L at Roanoke River station 4AROA202.20, 2.20 mg/L at station 4AROA199.20, and 2.30 mg/L at station 4AROA198.08. Tinker Creek and both downstream Roanoke River stations </w:t>
      </w:r>
      <w:r w:rsidR="00401284">
        <w:t xml:space="preserve">had </w:t>
      </w:r>
      <w:r w:rsidR="002239EA" w:rsidRPr="0006052F">
        <w:t xml:space="preserve">statistically higher total nitrogen than the </w:t>
      </w:r>
      <w:r w:rsidR="00E61901">
        <w:t xml:space="preserve">relevant </w:t>
      </w:r>
      <w:r w:rsidR="002239EA" w:rsidRPr="0006052F">
        <w:t>reference (t-test with unequal variance and alpha = 0.05)</w:t>
      </w:r>
      <w:r w:rsidR="00401284">
        <w:t xml:space="preserve">. The median total nitrogen value in </w:t>
      </w:r>
      <w:r w:rsidR="00E61901">
        <w:t xml:space="preserve">Wolf Creek and Tinker Creek was in the </w:t>
      </w:r>
      <w:r w:rsidR="00401284">
        <w:t xml:space="preserve">medium </w:t>
      </w:r>
      <w:r w:rsidR="001D17DF" w:rsidRPr="0006052F">
        <w:t>probability range for stressor effects</w:t>
      </w:r>
      <w:r w:rsidR="002239EA" w:rsidRPr="0006052F">
        <w:t>.</w:t>
      </w:r>
      <w:r w:rsidR="00E61901">
        <w:t xml:space="preserve"> In the Roanoke River, the median total nitrogen value was in the low probability range at the upstream impaired station but the high probability range at the two downstream impaired stations. Discharge from the Western Virginia Water Authority</w:t>
      </w:r>
      <w:r w:rsidR="00143C1C">
        <w:t xml:space="preserve"> Water Pollution Control Plant</w:t>
      </w:r>
      <w:r w:rsidR="00E61901">
        <w:t xml:space="preserve"> between stations 4AROA202.20 and 4AROA199.20 likely accounts for the significantly higher nitrogen levels at downstream Roanoke River stations. </w:t>
      </w:r>
      <w:r w:rsidR="002239EA" w:rsidRPr="0006052F">
        <w:t xml:space="preserve"> </w:t>
      </w:r>
    </w:p>
    <w:p w14:paraId="501BF1ED" w14:textId="54BD31C2" w:rsidR="00B674DE" w:rsidRDefault="00BC6CA1" w:rsidP="007C0F29">
      <w:pPr>
        <w:pStyle w:val="BlockText"/>
      </w:pPr>
      <w:r w:rsidRPr="0006052F">
        <w:fldChar w:fldCharType="begin"/>
      </w:r>
      <w:r w:rsidRPr="0006052F">
        <w:instrText xml:space="preserve"> REF _Ref75957412 \h </w:instrText>
      </w:r>
      <w:r w:rsidR="007A0C83" w:rsidRPr="0006052F">
        <w:instrText xml:space="preserve"> \* MERGEFORMAT </w:instrText>
      </w:r>
      <w:r w:rsidRPr="0006052F">
        <w:fldChar w:fldCharType="separate"/>
      </w:r>
      <w:r w:rsidR="004A78BF" w:rsidRPr="002470AB">
        <w:t xml:space="preserve">Figure </w:t>
      </w:r>
      <w:r w:rsidR="004A78BF">
        <w:rPr>
          <w:noProof/>
        </w:rPr>
        <w:t>41</w:t>
      </w:r>
      <w:r w:rsidRPr="0006052F">
        <w:fldChar w:fldCharType="end"/>
      </w:r>
      <w:r w:rsidRPr="0006052F">
        <w:t xml:space="preserve"> shows total nitrogen concentrations over time in </w:t>
      </w:r>
      <w:r w:rsidR="00A631D7">
        <w:t>Roanoke River Project streams</w:t>
      </w:r>
      <w:r w:rsidRPr="0006052F">
        <w:t xml:space="preserve">. </w:t>
      </w:r>
      <w:r w:rsidR="00A631D7">
        <w:t xml:space="preserve">In Wolf Creek, nitrogen levels ranged from the no to medium probability range for stressor effects, with no excursions into the high range. In Tinker Creek, nitrogen levels were consistently in the medium probability range for stressor effects, with only 2 excursions (1.3%) into the high range. At Roanoke River station 4AROA202.20, nitrogen levels were consistently in the low probability range for stressor effects. At the two downstream Roanoke River stations, nitrogen levels were consistently in the medium to high probability range for stressor effects with 53% and 62% of values in the high range at stations 4AROA199.20 and 4AROA198.08, respectively. </w:t>
      </w:r>
    </w:p>
    <w:p w14:paraId="6C31A4E2" w14:textId="54385DF9" w:rsidR="007C0F29" w:rsidRPr="0006052F" w:rsidRDefault="00134B97" w:rsidP="00580C74">
      <w:pPr>
        <w:pStyle w:val="BlockText"/>
      </w:pPr>
      <w:r w:rsidRPr="0006052F">
        <w:t xml:space="preserve">While VDEQ does not have nutrient criteria for freshwater streams, USEPA has published recommended criteria by ecoregion (USEPA, 2000a). </w:t>
      </w:r>
      <w:r w:rsidR="00D303D3" w:rsidRPr="0006052F">
        <w:t>T</w:t>
      </w:r>
      <w:r w:rsidRPr="0006052F">
        <w:t xml:space="preserve">he recommended total </w:t>
      </w:r>
      <w:r w:rsidR="00D303D3" w:rsidRPr="0006052F">
        <w:t>nitrogen</w:t>
      </w:r>
      <w:r w:rsidRPr="0006052F">
        <w:t xml:space="preserve"> criterion based on the 25</w:t>
      </w:r>
      <w:r w:rsidRPr="0006052F">
        <w:rPr>
          <w:vertAlign w:val="superscript"/>
        </w:rPr>
        <w:t>th</w:t>
      </w:r>
      <w:r w:rsidRPr="0006052F">
        <w:t xml:space="preserve"> percentile of streams is 0.</w:t>
      </w:r>
      <w:r w:rsidR="00770293" w:rsidRPr="0006052F">
        <w:t>399</w:t>
      </w:r>
      <w:r w:rsidRPr="0006052F">
        <w:t xml:space="preserve"> mg/L for </w:t>
      </w:r>
      <w:r w:rsidR="00770293" w:rsidRPr="0006052F">
        <w:t xml:space="preserve">the Ridge and Valley Level 3 Ecoregion. </w:t>
      </w:r>
      <w:r w:rsidR="00114D20">
        <w:t xml:space="preserve">Each of the </w:t>
      </w:r>
      <w:r w:rsidR="00F00434">
        <w:t>impaired streams (and the reference</w:t>
      </w:r>
      <w:r w:rsidR="00114D20">
        <w:t xml:space="preserve"> locations</w:t>
      </w:r>
      <w:r w:rsidR="00F00434">
        <w:t>)</w:t>
      </w:r>
      <w:r w:rsidR="00770293" w:rsidRPr="0006052F">
        <w:t xml:space="preserve"> exceeded this value with averages from </w:t>
      </w:r>
      <w:r w:rsidR="00114D20">
        <w:t>0.709</w:t>
      </w:r>
      <w:r w:rsidR="00770293" w:rsidRPr="0006052F">
        <w:t xml:space="preserve"> to </w:t>
      </w:r>
      <w:r w:rsidR="00114D20">
        <w:t>2.30</w:t>
      </w:r>
      <w:r w:rsidR="00770293" w:rsidRPr="0006052F">
        <w:t xml:space="preserve"> mg/L</w:t>
      </w:r>
      <w:r w:rsidR="00D303D3" w:rsidRPr="0006052F">
        <w:t>.</w:t>
      </w:r>
    </w:p>
    <w:p w14:paraId="175E6A27" w14:textId="66EAF8DE" w:rsidR="00DB1726" w:rsidRPr="002470AB" w:rsidRDefault="00C75EFC" w:rsidP="00DB1726">
      <w:pPr>
        <w:keepNext/>
        <w:spacing w:before="120" w:after="120" w:line="360" w:lineRule="auto"/>
      </w:pPr>
      <w:r>
        <w:rPr>
          <w:noProof/>
        </w:rPr>
        <w:drawing>
          <wp:inline distT="0" distB="0" distL="0" distR="0" wp14:anchorId="2781FDD3" wp14:editId="364C53A6">
            <wp:extent cx="4572000" cy="3208020"/>
            <wp:effectExtent l="0" t="0" r="0" b="0"/>
            <wp:docPr id="19" name="Picture 19" descr="Total nitrogen in Roanoke River Project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72000" cy="3208020"/>
                    </a:xfrm>
                    <a:prstGeom prst="rect">
                      <a:avLst/>
                    </a:prstGeom>
                    <a:noFill/>
                  </pic:spPr>
                </pic:pic>
              </a:graphicData>
            </a:graphic>
          </wp:inline>
        </w:drawing>
      </w:r>
    </w:p>
    <w:p w14:paraId="6BC4771D" w14:textId="75EC0592" w:rsidR="00DB1726" w:rsidRPr="002470AB" w:rsidRDefault="00DB1726" w:rsidP="002470AB">
      <w:pPr>
        <w:pStyle w:val="Caption"/>
        <w:keepNext w:val="0"/>
        <w:widowControl w:val="0"/>
      </w:pPr>
      <w:bookmarkStart w:id="135" w:name="_Ref45626565"/>
      <w:bookmarkStart w:id="136" w:name="_Toc162948258"/>
      <w:r w:rsidRPr="002470AB">
        <w:t xml:space="preserve">Figure </w:t>
      </w:r>
      <w:r w:rsidR="00563518" w:rsidRPr="002470AB">
        <w:rPr>
          <w:noProof/>
        </w:rPr>
        <w:fldChar w:fldCharType="begin"/>
      </w:r>
      <w:r w:rsidR="00563518" w:rsidRPr="002470AB">
        <w:rPr>
          <w:noProof/>
        </w:rPr>
        <w:instrText xml:space="preserve"> SEQ Figure \* ARABIC </w:instrText>
      </w:r>
      <w:r w:rsidR="00563518" w:rsidRPr="002470AB">
        <w:rPr>
          <w:noProof/>
        </w:rPr>
        <w:fldChar w:fldCharType="separate"/>
      </w:r>
      <w:r w:rsidR="004A78BF">
        <w:rPr>
          <w:noProof/>
        </w:rPr>
        <w:t>40</w:t>
      </w:r>
      <w:r w:rsidR="00563518" w:rsidRPr="002470AB">
        <w:rPr>
          <w:noProof/>
        </w:rPr>
        <w:fldChar w:fldCharType="end"/>
      </w:r>
      <w:bookmarkEnd w:id="135"/>
      <w:r w:rsidRPr="002470AB">
        <w:t>.</w:t>
      </w:r>
      <w:r w:rsidR="003E0961" w:rsidRPr="002470AB">
        <w:t xml:space="preserve"> Total nitrogen in </w:t>
      </w:r>
      <w:r w:rsidR="008C06B8">
        <w:t>Roanoke River Project streams.</w:t>
      </w:r>
      <w:r w:rsidR="003E0961" w:rsidRPr="002470AB">
        <w:t xml:space="preserve"> Boxes represent the inter-quartile range, whiskers represent minimum and maximum values excluding outliers, lines represent the median, and the X represent</w:t>
      </w:r>
      <w:r w:rsidR="00347535">
        <w:t>s</w:t>
      </w:r>
      <w:r w:rsidR="003E0961" w:rsidRPr="002470AB">
        <w:t xml:space="preserve"> the mean. Dots represent outliers that are greater than 1.5 times the inter-quartile range away from the mean.</w:t>
      </w:r>
      <w:r w:rsidR="008C06B8" w:rsidRPr="008C06B8">
        <w:t xml:space="preserve"> </w:t>
      </w:r>
      <w:r w:rsidR="008C06B8" w:rsidRPr="000846F7">
        <w:t xml:space="preserve">The "D" indicates statistically </w:t>
      </w:r>
      <w:r w:rsidR="005416D6">
        <w:t xml:space="preserve">higher total nitrogen than </w:t>
      </w:r>
      <w:r w:rsidR="008C06B8" w:rsidRPr="000846F7">
        <w:t xml:space="preserve">the reference station. </w:t>
      </w:r>
      <w:r w:rsidR="003E0961" w:rsidRPr="002470AB">
        <w:t>Colors represent the probability that data within that range would be responsible for causing stress.</w:t>
      </w:r>
      <w:bookmarkEnd w:id="136"/>
    </w:p>
    <w:p w14:paraId="70CBA312" w14:textId="78CBDDEA" w:rsidR="00DB1726" w:rsidRPr="002470AB" w:rsidRDefault="00C75EFC" w:rsidP="00EC7614">
      <w:pPr>
        <w:spacing w:before="120" w:after="120" w:line="360" w:lineRule="auto"/>
      </w:pPr>
      <w:r>
        <w:rPr>
          <w:noProof/>
        </w:rPr>
        <w:drawing>
          <wp:inline distT="0" distB="0" distL="0" distR="0" wp14:anchorId="77EB1D68" wp14:editId="50C4873F">
            <wp:extent cx="3568700" cy="7488322"/>
            <wp:effectExtent l="0" t="0" r="0" b="0"/>
            <wp:docPr id="18" name="Picture 18" descr="Total nitrogen concentration over time in Roanoke River Project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90286" cy="7533617"/>
                    </a:xfrm>
                    <a:prstGeom prst="rect">
                      <a:avLst/>
                    </a:prstGeom>
                    <a:noFill/>
                  </pic:spPr>
                </pic:pic>
              </a:graphicData>
            </a:graphic>
          </wp:inline>
        </w:drawing>
      </w:r>
    </w:p>
    <w:p w14:paraId="7A919ED7" w14:textId="7F8E7627" w:rsidR="00B067AB" w:rsidRPr="002470AB" w:rsidRDefault="00B067AB" w:rsidP="00B067AB">
      <w:pPr>
        <w:pStyle w:val="Caption"/>
      </w:pPr>
      <w:bookmarkStart w:id="137" w:name="_Ref75957412"/>
      <w:bookmarkStart w:id="138" w:name="_Toc162948259"/>
      <w:r w:rsidRPr="002470AB">
        <w:t xml:space="preserve">Figure </w:t>
      </w:r>
      <w:r w:rsidRPr="002470AB">
        <w:rPr>
          <w:noProof/>
        </w:rPr>
        <w:fldChar w:fldCharType="begin"/>
      </w:r>
      <w:r w:rsidRPr="002470AB">
        <w:rPr>
          <w:noProof/>
        </w:rPr>
        <w:instrText xml:space="preserve"> SEQ Figure \* ARABIC </w:instrText>
      </w:r>
      <w:r w:rsidRPr="002470AB">
        <w:rPr>
          <w:noProof/>
        </w:rPr>
        <w:fldChar w:fldCharType="separate"/>
      </w:r>
      <w:r w:rsidR="004A78BF">
        <w:rPr>
          <w:noProof/>
        </w:rPr>
        <w:t>41</w:t>
      </w:r>
      <w:r w:rsidRPr="002470AB">
        <w:rPr>
          <w:noProof/>
        </w:rPr>
        <w:fldChar w:fldCharType="end"/>
      </w:r>
      <w:bookmarkEnd w:id="137"/>
      <w:r w:rsidRPr="002470AB">
        <w:t xml:space="preserve">. Total nitrogen concentration over time in </w:t>
      </w:r>
      <w:r w:rsidR="00C75EFC">
        <w:t>Roanoke River Project streams</w:t>
      </w:r>
      <w:r w:rsidRPr="002470AB">
        <w:t>. Colors represent the probability that data within that range would be responsible for causing stress.</w:t>
      </w:r>
      <w:bookmarkEnd w:id="138"/>
    </w:p>
    <w:p w14:paraId="7FB24F99" w14:textId="7896C7C0" w:rsidR="00076CB3" w:rsidRDefault="00076CB3" w:rsidP="00076CB3"/>
    <w:p w14:paraId="25EEC6B2" w14:textId="25AAD82C" w:rsidR="000302E6" w:rsidRPr="004A4126" w:rsidRDefault="000302E6" w:rsidP="00DD1429">
      <w:pPr>
        <w:pStyle w:val="Heading4"/>
      </w:pPr>
      <w:bookmarkStart w:id="139" w:name="_Toc162948173"/>
      <w:r>
        <w:t>Algae</w:t>
      </w:r>
      <w:r w:rsidR="00DD1429">
        <w:t xml:space="preserve"> Growth</w:t>
      </w:r>
      <w:bookmarkEnd w:id="139"/>
    </w:p>
    <w:p w14:paraId="3468BC82" w14:textId="44E2E809" w:rsidR="0048660C" w:rsidRDefault="0048660C" w:rsidP="002C0611">
      <w:pPr>
        <w:spacing w:before="120" w:after="120" w:line="360" w:lineRule="auto"/>
      </w:pPr>
      <w:r>
        <w:t>In 2021 and 2022</w:t>
      </w:r>
      <w:r w:rsidR="00232637">
        <w:t xml:space="preserve">, </w:t>
      </w:r>
      <w:r w:rsidR="006B51F7">
        <w:t>VDEQ sampled attached algae from rocks in the Roanoke River</w:t>
      </w:r>
      <w:r>
        <w:t xml:space="preserve"> for chlorophyll content and ash-free dry weight (AFDW)</w:t>
      </w:r>
      <w:r w:rsidR="006B51F7">
        <w:t xml:space="preserve">. Algae was sampled upstream from the Western Virginia Water Authority </w:t>
      </w:r>
      <w:r w:rsidR="00143C1C">
        <w:t xml:space="preserve">Water Pollution Control Plant </w:t>
      </w:r>
      <w:r w:rsidR="006B51F7">
        <w:t xml:space="preserve">discharge (at station 4AROA202.20 or 4AROA202.67) and below the Niagara Dam (at station 4AROA198.08) in the spring and fall of 2021 and 2022. </w:t>
      </w:r>
      <w:r>
        <w:t xml:space="preserve">At each sampling, a defined area of six rocks from a stream transect were scraped, preserved, and shipped to the Virginia Division of Consolidated Lab Services for analysis. In 2021, VDEQ </w:t>
      </w:r>
      <w:r w:rsidR="002E1C1A">
        <w:t xml:space="preserve">began </w:t>
      </w:r>
      <w:r>
        <w:t>sampl</w:t>
      </w:r>
      <w:r w:rsidR="00F43012">
        <w:t>ing</w:t>
      </w:r>
      <w:r>
        <w:t xml:space="preserve"> station 4AROA202.20 as the upstream location, however, </w:t>
      </w:r>
      <w:r w:rsidR="002E1C1A">
        <w:t xml:space="preserve">in Fall 2021 </w:t>
      </w:r>
      <w:r>
        <w:t xml:space="preserve">staff indicated that </w:t>
      </w:r>
      <w:r w:rsidR="00F43012">
        <w:t>algal conditions at this particular location were inconsistent and unrepresentative of the stream segment</w:t>
      </w:r>
      <w:r>
        <w:t>. In 2022, VDEQ moved the upstream station further upstream to 4AROA202.67</w:t>
      </w:r>
      <w:r w:rsidR="00F43012">
        <w:t>, which better represented the upstream reach</w:t>
      </w:r>
      <w:r>
        <w:t xml:space="preserve">. </w:t>
      </w:r>
    </w:p>
    <w:p w14:paraId="6E5A75C8" w14:textId="042A3398" w:rsidR="002C0611" w:rsidRDefault="006B51F7" w:rsidP="002C0611">
      <w:pPr>
        <w:spacing w:before="120" w:after="120" w:line="360" w:lineRule="auto"/>
      </w:pPr>
      <w:r>
        <w:fldChar w:fldCharType="begin"/>
      </w:r>
      <w:r>
        <w:instrText xml:space="preserve"> REF _Ref138686621 \h </w:instrText>
      </w:r>
      <w:r>
        <w:fldChar w:fldCharType="separate"/>
      </w:r>
      <w:r w:rsidR="004A78BF">
        <w:t xml:space="preserve">Figure </w:t>
      </w:r>
      <w:r w:rsidR="004A78BF">
        <w:rPr>
          <w:noProof/>
        </w:rPr>
        <w:t>42</w:t>
      </w:r>
      <w:r>
        <w:fldChar w:fldCharType="end"/>
      </w:r>
      <w:r w:rsidR="0048660C">
        <w:t xml:space="preserve"> shows the average chlorophyll and AFDW of algae from 2021 and 2022</w:t>
      </w:r>
      <w:r w:rsidR="002E1C1A">
        <w:t xml:space="preserve"> sampling</w:t>
      </w:r>
      <w:r>
        <w:t>. Both measures of algae were higher at the downstream location</w:t>
      </w:r>
      <w:r w:rsidR="002E1C1A">
        <w:t xml:space="preserve"> (4AROA198.08)</w:t>
      </w:r>
      <w:r w:rsidR="002C0611">
        <w:t xml:space="preserve"> in Spring 2021 and Fall 2022, but were lower in Spring 2022. </w:t>
      </w:r>
      <w:r w:rsidR="002E1C1A">
        <w:t>In Fall 2021, downstream algae levels were higher than at station 4AROA202.67, but lower than station 4AROA202.20</w:t>
      </w:r>
      <w:r w:rsidR="00F43012">
        <w:t>.</w:t>
      </w:r>
      <w:r w:rsidR="002E1C1A">
        <w:t xml:space="preserve"> </w:t>
      </w:r>
      <w:r w:rsidR="00E5681B">
        <w:t xml:space="preserve">All of the chlorophyll values except for Spring 2021 from 4AROA202.20 </w:t>
      </w:r>
      <w:r w:rsidR="002E1C1A">
        <w:t xml:space="preserve">and Fall 2021 from 4AROA202.67 </w:t>
      </w:r>
      <w:r w:rsidR="00E5681B">
        <w:t>were above the eutrophic threshold of 70 mg/m</w:t>
      </w:r>
      <w:r w:rsidR="00E5681B" w:rsidRPr="00E5681B">
        <w:rPr>
          <w:vertAlign w:val="superscript"/>
        </w:rPr>
        <w:t>2</w:t>
      </w:r>
      <w:r w:rsidR="00E5681B">
        <w:t xml:space="preserve"> proposed by </w:t>
      </w:r>
      <w:proofErr w:type="spellStart"/>
      <w:r w:rsidR="00E5681B">
        <w:t>Dodds</w:t>
      </w:r>
      <w:proofErr w:type="spellEnd"/>
      <w:r w:rsidR="00E5681B">
        <w:t xml:space="preserve"> </w:t>
      </w:r>
      <w:r w:rsidR="00E5681B" w:rsidRPr="00E5681B">
        <w:rPr>
          <w:i/>
        </w:rPr>
        <w:t>et al.</w:t>
      </w:r>
      <w:r w:rsidR="00E5681B">
        <w:t xml:space="preserve"> (1998)</w:t>
      </w:r>
      <w:r w:rsidR="0004235E">
        <w:t>, indicating that nutrient enrichment may be a stressor</w:t>
      </w:r>
      <w:r w:rsidR="00E5681B">
        <w:t>.</w:t>
      </w:r>
      <w:r w:rsidR="0004235E">
        <w:t xml:space="preserve"> From observations made by JMU during site visits on </w:t>
      </w:r>
      <w:r w:rsidR="00E95E33">
        <w:t>6/19/2023</w:t>
      </w:r>
      <w:r w:rsidR="0004235E">
        <w:t xml:space="preserve">, attached algae was almost non-existent at the upstream reference site (4AROA212.17), prevalent at 4AROA202.20, and even more abundant at 4AROA198.08. Thick mats of attached algae were present on all rock surfaces within the riffle areas </w:t>
      </w:r>
      <w:r w:rsidR="00E95E33">
        <w:t xml:space="preserve">that are </w:t>
      </w:r>
      <w:r w:rsidR="0004235E">
        <w:t>sampled for benthic macroinvertebrates. Net-spinning caddisflies (</w:t>
      </w:r>
      <w:proofErr w:type="spellStart"/>
      <w:r w:rsidR="0004235E" w:rsidRPr="00E95E33">
        <w:rPr>
          <w:i/>
        </w:rPr>
        <w:t>Hydrophyschidae</w:t>
      </w:r>
      <w:proofErr w:type="spellEnd"/>
      <w:r w:rsidR="0004235E">
        <w:t xml:space="preserve">) and grazing snails </w:t>
      </w:r>
      <w:r w:rsidR="00E95E33">
        <w:t>(</w:t>
      </w:r>
      <w:proofErr w:type="spellStart"/>
      <w:r w:rsidR="00E95E33" w:rsidRPr="00E95E33">
        <w:rPr>
          <w:i/>
        </w:rPr>
        <w:t>Pleuroceridae</w:t>
      </w:r>
      <w:proofErr w:type="spellEnd"/>
      <w:r w:rsidR="00E95E33">
        <w:t xml:space="preserve">) </w:t>
      </w:r>
      <w:r w:rsidR="0004235E">
        <w:t xml:space="preserve">were </w:t>
      </w:r>
      <w:r w:rsidR="00E95E33">
        <w:t xml:space="preserve">the </w:t>
      </w:r>
      <w:r w:rsidR="0004235E">
        <w:t xml:space="preserve">dominant macroinvertebrates </w:t>
      </w:r>
      <w:r w:rsidR="00E95E33">
        <w:t xml:space="preserve">based on observation </w:t>
      </w:r>
      <w:r w:rsidR="0004235E">
        <w:t>at this time.</w:t>
      </w:r>
    </w:p>
    <w:p w14:paraId="68AD794F" w14:textId="57D6AA3D" w:rsidR="004F68EC" w:rsidRPr="004F68EC" w:rsidRDefault="006C1939" w:rsidP="002C0611">
      <w:pPr>
        <w:spacing w:before="120" w:after="120" w:line="360" w:lineRule="auto"/>
      </w:pPr>
      <w:r>
        <w:t xml:space="preserve">Based on complications with site locations in 2021 and 2022, VDEQ repeated algae sampling in Fall 2023 with several modifications. Two transects of six rocks were sampled from each location to provide information on variability, and an upstream reference station (4AROA212.17) was added to the sampling regime. </w:t>
      </w:r>
      <w:r>
        <w:fldChar w:fldCharType="begin"/>
      </w:r>
      <w:r>
        <w:instrText xml:space="preserve"> REF _Ref149832814 \h </w:instrText>
      </w:r>
      <w:r>
        <w:fldChar w:fldCharType="separate"/>
      </w:r>
      <w:r w:rsidR="004A78BF">
        <w:t xml:space="preserve">Figure </w:t>
      </w:r>
      <w:r w:rsidR="004A78BF">
        <w:rPr>
          <w:noProof/>
        </w:rPr>
        <w:t>43</w:t>
      </w:r>
      <w:r>
        <w:fldChar w:fldCharType="end"/>
      </w:r>
      <w:r>
        <w:t xml:space="preserve"> shows the 2023 algae levels in the Roanoke River. Chlorophyll increased steadily from the upstream reference location, where it averaged 86 mg/m</w:t>
      </w:r>
      <w:r w:rsidRPr="006C1939">
        <w:rPr>
          <w:vertAlign w:val="superscript"/>
        </w:rPr>
        <w:t>2</w:t>
      </w:r>
      <w:r w:rsidRPr="006C1939">
        <w:t>,</w:t>
      </w:r>
      <w:r>
        <w:t xml:space="preserve"> to</w:t>
      </w:r>
      <w:r w:rsidR="004F68EC">
        <w:t xml:space="preserve"> station 4AROA202.67, where it averaged 165 mg/m</w:t>
      </w:r>
      <w:r w:rsidR="004F68EC" w:rsidRPr="006C1939">
        <w:rPr>
          <w:vertAlign w:val="superscript"/>
        </w:rPr>
        <w:t>2</w:t>
      </w:r>
      <w:r w:rsidR="004F68EC">
        <w:t>, to the most downstream station, where it averaged 222 mg/m</w:t>
      </w:r>
      <w:r w:rsidR="004F68EC" w:rsidRPr="006C1939">
        <w:rPr>
          <w:vertAlign w:val="superscript"/>
        </w:rPr>
        <w:t>2</w:t>
      </w:r>
      <w:r w:rsidR="004F68EC">
        <w:t>. This represents a 158% increase in chlorophyll from the upstream reference location to 4AROA198.08. Similarly, AFDW increased steadily from upstream to downstream with a 157% increase. AFDW averaged 19 g/m</w:t>
      </w:r>
      <w:r w:rsidR="004F68EC" w:rsidRPr="006C1939">
        <w:rPr>
          <w:vertAlign w:val="superscript"/>
        </w:rPr>
        <w:t>2</w:t>
      </w:r>
      <w:r w:rsidR="004F68EC">
        <w:t xml:space="preserve"> at 4AROA212.17, 34 g/m</w:t>
      </w:r>
      <w:r w:rsidR="004F68EC" w:rsidRPr="006C1939">
        <w:rPr>
          <w:vertAlign w:val="superscript"/>
        </w:rPr>
        <w:t>2</w:t>
      </w:r>
      <w:r w:rsidR="004F68EC">
        <w:t xml:space="preserve"> at 4AROA202.67, and 49 g/m</w:t>
      </w:r>
      <w:r w:rsidR="004F68EC" w:rsidRPr="006C1939">
        <w:rPr>
          <w:vertAlign w:val="superscript"/>
        </w:rPr>
        <w:t>2</w:t>
      </w:r>
      <w:r w:rsidR="004F68EC">
        <w:t xml:space="preserve"> at 4AROA198.08. </w:t>
      </w:r>
    </w:p>
    <w:p w14:paraId="70550C4C" w14:textId="09C5ACC9" w:rsidR="006B51F7" w:rsidRDefault="006B51F7" w:rsidP="002C0611">
      <w:pPr>
        <w:spacing w:before="120" w:after="120" w:line="360" w:lineRule="auto"/>
      </w:pPr>
    </w:p>
    <w:p w14:paraId="3BF8A81C" w14:textId="5BA5CDA0" w:rsidR="006B51F7" w:rsidRDefault="0048660C" w:rsidP="006B51F7">
      <w:pPr>
        <w:keepNext/>
        <w:spacing w:line="360" w:lineRule="auto"/>
      </w:pPr>
      <w:r>
        <w:rPr>
          <w:noProof/>
        </w:rPr>
        <w:drawing>
          <wp:inline distT="0" distB="0" distL="0" distR="0" wp14:anchorId="41A36439" wp14:editId="00365D6E">
            <wp:extent cx="4579620" cy="5478780"/>
            <wp:effectExtent l="0" t="0" r="0" b="7620"/>
            <wp:docPr id="11" name="Picture 11" descr="Chlorophyll and ash free dry weight from attached algae in the Roanoke River in 2021 and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9620" cy="5478780"/>
                    </a:xfrm>
                    <a:prstGeom prst="rect">
                      <a:avLst/>
                    </a:prstGeom>
                    <a:noFill/>
                  </pic:spPr>
                </pic:pic>
              </a:graphicData>
            </a:graphic>
          </wp:inline>
        </w:drawing>
      </w:r>
    </w:p>
    <w:p w14:paraId="7F824128" w14:textId="7237B80B" w:rsidR="006B51F7" w:rsidRDefault="006B51F7" w:rsidP="006B51F7">
      <w:pPr>
        <w:pStyle w:val="Caption"/>
      </w:pPr>
      <w:bookmarkStart w:id="140" w:name="_Ref138686621"/>
      <w:bookmarkStart w:id="141" w:name="_Toc162948260"/>
      <w:r>
        <w:t xml:space="preserve">Figure </w:t>
      </w:r>
      <w:r w:rsidR="00852401">
        <w:rPr>
          <w:noProof/>
        </w:rPr>
        <w:fldChar w:fldCharType="begin"/>
      </w:r>
      <w:r w:rsidR="00852401">
        <w:rPr>
          <w:noProof/>
        </w:rPr>
        <w:instrText xml:space="preserve"> SEQ Figure \* ARABIC </w:instrText>
      </w:r>
      <w:r w:rsidR="00852401">
        <w:rPr>
          <w:noProof/>
        </w:rPr>
        <w:fldChar w:fldCharType="separate"/>
      </w:r>
      <w:r w:rsidR="004A78BF">
        <w:rPr>
          <w:noProof/>
        </w:rPr>
        <w:t>42</w:t>
      </w:r>
      <w:r w:rsidR="00852401">
        <w:rPr>
          <w:noProof/>
        </w:rPr>
        <w:fldChar w:fldCharType="end"/>
      </w:r>
      <w:bookmarkEnd w:id="140"/>
      <w:r>
        <w:t>. Chlorophyll and ash free dry weight from attached algae in the Roanoke River</w:t>
      </w:r>
      <w:r w:rsidR="006C1939">
        <w:t xml:space="preserve"> in 2021 and 2022</w:t>
      </w:r>
      <w:r>
        <w:t>.</w:t>
      </w:r>
      <w:bookmarkEnd w:id="141"/>
    </w:p>
    <w:p w14:paraId="02D5BDB4" w14:textId="511829C7" w:rsidR="006B51F7" w:rsidRDefault="006B51F7" w:rsidP="006B51F7">
      <w:pPr>
        <w:spacing w:line="360" w:lineRule="auto"/>
      </w:pPr>
    </w:p>
    <w:p w14:paraId="741BA862" w14:textId="77777777" w:rsidR="006C1939" w:rsidRDefault="006C1939" w:rsidP="006C1939">
      <w:pPr>
        <w:keepNext/>
        <w:spacing w:line="360" w:lineRule="auto"/>
      </w:pPr>
      <w:r>
        <w:rPr>
          <w:noProof/>
        </w:rPr>
        <w:drawing>
          <wp:inline distT="0" distB="0" distL="0" distR="0" wp14:anchorId="4845EC7A" wp14:editId="077BCEDB">
            <wp:extent cx="4572000" cy="5478780"/>
            <wp:effectExtent l="0" t="0" r="0" b="7620"/>
            <wp:docPr id="21" name="Picture 21" descr="Chlorophyll and ash free dry weight from attached algae in the Roanoke River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2000" cy="5478780"/>
                    </a:xfrm>
                    <a:prstGeom prst="rect">
                      <a:avLst/>
                    </a:prstGeom>
                    <a:noFill/>
                  </pic:spPr>
                </pic:pic>
              </a:graphicData>
            </a:graphic>
          </wp:inline>
        </w:drawing>
      </w:r>
    </w:p>
    <w:p w14:paraId="27078EBC" w14:textId="6A1E8E57" w:rsidR="006C1939" w:rsidRDefault="006C1939" w:rsidP="006C1939">
      <w:pPr>
        <w:pStyle w:val="Caption"/>
      </w:pPr>
      <w:bookmarkStart w:id="142" w:name="_Ref149832814"/>
      <w:bookmarkStart w:id="143" w:name="_Toc162948261"/>
      <w:r>
        <w:t xml:space="preserve">Figure </w:t>
      </w:r>
      <w:r w:rsidR="00406C0F">
        <w:rPr>
          <w:noProof/>
        </w:rPr>
        <w:fldChar w:fldCharType="begin"/>
      </w:r>
      <w:r w:rsidR="00406C0F">
        <w:rPr>
          <w:noProof/>
        </w:rPr>
        <w:instrText xml:space="preserve"> SEQ Figure \* ARABIC </w:instrText>
      </w:r>
      <w:r w:rsidR="00406C0F">
        <w:rPr>
          <w:noProof/>
        </w:rPr>
        <w:fldChar w:fldCharType="separate"/>
      </w:r>
      <w:r w:rsidR="004A78BF">
        <w:rPr>
          <w:noProof/>
        </w:rPr>
        <w:t>43</w:t>
      </w:r>
      <w:r w:rsidR="00406C0F">
        <w:rPr>
          <w:noProof/>
        </w:rPr>
        <w:fldChar w:fldCharType="end"/>
      </w:r>
      <w:bookmarkEnd w:id="142"/>
      <w:r>
        <w:t>. Chlorophyll and ash free dry weight from attached algae in the Roanoke River in 2023.</w:t>
      </w:r>
      <w:bookmarkEnd w:id="143"/>
    </w:p>
    <w:p w14:paraId="3A7C5E12" w14:textId="68C1FCE7" w:rsidR="006C1939" w:rsidRDefault="006C1939" w:rsidP="006B51F7">
      <w:pPr>
        <w:spacing w:line="360" w:lineRule="auto"/>
      </w:pPr>
    </w:p>
    <w:p w14:paraId="75101CC8" w14:textId="66D3F784" w:rsidR="00653457" w:rsidRDefault="00653457" w:rsidP="006B51F7">
      <w:pPr>
        <w:spacing w:line="360" w:lineRule="auto"/>
      </w:pPr>
      <w:r>
        <w:t xml:space="preserve">In summary, nutrient enrichment appears to be impacting the Roanoke River and increasing algae growth. This condition appears to worsen with increasing distance downstream. Information regarding the nutrient(s) responsible for enrichment will be further investigated through </w:t>
      </w:r>
      <w:r w:rsidR="003C57FB">
        <w:t xml:space="preserve">the </w:t>
      </w:r>
      <w:r>
        <w:t>causal analysis</w:t>
      </w:r>
      <w:r w:rsidR="003C57FB">
        <w:t xml:space="preserve"> process</w:t>
      </w:r>
      <w:r>
        <w:t>.</w:t>
      </w:r>
    </w:p>
    <w:p w14:paraId="2D8B9B1C" w14:textId="44A7314E" w:rsidR="00BA50C9" w:rsidRPr="004A4126" w:rsidRDefault="00BA50C9" w:rsidP="00BA50C9">
      <w:pPr>
        <w:pStyle w:val="Heading3"/>
      </w:pPr>
      <w:bookmarkStart w:id="144" w:name="_Toc162948174"/>
      <w:r w:rsidRPr="004A4126">
        <w:t>Ammonia</w:t>
      </w:r>
      <w:bookmarkEnd w:id="144"/>
    </w:p>
    <w:p w14:paraId="1F003936" w14:textId="415AA803" w:rsidR="00587B4F" w:rsidRDefault="00261B65" w:rsidP="00BA50C9">
      <w:pPr>
        <w:spacing w:before="120" w:after="120" w:line="360" w:lineRule="auto"/>
      </w:pPr>
      <w:r w:rsidRPr="004A4126">
        <w:t xml:space="preserve">Ammonia is a reduced form of nitrogen that can be toxic at certain temperatures and </w:t>
      </w:r>
      <w:proofErr w:type="spellStart"/>
      <w:r w:rsidRPr="004A4126">
        <w:t>pHs</w:t>
      </w:r>
      <w:proofErr w:type="spellEnd"/>
      <w:r w:rsidRPr="004A4126">
        <w:t>.</w:t>
      </w:r>
      <w:r w:rsidR="000B1792">
        <w:t xml:space="preserve"> </w:t>
      </w:r>
      <w:r w:rsidR="000B1792">
        <w:fldChar w:fldCharType="begin"/>
      </w:r>
      <w:r w:rsidR="000B1792">
        <w:instrText xml:space="preserve"> REF _Ref136860488 \h </w:instrText>
      </w:r>
      <w:r w:rsidR="000B1792">
        <w:fldChar w:fldCharType="separate"/>
      </w:r>
      <w:r w:rsidR="004A78BF">
        <w:t xml:space="preserve">Figure </w:t>
      </w:r>
      <w:r w:rsidR="004A78BF">
        <w:rPr>
          <w:noProof/>
        </w:rPr>
        <w:t>44</w:t>
      </w:r>
      <w:r w:rsidR="000B1792">
        <w:fldChar w:fldCharType="end"/>
      </w:r>
      <w:r w:rsidR="000B1792">
        <w:t xml:space="preserve"> shows the ammonia levels measured in Roanoke River Project streams. Ammonia levels averaged near the detection limit of 0.04 mg/L at all of the locations except for the downstream Roanoke River stations (4AROA199.20 and 4AROA198.08). Ammonia averaged 0.12 mg/L </w:t>
      </w:r>
      <w:r w:rsidR="00587B4F">
        <w:t xml:space="preserve">and </w:t>
      </w:r>
      <w:r w:rsidR="000B1792">
        <w:t xml:space="preserve">0.07 mg/L at </w:t>
      </w:r>
      <w:r w:rsidR="00587B4F">
        <w:t xml:space="preserve">these stations, respectively. At station 4AROA199.20, ammonia levels were significantly higher (t-test with unequal variance and alpha = 0.05) than at the river reference station, and more than 65% of measured values were greater than detection. </w:t>
      </w:r>
    </w:p>
    <w:p w14:paraId="39AB3B87" w14:textId="06807D1E" w:rsidR="00937553" w:rsidRDefault="00583FA1" w:rsidP="00BA50C9">
      <w:pPr>
        <w:spacing w:before="120" w:after="120" w:line="360" w:lineRule="auto"/>
      </w:pPr>
      <w:r w:rsidRPr="004A4126">
        <w:fldChar w:fldCharType="begin"/>
      </w:r>
      <w:r w:rsidRPr="004A4126">
        <w:instrText xml:space="preserve"> REF _Ref45800651 \h </w:instrText>
      </w:r>
      <w:r w:rsidR="00867C44" w:rsidRPr="004A4126">
        <w:instrText xml:space="preserve"> \* MERGEFORMAT </w:instrText>
      </w:r>
      <w:r w:rsidRPr="004A4126">
        <w:fldChar w:fldCharType="separate"/>
      </w:r>
      <w:r w:rsidR="004A78BF" w:rsidRPr="004A4126">
        <w:t xml:space="preserve">Figure </w:t>
      </w:r>
      <w:r w:rsidR="004A78BF">
        <w:rPr>
          <w:noProof/>
        </w:rPr>
        <w:t>45</w:t>
      </w:r>
      <w:r w:rsidRPr="004A4126">
        <w:fldChar w:fldCharType="end"/>
      </w:r>
      <w:r w:rsidRPr="004A4126">
        <w:t xml:space="preserve"> </w:t>
      </w:r>
      <w:r w:rsidR="00261B65" w:rsidRPr="004A4126">
        <w:t xml:space="preserve">shows the ammonia levels </w:t>
      </w:r>
      <w:r w:rsidRPr="004A4126">
        <w:t xml:space="preserve">in </w:t>
      </w:r>
      <w:r w:rsidR="00415034">
        <w:t xml:space="preserve">Roanoke River Project streams compared to </w:t>
      </w:r>
      <w:r w:rsidRPr="004A4126">
        <w:t xml:space="preserve">the relevant water quality standards. The water quality standard for ammonia is dependent upon pH and temperature, so it varies with each sample. </w:t>
      </w:r>
      <w:r w:rsidR="00415034">
        <w:t xml:space="preserve">While several elevated ammonia values were observed, ammonia did not violate the relevant water quality criteria on any sampling date at any of the stations. </w:t>
      </w:r>
      <w:r w:rsidR="00CB35A2">
        <w:t>The maximum observed ammonia level was 0.66 mg/L on 5/26/21 at station 4AROA199.20, but the calculated water quality criteria based on temperature and pH for that day was 0.93 mg/L.</w:t>
      </w:r>
    </w:p>
    <w:p w14:paraId="4A40B12C" w14:textId="7C7972E9" w:rsidR="003C57FB" w:rsidRDefault="003C57FB" w:rsidP="00BA50C9">
      <w:pPr>
        <w:spacing w:before="120" w:after="120" w:line="360" w:lineRule="auto"/>
      </w:pPr>
      <w:r>
        <w:t>In summary, ammonia levels were elevated at downstream Roanoke River stations. This is likely due to the high nitrogen discharge from the Western Virginia Water Authority</w:t>
      </w:r>
      <w:r w:rsidR="00143C1C">
        <w:t xml:space="preserve"> Water Pollution Control Plant</w:t>
      </w:r>
      <w:r>
        <w:t xml:space="preserve"> in combination with the bottom release from the Niagara Dam. Organic nitrogen in bottom sediments behind the dam can </w:t>
      </w:r>
      <w:r w:rsidR="00346ADC">
        <w:t xml:space="preserve">be </w:t>
      </w:r>
      <w:r>
        <w:t>convert</w:t>
      </w:r>
      <w:r w:rsidR="00346ADC">
        <w:t xml:space="preserve">ed to ammonia under anaerobic conditions. This would produce higher ammonia levels at station 4AROA199.20 than normal for a well-oxygenated free flowing stream. Ammonia levels then decrease at station 4AROA198.08 as mixing and aeration convert ammonia to nitrate through nitrification. Even with elevated ammonia levels at the downstream Roanoke River stations, no measured ammonia concentrations exceeded the water quality standards. </w:t>
      </w:r>
      <w:r>
        <w:t xml:space="preserve"> </w:t>
      </w:r>
    </w:p>
    <w:p w14:paraId="5BEB32BA" w14:textId="77777777" w:rsidR="000B1792" w:rsidRDefault="000B1792" w:rsidP="000B1792">
      <w:pPr>
        <w:keepNext/>
        <w:spacing w:before="120" w:after="120" w:line="360" w:lineRule="auto"/>
      </w:pPr>
      <w:r>
        <w:rPr>
          <w:noProof/>
        </w:rPr>
        <w:drawing>
          <wp:inline distT="0" distB="0" distL="0" distR="0" wp14:anchorId="56A5DF5F" wp14:editId="1D70D5B9">
            <wp:extent cx="4579620" cy="3512820"/>
            <wp:effectExtent l="0" t="0" r="0" b="0"/>
            <wp:docPr id="4" name="Picture 4" descr="Total ammonia in Roanoke River Project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9620" cy="3512820"/>
                    </a:xfrm>
                    <a:prstGeom prst="rect">
                      <a:avLst/>
                    </a:prstGeom>
                    <a:noFill/>
                  </pic:spPr>
                </pic:pic>
              </a:graphicData>
            </a:graphic>
          </wp:inline>
        </w:drawing>
      </w:r>
    </w:p>
    <w:p w14:paraId="4056BAF1" w14:textId="2AAA1990" w:rsidR="00F21A8E" w:rsidRDefault="000B1792" w:rsidP="000B1792">
      <w:pPr>
        <w:pStyle w:val="Caption"/>
      </w:pPr>
      <w:bookmarkStart w:id="145" w:name="_Ref136860488"/>
      <w:bookmarkStart w:id="146" w:name="_Toc162948262"/>
      <w:r>
        <w:t xml:space="preserve">Figure </w:t>
      </w:r>
      <w:r w:rsidR="00DA1F18">
        <w:rPr>
          <w:noProof/>
        </w:rPr>
        <w:fldChar w:fldCharType="begin"/>
      </w:r>
      <w:r w:rsidR="00DA1F18">
        <w:rPr>
          <w:noProof/>
        </w:rPr>
        <w:instrText xml:space="preserve"> SEQ Figure \* ARABIC </w:instrText>
      </w:r>
      <w:r w:rsidR="00DA1F18">
        <w:rPr>
          <w:noProof/>
        </w:rPr>
        <w:fldChar w:fldCharType="separate"/>
      </w:r>
      <w:r w:rsidR="004A78BF">
        <w:rPr>
          <w:noProof/>
        </w:rPr>
        <w:t>44</w:t>
      </w:r>
      <w:r w:rsidR="00DA1F18">
        <w:rPr>
          <w:noProof/>
        </w:rPr>
        <w:fldChar w:fldCharType="end"/>
      </w:r>
      <w:bookmarkEnd w:id="145"/>
      <w:r>
        <w:t xml:space="preserve">. </w:t>
      </w:r>
      <w:r w:rsidRPr="00606A5E">
        <w:t xml:space="preserve">Total </w:t>
      </w:r>
      <w:r>
        <w:t>ammonia</w:t>
      </w:r>
      <w:r w:rsidRPr="00606A5E">
        <w:t xml:space="preserve"> in </w:t>
      </w:r>
      <w:r>
        <w:t>Roanoke River Project streams</w:t>
      </w:r>
      <w:r w:rsidRPr="00606A5E">
        <w:t xml:space="preserve">. Boxes represent the inter-quartile range, whiskers represent minimum and maximum values excluding outliers, lines represent the median, and the X represents the mean. </w:t>
      </w:r>
      <w:r w:rsidRPr="002470AB">
        <w:t xml:space="preserve">Dots represent outliers that are greater than 1.5 times the inter-quartile range away from the mean. The "D" indicates statistically </w:t>
      </w:r>
      <w:r w:rsidR="005416D6">
        <w:t xml:space="preserve">higher total ammonia than </w:t>
      </w:r>
      <w:r w:rsidRPr="002470AB">
        <w:t>the reference station.</w:t>
      </w:r>
      <w:bookmarkEnd w:id="146"/>
    </w:p>
    <w:p w14:paraId="6C739980" w14:textId="77777777" w:rsidR="000B1792" w:rsidRPr="000B1792" w:rsidRDefault="000B1792" w:rsidP="000B1792"/>
    <w:p w14:paraId="736006D8" w14:textId="7A4A96E2" w:rsidR="00583FA1" w:rsidRPr="004A4126" w:rsidRDefault="006E781C" w:rsidP="00583FA1">
      <w:pPr>
        <w:keepNext/>
        <w:spacing w:before="120" w:after="120" w:line="360" w:lineRule="auto"/>
      </w:pPr>
      <w:r>
        <w:rPr>
          <w:noProof/>
        </w:rPr>
        <w:drawing>
          <wp:inline distT="0" distB="0" distL="0" distR="0" wp14:anchorId="6B71A0D2" wp14:editId="49D0146F">
            <wp:extent cx="5943396" cy="3699764"/>
            <wp:effectExtent l="0" t="0" r="635" b="0"/>
            <wp:docPr id="7" name="Picture 7" descr="Ammonia levels in Roanoke River Project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63178" cy="3712079"/>
                    </a:xfrm>
                    <a:prstGeom prst="rect">
                      <a:avLst/>
                    </a:prstGeom>
                    <a:noFill/>
                  </pic:spPr>
                </pic:pic>
              </a:graphicData>
            </a:graphic>
          </wp:inline>
        </w:drawing>
      </w:r>
    </w:p>
    <w:p w14:paraId="128510CF" w14:textId="239B7DDB" w:rsidR="00937553" w:rsidRPr="004A4126" w:rsidRDefault="00583FA1" w:rsidP="00583FA1">
      <w:pPr>
        <w:pStyle w:val="Caption"/>
      </w:pPr>
      <w:bookmarkStart w:id="147" w:name="_Ref45800651"/>
      <w:bookmarkStart w:id="148" w:name="_Toc162948263"/>
      <w:r w:rsidRPr="004A4126">
        <w:t xml:space="preserve">Figure </w:t>
      </w:r>
      <w:r w:rsidR="00563518" w:rsidRPr="004A4126">
        <w:rPr>
          <w:noProof/>
        </w:rPr>
        <w:fldChar w:fldCharType="begin"/>
      </w:r>
      <w:r w:rsidR="00563518" w:rsidRPr="004A4126">
        <w:rPr>
          <w:noProof/>
        </w:rPr>
        <w:instrText xml:space="preserve"> SEQ Figure \* ARABIC </w:instrText>
      </w:r>
      <w:r w:rsidR="00563518" w:rsidRPr="004A4126">
        <w:rPr>
          <w:noProof/>
        </w:rPr>
        <w:fldChar w:fldCharType="separate"/>
      </w:r>
      <w:r w:rsidR="004A78BF">
        <w:rPr>
          <w:noProof/>
        </w:rPr>
        <w:t>45</w:t>
      </w:r>
      <w:r w:rsidR="00563518" w:rsidRPr="004A4126">
        <w:rPr>
          <w:noProof/>
        </w:rPr>
        <w:fldChar w:fldCharType="end"/>
      </w:r>
      <w:bookmarkEnd w:id="147"/>
      <w:r w:rsidRPr="004A4126">
        <w:t xml:space="preserve">. Ammonia levels in </w:t>
      </w:r>
      <w:r w:rsidR="006E781C">
        <w:t>Roanoke River Project streams</w:t>
      </w:r>
      <w:r w:rsidRPr="004A4126">
        <w:t>.</w:t>
      </w:r>
      <w:r w:rsidR="00B9345A" w:rsidRPr="004A4126">
        <w:t xml:space="preserve"> The red line represents the calculated water quality standard based on temperature and pH at the time of sampling.</w:t>
      </w:r>
      <w:bookmarkEnd w:id="148"/>
    </w:p>
    <w:p w14:paraId="2E126CFD" w14:textId="77777777" w:rsidR="00937553" w:rsidRPr="004A4126" w:rsidRDefault="00937553" w:rsidP="005E4B50">
      <w:pPr>
        <w:spacing w:line="240" w:lineRule="auto"/>
      </w:pPr>
    </w:p>
    <w:p w14:paraId="6A4A939B" w14:textId="70FB2CAA" w:rsidR="008F08A3" w:rsidRPr="00923FDE" w:rsidRDefault="00D21ECD" w:rsidP="008F08A3">
      <w:pPr>
        <w:pStyle w:val="Heading3"/>
      </w:pPr>
      <w:bookmarkStart w:id="149" w:name="_Toc162948175"/>
      <w:r w:rsidRPr="00923FDE">
        <w:t xml:space="preserve">Dissolved </w:t>
      </w:r>
      <w:r w:rsidR="008F08A3" w:rsidRPr="00923FDE">
        <w:t>Metals</w:t>
      </w:r>
      <w:bookmarkEnd w:id="149"/>
    </w:p>
    <w:p w14:paraId="4DB8FB60" w14:textId="47EAEC04" w:rsidR="001E035C" w:rsidRPr="00923FDE" w:rsidRDefault="001E035C" w:rsidP="001E035C">
      <w:pPr>
        <w:pStyle w:val="BlockText"/>
      </w:pPr>
      <w:r w:rsidRPr="00923FDE">
        <w:t xml:space="preserve">Dissolved metals were measured </w:t>
      </w:r>
      <w:r w:rsidR="00C9297B">
        <w:t xml:space="preserve">on 22 occasions </w:t>
      </w:r>
      <w:r w:rsidR="00762984" w:rsidRPr="00923FDE">
        <w:t xml:space="preserve">in </w:t>
      </w:r>
      <w:r w:rsidR="00C9297B">
        <w:t xml:space="preserve">Roanoke River Project streams and tributaries. </w:t>
      </w:r>
      <w:r w:rsidR="00526C74" w:rsidRPr="00923FDE">
        <w:fldChar w:fldCharType="begin"/>
      </w:r>
      <w:r w:rsidR="00526C74" w:rsidRPr="00923FDE">
        <w:instrText xml:space="preserve"> REF _Ref42793289 </w:instrText>
      </w:r>
      <w:r w:rsidR="00867C44" w:rsidRPr="00923FDE">
        <w:instrText xml:space="preserve"> \* MERGEFORMAT </w:instrText>
      </w:r>
      <w:r w:rsidR="00526C74" w:rsidRPr="00923FDE">
        <w:fldChar w:fldCharType="separate"/>
      </w:r>
      <w:r w:rsidR="004A78BF" w:rsidRPr="00923FDE">
        <w:t xml:space="preserve">Table </w:t>
      </w:r>
      <w:r w:rsidR="004A78BF">
        <w:rPr>
          <w:noProof/>
        </w:rPr>
        <w:t>11</w:t>
      </w:r>
      <w:r w:rsidR="00526C74" w:rsidRPr="00923FDE">
        <w:rPr>
          <w:noProof/>
        </w:rPr>
        <w:fldChar w:fldCharType="end"/>
      </w:r>
      <w:r w:rsidR="000F7A55" w:rsidRPr="00923FDE">
        <w:t xml:space="preserve"> </w:t>
      </w:r>
      <w:r w:rsidRPr="00923FDE">
        <w:t xml:space="preserve">shows the </w:t>
      </w:r>
      <w:r w:rsidR="001A0B7C">
        <w:t>measured</w:t>
      </w:r>
      <w:r w:rsidR="000F7A55" w:rsidRPr="00923FDE">
        <w:t xml:space="preserve"> </w:t>
      </w:r>
      <w:r w:rsidRPr="00923FDE">
        <w:t xml:space="preserve">values </w:t>
      </w:r>
      <w:r w:rsidR="000F7A55" w:rsidRPr="00923FDE">
        <w:t xml:space="preserve">of eight metals </w:t>
      </w:r>
      <w:r w:rsidR="00827B22">
        <w:t xml:space="preserve">in the three primary impaired segments </w:t>
      </w:r>
      <w:r w:rsidRPr="00923FDE">
        <w:t>along with the associated water quality standard</w:t>
      </w:r>
      <w:r w:rsidR="000F7A55" w:rsidRPr="00923FDE">
        <w:t xml:space="preserve"> (9VAC25-260-140)</w:t>
      </w:r>
      <w:r w:rsidRPr="00923FDE">
        <w:t>. Virginia’s water quality standards for dissolved metals depends upon the hardness of the water</w:t>
      </w:r>
      <w:r w:rsidR="000F7A55" w:rsidRPr="00923FDE">
        <w:t xml:space="preserve"> (except for arsenic and selenium)</w:t>
      </w:r>
      <w:r w:rsidRPr="00923FDE">
        <w:t xml:space="preserve">, so standards were calculated specifically for </w:t>
      </w:r>
      <w:r w:rsidR="000F7A55" w:rsidRPr="00923FDE">
        <w:t>each stream</w:t>
      </w:r>
      <w:r w:rsidRPr="00923FDE">
        <w:t xml:space="preserve"> based on hardness values </w:t>
      </w:r>
      <w:r w:rsidR="000F7A55" w:rsidRPr="00923FDE">
        <w:t>measured at the time of sampling</w:t>
      </w:r>
      <w:r w:rsidRPr="00923FDE">
        <w:t xml:space="preserve">. </w:t>
      </w:r>
      <w:r w:rsidR="000F7A55" w:rsidRPr="00923FDE">
        <w:t xml:space="preserve">All average </w:t>
      </w:r>
      <w:r w:rsidRPr="00923FDE">
        <w:t>dissolved metals concentrations were below the respective water quality standards, indicating that these metals do not pose a risk to aquatic life.</w:t>
      </w:r>
      <w:r w:rsidR="000F7A55" w:rsidRPr="00923FDE">
        <w:t xml:space="preserve"> </w:t>
      </w:r>
    </w:p>
    <w:p w14:paraId="45BDE01C" w14:textId="3B290784" w:rsidR="005313DF" w:rsidRPr="00923FDE" w:rsidRDefault="005313DF" w:rsidP="001E035C">
      <w:pPr>
        <w:pStyle w:val="BlockText"/>
      </w:pPr>
      <w:r w:rsidRPr="00923FDE">
        <w:t xml:space="preserve">For toxic metals that </w:t>
      </w:r>
      <w:r w:rsidR="003D473B" w:rsidRPr="00923FDE">
        <w:t>do</w:t>
      </w:r>
      <w:r w:rsidRPr="00923FDE">
        <w:t xml:space="preserve"> not have </w:t>
      </w:r>
      <w:r w:rsidR="003D473B" w:rsidRPr="00923FDE">
        <w:t xml:space="preserve">chronic </w:t>
      </w:r>
      <w:r w:rsidRPr="00923FDE">
        <w:t xml:space="preserve">water quality </w:t>
      </w:r>
      <w:r w:rsidR="003D473B" w:rsidRPr="00923FDE">
        <w:t xml:space="preserve">criteria for aquatic life use </w:t>
      </w:r>
      <w:r w:rsidRPr="00923FDE">
        <w:t>in Virginia (aluminum, antimony, barium, beryllium, silver, and thallium), toxicity reference values (TRVs) were obtained from the literature. TRVs are threshold values below which toxic freshwater effect</w:t>
      </w:r>
      <w:r w:rsidR="00C43E2C" w:rsidRPr="00923FDE">
        <w:t>s</w:t>
      </w:r>
      <w:r w:rsidRPr="00923FDE">
        <w:t xml:space="preserve"> are not expected. </w:t>
      </w:r>
      <w:r w:rsidR="00526C74" w:rsidRPr="00923FDE">
        <w:fldChar w:fldCharType="begin"/>
      </w:r>
      <w:r w:rsidR="00526C74" w:rsidRPr="00923FDE">
        <w:instrText xml:space="preserve"> REF _Ref42794175 </w:instrText>
      </w:r>
      <w:r w:rsidR="00867C44" w:rsidRPr="00923FDE">
        <w:instrText xml:space="preserve"> \* MERGEFORMAT </w:instrText>
      </w:r>
      <w:r w:rsidR="00526C74" w:rsidRPr="00923FDE">
        <w:fldChar w:fldCharType="separate"/>
      </w:r>
      <w:r w:rsidR="004A78BF" w:rsidRPr="0042789F">
        <w:t xml:space="preserve">Table </w:t>
      </w:r>
      <w:r w:rsidR="004A78BF">
        <w:rPr>
          <w:noProof/>
        </w:rPr>
        <w:t>12</w:t>
      </w:r>
      <w:r w:rsidR="00526C74" w:rsidRPr="00923FDE">
        <w:rPr>
          <w:noProof/>
        </w:rPr>
        <w:fldChar w:fldCharType="end"/>
      </w:r>
      <w:r w:rsidRPr="00923FDE">
        <w:t xml:space="preserve"> shows the </w:t>
      </w:r>
      <w:r w:rsidR="001A0B7C">
        <w:t>measured</w:t>
      </w:r>
      <w:r w:rsidRPr="00923FDE">
        <w:t xml:space="preserve"> values of these six metals </w:t>
      </w:r>
      <w:r w:rsidR="00827B22">
        <w:t>within the three primary impaired segments</w:t>
      </w:r>
      <w:r w:rsidRPr="00923FDE">
        <w:t xml:space="preserve"> along with the associated TRVs. </w:t>
      </w:r>
      <w:r w:rsidR="009219DA" w:rsidRPr="00923FDE">
        <w:t xml:space="preserve">None of the </w:t>
      </w:r>
      <w:r w:rsidR="00FB6F21" w:rsidRPr="00923FDE">
        <w:t>stations</w:t>
      </w:r>
      <w:r w:rsidR="009219DA" w:rsidRPr="00923FDE">
        <w:t xml:space="preserve"> exceeded TRVs in any of the samples, indicating that these metals </w:t>
      </w:r>
      <w:r w:rsidR="003D473B" w:rsidRPr="00923FDE">
        <w:t xml:space="preserve">are not expected to </w:t>
      </w:r>
      <w:r w:rsidR="009219DA" w:rsidRPr="00923FDE">
        <w:t>pose a risk to aquatic life.</w:t>
      </w:r>
    </w:p>
    <w:p w14:paraId="473201B0" w14:textId="2DDA8F65" w:rsidR="0001200E" w:rsidRPr="00923FDE" w:rsidRDefault="001E035C" w:rsidP="001E035C">
      <w:pPr>
        <w:pStyle w:val="BlockText"/>
      </w:pPr>
      <w:r w:rsidRPr="00923FDE">
        <w:t xml:space="preserve">To investigate the combined effects of dissolved metals, a </w:t>
      </w:r>
      <w:r w:rsidR="009219DA" w:rsidRPr="00923FDE">
        <w:t>criterion</w:t>
      </w:r>
      <w:r w:rsidRPr="00923FDE">
        <w:t xml:space="preserve"> unit was calculated for each </w:t>
      </w:r>
      <w:r w:rsidR="009219DA" w:rsidRPr="00923FDE">
        <w:t xml:space="preserve">sample </w:t>
      </w:r>
      <w:r w:rsidRPr="00923FDE">
        <w:t>as the ratio of measured value</w:t>
      </w:r>
      <w:r w:rsidR="009219DA" w:rsidRPr="00923FDE">
        <w:t>s</w:t>
      </w:r>
      <w:r w:rsidRPr="00923FDE">
        <w:t xml:space="preserve"> to the </w:t>
      </w:r>
      <w:r w:rsidR="003D473B" w:rsidRPr="00923FDE">
        <w:t xml:space="preserve">chronic </w:t>
      </w:r>
      <w:r w:rsidRPr="00923FDE">
        <w:t xml:space="preserve">water quality </w:t>
      </w:r>
      <w:r w:rsidR="003D473B" w:rsidRPr="00923FDE">
        <w:t>criterion</w:t>
      </w:r>
      <w:r w:rsidR="009219DA" w:rsidRPr="00923FDE">
        <w:t xml:space="preserve">. </w:t>
      </w:r>
      <w:r w:rsidRPr="00923FDE">
        <w:t xml:space="preserve">In cases where the measured value was censored at the detection limit, half the detection limit was used for the criterion unit calculation. The criterion unit values for each </w:t>
      </w:r>
      <w:r w:rsidR="009219DA" w:rsidRPr="00923FDE">
        <w:t xml:space="preserve">of the eight </w:t>
      </w:r>
      <w:r w:rsidRPr="00923FDE">
        <w:t>metal</w:t>
      </w:r>
      <w:r w:rsidR="009219DA" w:rsidRPr="00923FDE">
        <w:t>s</w:t>
      </w:r>
      <w:r w:rsidRPr="00923FDE">
        <w:t xml:space="preserve"> </w:t>
      </w:r>
      <w:r w:rsidR="009219DA" w:rsidRPr="00923FDE">
        <w:t xml:space="preserve">subject to Virginia water quality standards </w:t>
      </w:r>
      <w:r w:rsidRPr="00923FDE">
        <w:t xml:space="preserve">were then summed to obtain a cumulative criterion unit </w:t>
      </w:r>
      <w:r w:rsidR="009219DA" w:rsidRPr="00923FDE">
        <w:t xml:space="preserve">(CCU) </w:t>
      </w:r>
      <w:r w:rsidRPr="00923FDE">
        <w:t xml:space="preserve">for each </w:t>
      </w:r>
      <w:r w:rsidR="009219DA" w:rsidRPr="00923FDE">
        <w:t>sampling event</w:t>
      </w:r>
      <w:r w:rsidRPr="00923FDE">
        <w:t xml:space="preserve">. The cumulative criterion unit represents the additive effect of the metals in total. A value greater than one indicates that the combined effects of the metals acting additively could be toxic. </w:t>
      </w:r>
      <w:r w:rsidR="00827B22">
        <w:t xml:space="preserve">Across 22 sampling events throughout the watershed, </w:t>
      </w:r>
      <w:r w:rsidR="009219DA" w:rsidRPr="00923FDE">
        <w:t>CCUs</w:t>
      </w:r>
      <w:r w:rsidRPr="00923FDE">
        <w:t xml:space="preserve"> rang</w:t>
      </w:r>
      <w:r w:rsidR="009219DA" w:rsidRPr="00923FDE">
        <w:t>ed</w:t>
      </w:r>
      <w:r w:rsidRPr="00923FDE">
        <w:t xml:space="preserve"> from 0.</w:t>
      </w:r>
      <w:r w:rsidR="00827B22">
        <w:t>09</w:t>
      </w:r>
      <w:r w:rsidRPr="00923FDE">
        <w:t xml:space="preserve"> </w:t>
      </w:r>
      <w:r w:rsidR="001A0B7C">
        <w:t xml:space="preserve">to </w:t>
      </w:r>
      <w:r w:rsidR="00FB6F21" w:rsidRPr="00923FDE">
        <w:t>0.</w:t>
      </w:r>
      <w:r w:rsidR="00827B22">
        <w:t>57</w:t>
      </w:r>
      <w:r w:rsidR="009219DA" w:rsidRPr="00923FDE">
        <w:t xml:space="preserve"> (</w:t>
      </w:r>
      <w:r w:rsidR="00526C74" w:rsidRPr="00923FDE">
        <w:fldChar w:fldCharType="begin"/>
      </w:r>
      <w:r w:rsidR="00526C74" w:rsidRPr="00923FDE">
        <w:instrText xml:space="preserve"> REF _Ref42794945 </w:instrText>
      </w:r>
      <w:r w:rsidR="00867C44" w:rsidRPr="00923FDE">
        <w:instrText xml:space="preserve"> \* MERGEFORMAT </w:instrText>
      </w:r>
      <w:r w:rsidR="00526C74" w:rsidRPr="00923FDE">
        <w:fldChar w:fldCharType="separate"/>
      </w:r>
      <w:r w:rsidR="004A78BF" w:rsidRPr="0042789F">
        <w:t xml:space="preserve">Table </w:t>
      </w:r>
      <w:r w:rsidR="004A78BF">
        <w:rPr>
          <w:noProof/>
        </w:rPr>
        <w:t>13</w:t>
      </w:r>
      <w:r w:rsidR="00526C74" w:rsidRPr="00923FDE">
        <w:rPr>
          <w:noProof/>
        </w:rPr>
        <w:fldChar w:fldCharType="end"/>
      </w:r>
      <w:r w:rsidR="009219DA" w:rsidRPr="00923FDE">
        <w:t xml:space="preserve">). </w:t>
      </w:r>
      <w:r w:rsidR="0001200E" w:rsidRPr="00923FDE">
        <w:t xml:space="preserve">The CCU values calculated </w:t>
      </w:r>
      <w:r w:rsidR="00827B22">
        <w:t>throughout the watershed</w:t>
      </w:r>
      <w:r w:rsidR="0001200E" w:rsidRPr="00923FDE">
        <w:t xml:space="preserve"> fall into the range of </w:t>
      </w:r>
      <w:r w:rsidRPr="00923FDE">
        <w:t>no probability of causing stressor effects, according to VDEQ’s stressor threshold analysis (VDEQ, 2017).</w:t>
      </w:r>
    </w:p>
    <w:p w14:paraId="49A22403" w14:textId="742404B4" w:rsidR="0001200E" w:rsidRPr="00923FDE" w:rsidRDefault="0001200E" w:rsidP="001E035C">
      <w:pPr>
        <w:pStyle w:val="BlockText"/>
      </w:pPr>
      <w:r w:rsidRPr="00923FDE">
        <w:t xml:space="preserve">To investigate the combined effects of dissolved metals that do not have </w:t>
      </w:r>
      <w:r w:rsidR="003D473B" w:rsidRPr="00923FDE">
        <w:t xml:space="preserve">chronic </w:t>
      </w:r>
      <w:r w:rsidRPr="00923FDE">
        <w:t xml:space="preserve">water quality </w:t>
      </w:r>
      <w:r w:rsidR="003D473B" w:rsidRPr="00923FDE">
        <w:t xml:space="preserve">criteria for aquatic life </w:t>
      </w:r>
      <w:r w:rsidRPr="00923FDE">
        <w:t>in Virginia, a toxicity reference value (TRV) quotient was calculated for each sample as the ratio of measured values to the literature-based TRV. In cases where the measured value was censored at the detection limit, half the detection limit was used for the TRV quotient. The TRV quotient values for each of the six metals were then summed to obtain a TRV index for each sampling event. The TRV index is similar to the CCU and represents the additive effect of the metals in total. A value greater than one indicates that the combined effects of the metals acting additively could be toxic. The TRV index values ranged from 0.</w:t>
      </w:r>
      <w:r w:rsidR="00827B22">
        <w:t>06</w:t>
      </w:r>
      <w:r w:rsidRPr="00923FDE">
        <w:t xml:space="preserve"> </w:t>
      </w:r>
      <w:r w:rsidR="00827B22">
        <w:t>to 0.48</w:t>
      </w:r>
      <w:r w:rsidRPr="00923FDE">
        <w:t xml:space="preserve"> (</w:t>
      </w:r>
      <w:r w:rsidR="00526C74" w:rsidRPr="00923FDE">
        <w:fldChar w:fldCharType="begin"/>
      </w:r>
      <w:r w:rsidR="00526C74" w:rsidRPr="00923FDE">
        <w:instrText xml:space="preserve"> REF _Ref42794945 </w:instrText>
      </w:r>
      <w:r w:rsidR="00867C44" w:rsidRPr="00923FDE">
        <w:instrText xml:space="preserve"> \* MERGEFORMAT </w:instrText>
      </w:r>
      <w:r w:rsidR="00526C74" w:rsidRPr="00923FDE">
        <w:fldChar w:fldCharType="separate"/>
      </w:r>
      <w:r w:rsidR="004A78BF" w:rsidRPr="0042789F">
        <w:t xml:space="preserve">Table </w:t>
      </w:r>
      <w:r w:rsidR="004A78BF">
        <w:rPr>
          <w:noProof/>
        </w:rPr>
        <w:t>13</w:t>
      </w:r>
      <w:r w:rsidR="00526C74" w:rsidRPr="00923FDE">
        <w:rPr>
          <w:noProof/>
        </w:rPr>
        <w:fldChar w:fldCharType="end"/>
      </w:r>
      <w:r w:rsidRPr="00923FDE">
        <w:t>). All of the TRV index values were below 1.0, indicating that these six dissolved metals are not likely a stressor to the benthic community.</w:t>
      </w:r>
    </w:p>
    <w:p w14:paraId="6EA6F9DE" w14:textId="59457DEB" w:rsidR="00E842A0" w:rsidRPr="00923FDE" w:rsidRDefault="001E035C" w:rsidP="001E035C">
      <w:pPr>
        <w:pStyle w:val="BlockText"/>
      </w:pPr>
      <w:r w:rsidRPr="00923FDE">
        <w:t>Based on comparison to individual water quality standards</w:t>
      </w:r>
      <w:r w:rsidR="0001200E" w:rsidRPr="00923FDE">
        <w:t>, literature-based toxicity reference values,</w:t>
      </w:r>
      <w:r w:rsidRPr="00923FDE">
        <w:t xml:space="preserve"> cumulative criterion units, </w:t>
      </w:r>
      <w:r w:rsidR="0001200E" w:rsidRPr="00923FDE">
        <w:t xml:space="preserve">and TRV indices, </w:t>
      </w:r>
      <w:r w:rsidRPr="00923FDE">
        <w:t xml:space="preserve">dissolved metals are not likely a stressor in </w:t>
      </w:r>
      <w:r w:rsidR="00827B22">
        <w:t>Roanoke River Project streams</w:t>
      </w:r>
      <w:r w:rsidR="00FB6F21" w:rsidRPr="00923FDE">
        <w:t xml:space="preserve">. </w:t>
      </w:r>
    </w:p>
    <w:p w14:paraId="514B5C98" w14:textId="77777777" w:rsidR="00FB6F21" w:rsidRPr="00923FDE" w:rsidRDefault="00FB6F21" w:rsidP="001E035C">
      <w:pPr>
        <w:pStyle w:val="BlockText"/>
      </w:pPr>
    </w:p>
    <w:p w14:paraId="50511D87" w14:textId="092A6AF3" w:rsidR="005654F8" w:rsidRPr="00923FDE" w:rsidRDefault="005654F8" w:rsidP="005654F8">
      <w:pPr>
        <w:pStyle w:val="Caption"/>
      </w:pPr>
      <w:bookmarkStart w:id="150" w:name="_Ref42793289"/>
      <w:bookmarkStart w:id="151" w:name="_Toc162948278"/>
      <w:r w:rsidRPr="00923FDE">
        <w:t xml:space="preserve">Table </w:t>
      </w:r>
      <w:r w:rsidR="00170652" w:rsidRPr="00923FDE">
        <w:rPr>
          <w:noProof/>
        </w:rPr>
        <w:fldChar w:fldCharType="begin"/>
      </w:r>
      <w:r w:rsidR="00170652" w:rsidRPr="00923FDE">
        <w:rPr>
          <w:noProof/>
        </w:rPr>
        <w:instrText xml:space="preserve"> SEQ Table \* ARABIC </w:instrText>
      </w:r>
      <w:r w:rsidR="00170652" w:rsidRPr="00923FDE">
        <w:rPr>
          <w:noProof/>
        </w:rPr>
        <w:fldChar w:fldCharType="separate"/>
      </w:r>
      <w:r w:rsidR="004A78BF">
        <w:rPr>
          <w:noProof/>
        </w:rPr>
        <w:t>11</w:t>
      </w:r>
      <w:r w:rsidR="00170652" w:rsidRPr="00923FDE">
        <w:rPr>
          <w:noProof/>
        </w:rPr>
        <w:fldChar w:fldCharType="end"/>
      </w:r>
      <w:bookmarkEnd w:id="150"/>
      <w:r w:rsidRPr="00923FDE">
        <w:t xml:space="preserve">. </w:t>
      </w:r>
      <w:r w:rsidR="001A0B7C">
        <w:t>D</w:t>
      </w:r>
      <w:r w:rsidRPr="00923FDE">
        <w:t xml:space="preserve">issolved metals concentrations </w:t>
      </w:r>
      <w:r w:rsidR="001E71CA" w:rsidRPr="00923FDE">
        <w:t xml:space="preserve">and corresponding water quality standards for </w:t>
      </w:r>
      <w:r w:rsidR="00C9297B">
        <w:t>Roanoke River Project streams</w:t>
      </w:r>
      <w:r w:rsidRPr="00923FDE">
        <w:t>.</w:t>
      </w:r>
      <w:bookmarkEnd w:id="151"/>
    </w:p>
    <w:tbl>
      <w:tblPr>
        <w:tblW w:w="8133"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6"/>
        <w:gridCol w:w="1627"/>
        <w:gridCol w:w="1626"/>
        <w:gridCol w:w="1627"/>
        <w:gridCol w:w="1627"/>
      </w:tblGrid>
      <w:tr w:rsidR="00463303" w:rsidRPr="00923FDE" w14:paraId="368D89B3" w14:textId="77777777" w:rsidTr="00923FDE">
        <w:trPr>
          <w:trHeight w:val="732"/>
        </w:trPr>
        <w:tc>
          <w:tcPr>
            <w:tcW w:w="1626" w:type="dxa"/>
            <w:tcBorders>
              <w:bottom w:val="nil"/>
            </w:tcBorders>
            <w:shd w:val="clear" w:color="auto" w:fill="D9D9D9" w:themeFill="background1" w:themeFillShade="D9"/>
            <w:vAlign w:val="bottom"/>
          </w:tcPr>
          <w:p w14:paraId="10BE2519" w14:textId="77777777" w:rsidR="00463303" w:rsidRPr="00923FDE" w:rsidRDefault="00463303" w:rsidP="00923FDE">
            <w:pPr>
              <w:autoSpaceDE w:val="0"/>
              <w:autoSpaceDN w:val="0"/>
              <w:adjustRightInd w:val="0"/>
              <w:jc w:val="center"/>
              <w:rPr>
                <w:rFonts w:ascii="Arial Narrow" w:hAnsi="Arial Narrow" w:cs="Calibri"/>
                <w:b/>
                <w:bCs/>
                <w:color w:val="000000"/>
                <w:sz w:val="20"/>
                <w:szCs w:val="20"/>
              </w:rPr>
            </w:pPr>
            <w:bookmarkStart w:id="152" w:name="_Hlk106970008"/>
            <w:r w:rsidRPr="00923FDE">
              <w:rPr>
                <w:rFonts w:ascii="Arial Narrow" w:hAnsi="Arial Narrow" w:cs="Arial"/>
                <w:b/>
                <w:sz w:val="20"/>
                <w:szCs w:val="20"/>
              </w:rPr>
              <w:t>Metal</w:t>
            </w:r>
          </w:p>
        </w:tc>
        <w:tc>
          <w:tcPr>
            <w:tcW w:w="1627" w:type="dxa"/>
            <w:tcBorders>
              <w:bottom w:val="nil"/>
            </w:tcBorders>
            <w:shd w:val="clear" w:color="auto" w:fill="D9D9D9" w:themeFill="background1" w:themeFillShade="D9"/>
            <w:vAlign w:val="center"/>
          </w:tcPr>
          <w:p w14:paraId="69A1D76B" w14:textId="5B2079F5" w:rsidR="00463303" w:rsidRPr="00923FDE" w:rsidRDefault="00463303" w:rsidP="00923FDE">
            <w:pPr>
              <w:autoSpaceDE w:val="0"/>
              <w:autoSpaceDN w:val="0"/>
              <w:adjustRightInd w:val="0"/>
              <w:jc w:val="center"/>
              <w:rPr>
                <w:rFonts w:ascii="Arial Narrow" w:hAnsi="Arial Narrow" w:cs="Calibri"/>
                <w:b/>
                <w:bCs/>
                <w:color w:val="000000"/>
                <w:sz w:val="20"/>
                <w:szCs w:val="20"/>
              </w:rPr>
            </w:pPr>
            <w:r w:rsidRPr="00923FDE">
              <w:rPr>
                <w:rFonts w:ascii="Arial Narrow" w:hAnsi="Arial Narrow" w:cs="Arial"/>
                <w:b/>
                <w:sz w:val="20"/>
                <w:szCs w:val="20"/>
              </w:rPr>
              <w:t>Water Quality Standard</w:t>
            </w:r>
            <w:r w:rsidR="00F93363">
              <w:rPr>
                <w:rFonts w:ascii="Arial Narrow" w:hAnsi="Arial Narrow" w:cs="Arial"/>
                <w:b/>
                <w:sz w:val="20"/>
                <w:szCs w:val="20"/>
              </w:rPr>
              <w:t xml:space="preserve"> Average and (Range)</w:t>
            </w:r>
            <w:r w:rsidRPr="00923FDE">
              <w:rPr>
                <w:rFonts w:ascii="Arial Narrow" w:hAnsi="Arial Narrow" w:cs="Arial"/>
                <w:b/>
                <w:sz w:val="20"/>
                <w:szCs w:val="20"/>
                <w:vertAlign w:val="superscript"/>
              </w:rPr>
              <w:t>1</w:t>
            </w:r>
          </w:p>
        </w:tc>
        <w:tc>
          <w:tcPr>
            <w:tcW w:w="1626" w:type="dxa"/>
            <w:tcBorders>
              <w:right w:val="nil"/>
            </w:tcBorders>
            <w:shd w:val="clear" w:color="auto" w:fill="D9D9D9" w:themeFill="background1" w:themeFillShade="D9"/>
            <w:vAlign w:val="center"/>
          </w:tcPr>
          <w:p w14:paraId="00D20B93" w14:textId="77777777" w:rsidR="00463303" w:rsidRPr="00923FDE" w:rsidRDefault="00463303" w:rsidP="00923FDE">
            <w:pPr>
              <w:autoSpaceDE w:val="0"/>
              <w:autoSpaceDN w:val="0"/>
              <w:adjustRightInd w:val="0"/>
              <w:jc w:val="center"/>
              <w:rPr>
                <w:rFonts w:ascii="Arial Narrow" w:hAnsi="Arial Narrow" w:cs="Calibri"/>
                <w:b/>
                <w:bCs/>
                <w:color w:val="000000"/>
                <w:sz w:val="20"/>
                <w:szCs w:val="20"/>
              </w:rPr>
            </w:pPr>
          </w:p>
        </w:tc>
        <w:tc>
          <w:tcPr>
            <w:tcW w:w="1627" w:type="dxa"/>
            <w:tcBorders>
              <w:left w:val="nil"/>
              <w:right w:val="nil"/>
            </w:tcBorders>
            <w:shd w:val="clear" w:color="auto" w:fill="D9D9D9" w:themeFill="background1" w:themeFillShade="D9"/>
            <w:vAlign w:val="center"/>
          </w:tcPr>
          <w:p w14:paraId="1512C8DE" w14:textId="29A0855E" w:rsidR="00463303" w:rsidRPr="00923FDE" w:rsidRDefault="00505A84" w:rsidP="00923FDE">
            <w:pPr>
              <w:autoSpaceDE w:val="0"/>
              <w:autoSpaceDN w:val="0"/>
              <w:adjustRightInd w:val="0"/>
              <w:jc w:val="center"/>
              <w:rPr>
                <w:rFonts w:ascii="Arial Narrow" w:hAnsi="Arial Narrow" w:cs="Arial"/>
                <w:b/>
                <w:sz w:val="20"/>
                <w:szCs w:val="20"/>
              </w:rPr>
            </w:pPr>
            <w:r>
              <w:rPr>
                <w:rFonts w:ascii="Arial Narrow" w:hAnsi="Arial Narrow" w:cs="Arial"/>
                <w:b/>
                <w:sz w:val="20"/>
                <w:szCs w:val="20"/>
              </w:rPr>
              <w:t xml:space="preserve">Average </w:t>
            </w:r>
            <w:r w:rsidR="00463303" w:rsidRPr="00923FDE">
              <w:rPr>
                <w:rFonts w:ascii="Arial Narrow" w:hAnsi="Arial Narrow" w:cs="Arial"/>
                <w:b/>
                <w:sz w:val="20"/>
                <w:szCs w:val="20"/>
              </w:rPr>
              <w:t>Concentration</w:t>
            </w:r>
            <w:r>
              <w:rPr>
                <w:rFonts w:ascii="Arial Narrow" w:hAnsi="Arial Narrow" w:cs="Arial"/>
                <w:b/>
                <w:sz w:val="20"/>
                <w:szCs w:val="20"/>
              </w:rPr>
              <w:t xml:space="preserve"> and (Range)</w:t>
            </w:r>
          </w:p>
          <w:p w14:paraId="0CB0A48D" w14:textId="77777777" w:rsidR="00463303" w:rsidRPr="00923FDE" w:rsidRDefault="00463303" w:rsidP="00923FDE">
            <w:pPr>
              <w:autoSpaceDE w:val="0"/>
              <w:autoSpaceDN w:val="0"/>
              <w:adjustRightInd w:val="0"/>
              <w:jc w:val="center"/>
              <w:rPr>
                <w:rFonts w:ascii="Arial Narrow" w:hAnsi="Arial Narrow" w:cs="Calibri"/>
                <w:b/>
                <w:bCs/>
                <w:color w:val="000000"/>
                <w:sz w:val="20"/>
                <w:szCs w:val="20"/>
              </w:rPr>
            </w:pPr>
            <w:r w:rsidRPr="00923FDE">
              <w:rPr>
                <w:rFonts w:ascii="Arial Narrow" w:hAnsi="Arial Narrow" w:cs="Calibri"/>
                <w:b/>
                <w:bCs/>
                <w:color w:val="000000"/>
                <w:sz w:val="20"/>
                <w:szCs w:val="20"/>
              </w:rPr>
              <w:t>(ug/L)</w:t>
            </w:r>
          </w:p>
        </w:tc>
        <w:tc>
          <w:tcPr>
            <w:tcW w:w="1627" w:type="dxa"/>
            <w:tcBorders>
              <w:left w:val="nil"/>
              <w:right w:val="nil"/>
            </w:tcBorders>
            <w:shd w:val="clear" w:color="auto" w:fill="D9D9D9" w:themeFill="background1" w:themeFillShade="D9"/>
            <w:vAlign w:val="center"/>
          </w:tcPr>
          <w:p w14:paraId="6FA5612A" w14:textId="77777777" w:rsidR="00463303" w:rsidRPr="00923FDE" w:rsidRDefault="00463303" w:rsidP="00923FDE">
            <w:pPr>
              <w:autoSpaceDE w:val="0"/>
              <w:autoSpaceDN w:val="0"/>
              <w:adjustRightInd w:val="0"/>
              <w:jc w:val="right"/>
              <w:rPr>
                <w:rFonts w:ascii="Arial Narrow" w:hAnsi="Arial Narrow" w:cs="Calibri"/>
                <w:b/>
                <w:bCs/>
                <w:color w:val="000000"/>
                <w:sz w:val="20"/>
                <w:szCs w:val="20"/>
              </w:rPr>
            </w:pPr>
          </w:p>
        </w:tc>
      </w:tr>
      <w:tr w:rsidR="00463303" w:rsidRPr="00923FDE" w14:paraId="71AE06FB" w14:textId="77777777" w:rsidTr="00923FDE">
        <w:trPr>
          <w:trHeight w:val="732"/>
        </w:trPr>
        <w:tc>
          <w:tcPr>
            <w:tcW w:w="1626" w:type="dxa"/>
            <w:tcBorders>
              <w:top w:val="nil"/>
            </w:tcBorders>
            <w:shd w:val="clear" w:color="auto" w:fill="D9D9D9" w:themeFill="background1" w:themeFillShade="D9"/>
            <w:vAlign w:val="center"/>
          </w:tcPr>
          <w:p w14:paraId="6EE85671" w14:textId="77777777" w:rsidR="00463303" w:rsidRPr="00923FDE" w:rsidRDefault="00463303" w:rsidP="00923FDE">
            <w:pPr>
              <w:autoSpaceDE w:val="0"/>
              <w:autoSpaceDN w:val="0"/>
              <w:adjustRightInd w:val="0"/>
              <w:jc w:val="center"/>
              <w:rPr>
                <w:rFonts w:ascii="Arial Narrow" w:hAnsi="Arial Narrow" w:cs="Arial"/>
                <w:b/>
                <w:sz w:val="20"/>
                <w:szCs w:val="20"/>
              </w:rPr>
            </w:pPr>
          </w:p>
        </w:tc>
        <w:tc>
          <w:tcPr>
            <w:tcW w:w="1627" w:type="dxa"/>
            <w:tcBorders>
              <w:top w:val="nil"/>
            </w:tcBorders>
            <w:shd w:val="clear" w:color="auto" w:fill="D9D9D9" w:themeFill="background1" w:themeFillShade="D9"/>
          </w:tcPr>
          <w:p w14:paraId="624912A7" w14:textId="77777777" w:rsidR="00463303" w:rsidRPr="00923FDE" w:rsidRDefault="00463303" w:rsidP="00923FDE">
            <w:pPr>
              <w:autoSpaceDE w:val="0"/>
              <w:autoSpaceDN w:val="0"/>
              <w:adjustRightInd w:val="0"/>
              <w:jc w:val="center"/>
              <w:rPr>
                <w:rFonts w:ascii="Arial Narrow" w:hAnsi="Arial Narrow" w:cs="Arial"/>
                <w:b/>
                <w:sz w:val="20"/>
                <w:szCs w:val="20"/>
              </w:rPr>
            </w:pPr>
            <w:r w:rsidRPr="00923FDE">
              <w:rPr>
                <w:rFonts w:ascii="Arial Narrow" w:hAnsi="Arial Narrow" w:cs="Arial"/>
                <w:b/>
                <w:sz w:val="20"/>
                <w:szCs w:val="20"/>
              </w:rPr>
              <w:t>(ug/L)</w:t>
            </w:r>
          </w:p>
        </w:tc>
        <w:tc>
          <w:tcPr>
            <w:tcW w:w="1626" w:type="dxa"/>
            <w:shd w:val="clear" w:color="auto" w:fill="D9D9D9" w:themeFill="background1" w:themeFillShade="D9"/>
            <w:vAlign w:val="center"/>
          </w:tcPr>
          <w:p w14:paraId="285D7633" w14:textId="754B4031" w:rsidR="00463303" w:rsidRPr="00923FDE" w:rsidRDefault="003C616E" w:rsidP="00923FDE">
            <w:pPr>
              <w:autoSpaceDE w:val="0"/>
              <w:autoSpaceDN w:val="0"/>
              <w:adjustRightInd w:val="0"/>
              <w:jc w:val="center"/>
              <w:rPr>
                <w:rFonts w:ascii="Arial Narrow" w:hAnsi="Arial Narrow" w:cs="Arial"/>
                <w:b/>
                <w:sz w:val="20"/>
                <w:szCs w:val="20"/>
              </w:rPr>
            </w:pPr>
            <w:r>
              <w:rPr>
                <w:rFonts w:ascii="Arial Narrow" w:hAnsi="Arial Narrow" w:cs="Arial"/>
                <w:b/>
                <w:sz w:val="20"/>
                <w:szCs w:val="20"/>
              </w:rPr>
              <w:t>Wolf Creek</w:t>
            </w:r>
          </w:p>
          <w:p w14:paraId="248C3ABA" w14:textId="30F7C9D2" w:rsidR="00463303" w:rsidRPr="00923FDE" w:rsidRDefault="00463303" w:rsidP="00923FDE">
            <w:pPr>
              <w:autoSpaceDE w:val="0"/>
              <w:autoSpaceDN w:val="0"/>
              <w:adjustRightInd w:val="0"/>
              <w:jc w:val="center"/>
              <w:rPr>
                <w:rFonts w:ascii="Arial Narrow" w:hAnsi="Arial Narrow" w:cs="Arial"/>
                <w:b/>
                <w:sz w:val="20"/>
                <w:szCs w:val="20"/>
              </w:rPr>
            </w:pPr>
            <w:r w:rsidRPr="00923FDE">
              <w:rPr>
                <w:rFonts w:ascii="Arial Narrow" w:hAnsi="Arial Narrow" w:cs="Arial"/>
                <w:b/>
                <w:sz w:val="20"/>
                <w:szCs w:val="20"/>
              </w:rPr>
              <w:t>(</w:t>
            </w:r>
            <w:r w:rsidR="00466B78">
              <w:rPr>
                <w:rFonts w:ascii="Arial Narrow" w:hAnsi="Arial Narrow" w:cs="Arial"/>
                <w:b/>
                <w:sz w:val="20"/>
                <w:szCs w:val="20"/>
              </w:rPr>
              <w:t>4AWOR000.34)</w:t>
            </w:r>
          </w:p>
        </w:tc>
        <w:tc>
          <w:tcPr>
            <w:tcW w:w="1627" w:type="dxa"/>
            <w:shd w:val="clear" w:color="auto" w:fill="D9D9D9" w:themeFill="background1" w:themeFillShade="D9"/>
            <w:vAlign w:val="center"/>
          </w:tcPr>
          <w:p w14:paraId="32B5ADE4" w14:textId="39237768" w:rsidR="00463303" w:rsidRPr="00923FDE" w:rsidRDefault="00466B78" w:rsidP="00923FDE">
            <w:pPr>
              <w:autoSpaceDE w:val="0"/>
              <w:autoSpaceDN w:val="0"/>
              <w:adjustRightInd w:val="0"/>
              <w:jc w:val="center"/>
              <w:rPr>
                <w:rFonts w:ascii="Arial Narrow" w:hAnsi="Arial Narrow" w:cs="Arial"/>
                <w:b/>
                <w:sz w:val="20"/>
                <w:szCs w:val="20"/>
              </w:rPr>
            </w:pPr>
            <w:r>
              <w:rPr>
                <w:rFonts w:ascii="Arial Narrow" w:hAnsi="Arial Narrow" w:cs="Arial"/>
                <w:b/>
                <w:sz w:val="20"/>
                <w:szCs w:val="20"/>
              </w:rPr>
              <w:t>Tinker Creek</w:t>
            </w:r>
          </w:p>
          <w:p w14:paraId="7EDCBFC4" w14:textId="2FCAEF2D" w:rsidR="00463303" w:rsidRPr="00923FDE" w:rsidRDefault="00463303" w:rsidP="00923FDE">
            <w:pPr>
              <w:autoSpaceDE w:val="0"/>
              <w:autoSpaceDN w:val="0"/>
              <w:adjustRightInd w:val="0"/>
              <w:jc w:val="center"/>
              <w:rPr>
                <w:rFonts w:ascii="Arial Narrow" w:hAnsi="Arial Narrow" w:cs="Arial"/>
                <w:b/>
                <w:sz w:val="20"/>
                <w:szCs w:val="20"/>
              </w:rPr>
            </w:pPr>
            <w:r w:rsidRPr="00923FDE">
              <w:rPr>
                <w:rFonts w:ascii="Arial Narrow" w:hAnsi="Arial Narrow" w:cs="Arial"/>
                <w:b/>
                <w:sz w:val="20"/>
                <w:szCs w:val="20"/>
              </w:rPr>
              <w:t>(</w:t>
            </w:r>
            <w:r w:rsidR="00466B78">
              <w:rPr>
                <w:rFonts w:ascii="Arial Narrow" w:hAnsi="Arial Narrow" w:cs="Arial"/>
                <w:b/>
                <w:sz w:val="20"/>
                <w:szCs w:val="20"/>
              </w:rPr>
              <w:t>4ATKR009.30)</w:t>
            </w:r>
          </w:p>
        </w:tc>
        <w:tc>
          <w:tcPr>
            <w:tcW w:w="1627" w:type="dxa"/>
            <w:shd w:val="clear" w:color="auto" w:fill="D9D9D9" w:themeFill="background1" w:themeFillShade="D9"/>
            <w:vAlign w:val="center"/>
          </w:tcPr>
          <w:p w14:paraId="49DB475B" w14:textId="3F506119" w:rsidR="00463303" w:rsidRPr="00923FDE" w:rsidRDefault="00466B78" w:rsidP="00463303">
            <w:pPr>
              <w:autoSpaceDE w:val="0"/>
              <w:autoSpaceDN w:val="0"/>
              <w:adjustRightInd w:val="0"/>
              <w:jc w:val="center"/>
              <w:rPr>
                <w:rFonts w:ascii="Arial Narrow" w:hAnsi="Arial Narrow" w:cs="Calibri"/>
                <w:b/>
                <w:color w:val="000000"/>
                <w:sz w:val="20"/>
                <w:szCs w:val="20"/>
              </w:rPr>
            </w:pPr>
            <w:r>
              <w:rPr>
                <w:rFonts w:ascii="Arial Narrow" w:hAnsi="Arial Narrow" w:cs="Calibri"/>
                <w:b/>
                <w:color w:val="000000"/>
                <w:sz w:val="20"/>
                <w:szCs w:val="20"/>
              </w:rPr>
              <w:t>Roanoke River</w:t>
            </w:r>
          </w:p>
          <w:p w14:paraId="5ABBCCD6" w14:textId="34F6C019" w:rsidR="00463303" w:rsidRPr="00923FDE" w:rsidRDefault="00463303" w:rsidP="00463303">
            <w:pPr>
              <w:autoSpaceDE w:val="0"/>
              <w:autoSpaceDN w:val="0"/>
              <w:adjustRightInd w:val="0"/>
              <w:jc w:val="center"/>
              <w:rPr>
                <w:rFonts w:ascii="Arial Narrow" w:hAnsi="Arial Narrow" w:cs="Arial"/>
                <w:b/>
                <w:sz w:val="20"/>
                <w:szCs w:val="20"/>
              </w:rPr>
            </w:pPr>
            <w:r w:rsidRPr="00923FDE">
              <w:rPr>
                <w:rFonts w:ascii="Arial Narrow" w:hAnsi="Arial Narrow" w:cs="Arial"/>
                <w:b/>
                <w:sz w:val="20"/>
                <w:szCs w:val="20"/>
              </w:rPr>
              <w:t>(</w:t>
            </w:r>
            <w:r w:rsidR="00466B78">
              <w:rPr>
                <w:rFonts w:ascii="Arial Narrow" w:hAnsi="Arial Narrow" w:cs="Arial"/>
                <w:b/>
                <w:sz w:val="20"/>
                <w:szCs w:val="20"/>
              </w:rPr>
              <w:t>4AROA202.20 / 199.20 / 198.08)</w:t>
            </w:r>
          </w:p>
        </w:tc>
      </w:tr>
      <w:tr w:rsidR="006B757B" w:rsidRPr="00923FDE" w14:paraId="0CFF834D" w14:textId="77777777" w:rsidTr="004922CA">
        <w:trPr>
          <w:trHeight w:val="290"/>
        </w:trPr>
        <w:tc>
          <w:tcPr>
            <w:tcW w:w="1626" w:type="dxa"/>
            <w:vAlign w:val="center"/>
          </w:tcPr>
          <w:p w14:paraId="3C4EB1D6" w14:textId="77777777" w:rsidR="006B757B" w:rsidRPr="00505A84" w:rsidRDefault="006B757B" w:rsidP="006B757B">
            <w:pPr>
              <w:autoSpaceDE w:val="0"/>
              <w:autoSpaceDN w:val="0"/>
              <w:adjustRightInd w:val="0"/>
              <w:jc w:val="center"/>
              <w:rPr>
                <w:rFonts w:ascii="Arial Narrow" w:hAnsi="Arial Narrow" w:cs="Arial"/>
                <w:sz w:val="20"/>
                <w:szCs w:val="20"/>
              </w:rPr>
            </w:pPr>
            <w:r w:rsidRPr="00505A84">
              <w:rPr>
                <w:rFonts w:ascii="Arial Narrow" w:hAnsi="Arial Narrow" w:cs="Arial"/>
                <w:sz w:val="20"/>
                <w:szCs w:val="20"/>
              </w:rPr>
              <w:t>Arsenic</w:t>
            </w:r>
          </w:p>
        </w:tc>
        <w:tc>
          <w:tcPr>
            <w:tcW w:w="1627" w:type="dxa"/>
            <w:vAlign w:val="center"/>
          </w:tcPr>
          <w:p w14:paraId="320932E3" w14:textId="778A5A00" w:rsidR="006B757B" w:rsidRPr="00505A84" w:rsidRDefault="006B757B" w:rsidP="006B757B">
            <w:pPr>
              <w:autoSpaceDE w:val="0"/>
              <w:autoSpaceDN w:val="0"/>
              <w:adjustRightInd w:val="0"/>
              <w:jc w:val="center"/>
              <w:rPr>
                <w:rFonts w:ascii="Arial Narrow" w:hAnsi="Arial Narrow" w:cs="Calibri"/>
                <w:color w:val="000000"/>
                <w:sz w:val="20"/>
                <w:szCs w:val="20"/>
              </w:rPr>
            </w:pPr>
            <w:r w:rsidRPr="00505A84">
              <w:rPr>
                <w:rFonts w:ascii="Arial Narrow" w:hAnsi="Arial Narrow" w:cs="Arial"/>
                <w:sz w:val="20"/>
                <w:szCs w:val="20"/>
              </w:rPr>
              <w:t>150</w:t>
            </w:r>
          </w:p>
        </w:tc>
        <w:tc>
          <w:tcPr>
            <w:tcW w:w="1626" w:type="dxa"/>
            <w:vAlign w:val="center"/>
          </w:tcPr>
          <w:p w14:paraId="25F207A2" w14:textId="6B534D7C" w:rsidR="006B757B" w:rsidRPr="00505A84" w:rsidRDefault="006B757B" w:rsidP="006B757B">
            <w:pPr>
              <w:autoSpaceDE w:val="0"/>
              <w:autoSpaceDN w:val="0"/>
              <w:adjustRightInd w:val="0"/>
              <w:jc w:val="center"/>
              <w:rPr>
                <w:rFonts w:ascii="Arial Narrow" w:hAnsi="Arial Narrow" w:cs="Arial"/>
                <w:sz w:val="20"/>
                <w:szCs w:val="20"/>
              </w:rPr>
            </w:pPr>
            <w:r w:rsidRPr="00505A84">
              <w:rPr>
                <w:rFonts w:ascii="Arial Narrow" w:hAnsi="Arial Narrow" w:cs="Arial"/>
                <w:sz w:val="20"/>
                <w:szCs w:val="20"/>
              </w:rPr>
              <w:t>&lt;0.2</w:t>
            </w:r>
          </w:p>
        </w:tc>
        <w:tc>
          <w:tcPr>
            <w:tcW w:w="1627" w:type="dxa"/>
            <w:vAlign w:val="bottom"/>
          </w:tcPr>
          <w:p w14:paraId="775EABE0" w14:textId="77777777" w:rsidR="006B757B" w:rsidRPr="00505A84" w:rsidRDefault="006B757B" w:rsidP="006B757B">
            <w:pPr>
              <w:autoSpaceDE w:val="0"/>
              <w:autoSpaceDN w:val="0"/>
              <w:adjustRightInd w:val="0"/>
              <w:jc w:val="center"/>
              <w:rPr>
                <w:rFonts w:ascii="Arial Narrow" w:hAnsi="Arial Narrow" w:cs="Calibri"/>
                <w:color w:val="000000"/>
                <w:sz w:val="20"/>
                <w:szCs w:val="20"/>
              </w:rPr>
            </w:pPr>
            <w:r w:rsidRPr="00505A84">
              <w:rPr>
                <w:rFonts w:ascii="Arial Narrow" w:hAnsi="Arial Narrow" w:cs="Calibri"/>
                <w:color w:val="000000"/>
                <w:sz w:val="20"/>
                <w:szCs w:val="20"/>
              </w:rPr>
              <w:t>0.30</w:t>
            </w:r>
          </w:p>
          <w:p w14:paraId="511B8B2C" w14:textId="4C7D5675" w:rsidR="006B757B" w:rsidRPr="00505A84" w:rsidRDefault="006B757B" w:rsidP="006B757B">
            <w:pPr>
              <w:autoSpaceDE w:val="0"/>
              <w:autoSpaceDN w:val="0"/>
              <w:adjustRightInd w:val="0"/>
              <w:jc w:val="center"/>
              <w:rPr>
                <w:rFonts w:ascii="Arial Narrow" w:hAnsi="Arial Narrow" w:cs="Arial"/>
                <w:sz w:val="20"/>
                <w:szCs w:val="20"/>
              </w:rPr>
            </w:pPr>
            <w:r w:rsidRPr="00505A84">
              <w:rPr>
                <w:rFonts w:ascii="Arial Narrow" w:hAnsi="Arial Narrow" w:cs="Arial"/>
                <w:sz w:val="20"/>
                <w:szCs w:val="20"/>
              </w:rPr>
              <w:t>(0.23-0.37)</w:t>
            </w:r>
          </w:p>
        </w:tc>
        <w:tc>
          <w:tcPr>
            <w:tcW w:w="1627" w:type="dxa"/>
            <w:shd w:val="clear" w:color="auto" w:fill="auto"/>
            <w:vAlign w:val="bottom"/>
          </w:tcPr>
          <w:p w14:paraId="160F6664" w14:textId="2FC1EE4F" w:rsidR="006B757B" w:rsidRPr="00505A84" w:rsidRDefault="006B757B" w:rsidP="006B757B">
            <w:pPr>
              <w:autoSpaceDE w:val="0"/>
              <w:autoSpaceDN w:val="0"/>
              <w:adjustRightInd w:val="0"/>
              <w:jc w:val="center"/>
              <w:rPr>
                <w:rFonts w:ascii="Arial Narrow" w:hAnsi="Arial Narrow" w:cs="Calibri"/>
                <w:color w:val="000000"/>
                <w:sz w:val="20"/>
                <w:szCs w:val="20"/>
              </w:rPr>
            </w:pPr>
            <w:r w:rsidRPr="00505A84">
              <w:rPr>
                <w:rFonts w:ascii="Arial Narrow" w:hAnsi="Arial Narrow" w:cs="Calibri"/>
                <w:color w:val="000000"/>
                <w:sz w:val="20"/>
                <w:szCs w:val="20"/>
              </w:rPr>
              <w:t>0.3</w:t>
            </w:r>
          </w:p>
          <w:p w14:paraId="28B6EF1A" w14:textId="4FCADF71" w:rsidR="00505A84" w:rsidRPr="00505A84" w:rsidRDefault="00505A84" w:rsidP="006B757B">
            <w:pPr>
              <w:autoSpaceDE w:val="0"/>
              <w:autoSpaceDN w:val="0"/>
              <w:adjustRightInd w:val="0"/>
              <w:jc w:val="center"/>
              <w:rPr>
                <w:rFonts w:ascii="Arial Narrow" w:hAnsi="Arial Narrow" w:cs="Arial"/>
                <w:sz w:val="20"/>
                <w:szCs w:val="20"/>
              </w:rPr>
            </w:pPr>
            <w:r w:rsidRPr="00505A84">
              <w:rPr>
                <w:rFonts w:ascii="Arial Narrow" w:hAnsi="Arial Narrow" w:cs="Arial"/>
                <w:sz w:val="20"/>
                <w:szCs w:val="20"/>
              </w:rPr>
              <w:t>(&lt;0.2-0.9)</w:t>
            </w:r>
          </w:p>
        </w:tc>
      </w:tr>
      <w:tr w:rsidR="006B757B" w:rsidRPr="00923FDE" w14:paraId="7A4C9BD8" w14:textId="77777777" w:rsidTr="004922CA">
        <w:trPr>
          <w:trHeight w:val="290"/>
        </w:trPr>
        <w:tc>
          <w:tcPr>
            <w:tcW w:w="1626" w:type="dxa"/>
            <w:vAlign w:val="center"/>
          </w:tcPr>
          <w:p w14:paraId="415CE60F" w14:textId="77777777" w:rsidR="006B757B" w:rsidRPr="00505A84" w:rsidRDefault="006B757B" w:rsidP="006B757B">
            <w:pPr>
              <w:autoSpaceDE w:val="0"/>
              <w:autoSpaceDN w:val="0"/>
              <w:adjustRightInd w:val="0"/>
              <w:jc w:val="center"/>
              <w:rPr>
                <w:rFonts w:ascii="Arial Narrow" w:hAnsi="Arial Narrow" w:cs="Arial"/>
                <w:sz w:val="20"/>
                <w:szCs w:val="20"/>
              </w:rPr>
            </w:pPr>
            <w:r w:rsidRPr="00505A84">
              <w:rPr>
                <w:rFonts w:ascii="Arial Narrow" w:hAnsi="Arial Narrow" w:cs="Arial"/>
                <w:sz w:val="20"/>
                <w:szCs w:val="20"/>
              </w:rPr>
              <w:t>Cadmium</w:t>
            </w:r>
          </w:p>
        </w:tc>
        <w:tc>
          <w:tcPr>
            <w:tcW w:w="1627" w:type="dxa"/>
            <w:vAlign w:val="center"/>
          </w:tcPr>
          <w:p w14:paraId="0C0F98BD" w14:textId="519A72D3" w:rsidR="006B757B" w:rsidRPr="00505A84" w:rsidRDefault="006B757B" w:rsidP="006B757B">
            <w:pPr>
              <w:autoSpaceDE w:val="0"/>
              <w:autoSpaceDN w:val="0"/>
              <w:adjustRightInd w:val="0"/>
              <w:jc w:val="center"/>
              <w:rPr>
                <w:rFonts w:ascii="Arial Narrow" w:hAnsi="Arial Narrow" w:cs="Arial"/>
                <w:sz w:val="20"/>
                <w:szCs w:val="20"/>
              </w:rPr>
            </w:pPr>
            <w:r w:rsidRPr="00505A84">
              <w:rPr>
                <w:rFonts w:ascii="Arial Narrow" w:hAnsi="Arial Narrow" w:cs="Arial"/>
                <w:sz w:val="20"/>
                <w:szCs w:val="20"/>
              </w:rPr>
              <w:t>1.07</w:t>
            </w:r>
          </w:p>
          <w:p w14:paraId="2C007679" w14:textId="6B65009D" w:rsidR="006B757B" w:rsidRPr="00505A84" w:rsidRDefault="006B757B" w:rsidP="006B757B">
            <w:pPr>
              <w:autoSpaceDE w:val="0"/>
              <w:autoSpaceDN w:val="0"/>
              <w:adjustRightInd w:val="0"/>
              <w:jc w:val="center"/>
              <w:rPr>
                <w:rFonts w:ascii="Arial Narrow" w:hAnsi="Arial Narrow" w:cs="Arial"/>
                <w:sz w:val="20"/>
                <w:szCs w:val="20"/>
              </w:rPr>
            </w:pPr>
            <w:r w:rsidRPr="00505A84">
              <w:rPr>
                <w:rFonts w:ascii="Arial Narrow" w:hAnsi="Arial Narrow" w:cs="Arial"/>
                <w:sz w:val="20"/>
                <w:szCs w:val="20"/>
              </w:rPr>
              <w:t>(0.56-1.36)</w:t>
            </w:r>
          </w:p>
        </w:tc>
        <w:tc>
          <w:tcPr>
            <w:tcW w:w="1626" w:type="dxa"/>
            <w:vAlign w:val="center"/>
          </w:tcPr>
          <w:p w14:paraId="28CDD980" w14:textId="62125419" w:rsidR="006B757B" w:rsidRPr="00505A84" w:rsidRDefault="006B757B" w:rsidP="006B757B">
            <w:pPr>
              <w:autoSpaceDE w:val="0"/>
              <w:autoSpaceDN w:val="0"/>
              <w:adjustRightInd w:val="0"/>
              <w:jc w:val="center"/>
              <w:rPr>
                <w:rFonts w:ascii="Arial Narrow" w:hAnsi="Arial Narrow" w:cs="Arial"/>
                <w:sz w:val="20"/>
                <w:szCs w:val="20"/>
              </w:rPr>
            </w:pPr>
            <w:r w:rsidRPr="00505A84">
              <w:rPr>
                <w:rFonts w:ascii="Arial Narrow" w:hAnsi="Arial Narrow" w:cs="Arial"/>
                <w:sz w:val="20"/>
                <w:szCs w:val="20"/>
              </w:rPr>
              <w:t>&lt;0.1</w:t>
            </w:r>
          </w:p>
        </w:tc>
        <w:tc>
          <w:tcPr>
            <w:tcW w:w="1627" w:type="dxa"/>
            <w:vAlign w:val="bottom"/>
          </w:tcPr>
          <w:p w14:paraId="3976578E" w14:textId="43ABF7A8" w:rsidR="006B757B" w:rsidRPr="00505A84" w:rsidRDefault="006B757B" w:rsidP="006B757B">
            <w:pPr>
              <w:autoSpaceDE w:val="0"/>
              <w:autoSpaceDN w:val="0"/>
              <w:adjustRightInd w:val="0"/>
              <w:jc w:val="center"/>
              <w:rPr>
                <w:rFonts w:ascii="Arial Narrow" w:hAnsi="Arial Narrow" w:cs="Calibri"/>
                <w:color w:val="000000"/>
                <w:sz w:val="20"/>
                <w:szCs w:val="20"/>
              </w:rPr>
            </w:pPr>
            <w:r w:rsidRPr="00505A84">
              <w:rPr>
                <w:rFonts w:ascii="Arial Narrow" w:hAnsi="Arial Narrow" w:cs="Calibri"/>
                <w:color w:val="000000"/>
                <w:sz w:val="20"/>
                <w:szCs w:val="20"/>
              </w:rPr>
              <w:t>&lt;0.1</w:t>
            </w:r>
          </w:p>
          <w:p w14:paraId="7C1DB94C" w14:textId="3EC8CEA7" w:rsidR="006B757B" w:rsidRPr="00505A84" w:rsidRDefault="006B757B" w:rsidP="006B757B">
            <w:pPr>
              <w:autoSpaceDE w:val="0"/>
              <w:autoSpaceDN w:val="0"/>
              <w:adjustRightInd w:val="0"/>
              <w:jc w:val="center"/>
              <w:rPr>
                <w:rFonts w:ascii="Arial Narrow" w:hAnsi="Arial Narrow" w:cs="Arial"/>
                <w:sz w:val="20"/>
                <w:szCs w:val="20"/>
              </w:rPr>
            </w:pPr>
            <w:r w:rsidRPr="00505A84">
              <w:rPr>
                <w:rFonts w:ascii="Arial Narrow" w:hAnsi="Arial Narrow" w:cs="Arial"/>
                <w:sz w:val="20"/>
                <w:szCs w:val="20"/>
              </w:rPr>
              <w:t>(&lt;0.04-&lt;0.1)</w:t>
            </w:r>
          </w:p>
        </w:tc>
        <w:tc>
          <w:tcPr>
            <w:tcW w:w="1627" w:type="dxa"/>
            <w:shd w:val="clear" w:color="auto" w:fill="auto"/>
            <w:vAlign w:val="bottom"/>
          </w:tcPr>
          <w:p w14:paraId="1B5A827C" w14:textId="2E4F9858" w:rsidR="006B757B" w:rsidRPr="00505A84" w:rsidRDefault="006B757B" w:rsidP="006B757B">
            <w:pPr>
              <w:autoSpaceDE w:val="0"/>
              <w:autoSpaceDN w:val="0"/>
              <w:adjustRightInd w:val="0"/>
              <w:jc w:val="center"/>
              <w:rPr>
                <w:rFonts w:ascii="Arial Narrow" w:hAnsi="Arial Narrow" w:cs="Arial"/>
                <w:sz w:val="20"/>
                <w:szCs w:val="20"/>
              </w:rPr>
            </w:pPr>
            <w:r w:rsidRPr="00505A84">
              <w:rPr>
                <w:rFonts w:ascii="Arial Narrow" w:hAnsi="Arial Narrow" w:cs="Calibri"/>
                <w:color w:val="000000"/>
                <w:sz w:val="20"/>
                <w:szCs w:val="20"/>
              </w:rPr>
              <w:t>&lt;0.1</w:t>
            </w:r>
          </w:p>
        </w:tc>
      </w:tr>
      <w:tr w:rsidR="006B757B" w:rsidRPr="00923FDE" w14:paraId="58C92CD0" w14:textId="77777777" w:rsidTr="004922CA">
        <w:trPr>
          <w:trHeight w:val="290"/>
        </w:trPr>
        <w:tc>
          <w:tcPr>
            <w:tcW w:w="1626" w:type="dxa"/>
            <w:vAlign w:val="center"/>
          </w:tcPr>
          <w:p w14:paraId="6803B4A3" w14:textId="77777777" w:rsidR="006B757B" w:rsidRPr="00505A84" w:rsidRDefault="006B757B" w:rsidP="006B757B">
            <w:pPr>
              <w:autoSpaceDE w:val="0"/>
              <w:autoSpaceDN w:val="0"/>
              <w:adjustRightInd w:val="0"/>
              <w:jc w:val="center"/>
              <w:rPr>
                <w:rFonts w:ascii="Arial Narrow" w:hAnsi="Arial Narrow" w:cs="Arial"/>
                <w:sz w:val="20"/>
                <w:szCs w:val="20"/>
              </w:rPr>
            </w:pPr>
            <w:r w:rsidRPr="00505A84">
              <w:rPr>
                <w:rFonts w:ascii="Arial Narrow" w:hAnsi="Arial Narrow" w:cs="Arial"/>
                <w:sz w:val="20"/>
                <w:szCs w:val="20"/>
              </w:rPr>
              <w:t>Chromium</w:t>
            </w:r>
          </w:p>
        </w:tc>
        <w:tc>
          <w:tcPr>
            <w:tcW w:w="1627" w:type="dxa"/>
            <w:vAlign w:val="center"/>
          </w:tcPr>
          <w:p w14:paraId="4B310F47" w14:textId="12C03DFD" w:rsidR="006B757B" w:rsidRPr="00505A84" w:rsidRDefault="006B757B" w:rsidP="006B757B">
            <w:pPr>
              <w:autoSpaceDE w:val="0"/>
              <w:autoSpaceDN w:val="0"/>
              <w:adjustRightInd w:val="0"/>
              <w:jc w:val="center"/>
              <w:rPr>
                <w:rFonts w:ascii="Arial Narrow" w:hAnsi="Arial Narrow" w:cs="Arial"/>
                <w:sz w:val="20"/>
                <w:szCs w:val="20"/>
              </w:rPr>
            </w:pPr>
            <w:r w:rsidRPr="00505A84">
              <w:rPr>
                <w:rFonts w:ascii="Arial Narrow" w:hAnsi="Arial Narrow" w:cs="Arial"/>
                <w:sz w:val="20"/>
                <w:szCs w:val="20"/>
              </w:rPr>
              <w:t>115</w:t>
            </w:r>
          </w:p>
          <w:p w14:paraId="36D85CC1" w14:textId="526D7CD0" w:rsidR="006B757B" w:rsidRPr="00505A84" w:rsidRDefault="006B757B" w:rsidP="006B757B">
            <w:pPr>
              <w:autoSpaceDE w:val="0"/>
              <w:autoSpaceDN w:val="0"/>
              <w:adjustRightInd w:val="0"/>
              <w:jc w:val="center"/>
              <w:rPr>
                <w:rFonts w:ascii="Arial Narrow" w:hAnsi="Arial Narrow" w:cs="Arial"/>
                <w:sz w:val="20"/>
                <w:szCs w:val="20"/>
              </w:rPr>
            </w:pPr>
            <w:r w:rsidRPr="00505A84">
              <w:rPr>
                <w:rFonts w:ascii="Arial Narrow" w:hAnsi="Arial Narrow" w:cs="Arial"/>
                <w:sz w:val="20"/>
                <w:szCs w:val="20"/>
              </w:rPr>
              <w:t>(56.6-149)</w:t>
            </w:r>
          </w:p>
        </w:tc>
        <w:tc>
          <w:tcPr>
            <w:tcW w:w="1626" w:type="dxa"/>
            <w:vAlign w:val="center"/>
          </w:tcPr>
          <w:p w14:paraId="256B22F8" w14:textId="06258F40" w:rsidR="006B757B" w:rsidRPr="00505A84" w:rsidRDefault="006B757B" w:rsidP="006B757B">
            <w:pPr>
              <w:autoSpaceDE w:val="0"/>
              <w:autoSpaceDN w:val="0"/>
              <w:adjustRightInd w:val="0"/>
              <w:jc w:val="center"/>
              <w:rPr>
                <w:rFonts w:ascii="Arial Narrow" w:hAnsi="Arial Narrow" w:cs="Arial"/>
                <w:sz w:val="20"/>
                <w:szCs w:val="20"/>
              </w:rPr>
            </w:pPr>
            <w:r w:rsidRPr="00505A84">
              <w:rPr>
                <w:rFonts w:ascii="Arial Narrow" w:hAnsi="Arial Narrow" w:cs="Arial"/>
                <w:sz w:val="20"/>
                <w:szCs w:val="20"/>
              </w:rPr>
              <w:t>0.34</w:t>
            </w:r>
          </w:p>
        </w:tc>
        <w:tc>
          <w:tcPr>
            <w:tcW w:w="1627" w:type="dxa"/>
            <w:vAlign w:val="bottom"/>
          </w:tcPr>
          <w:p w14:paraId="56387B82" w14:textId="7F101106" w:rsidR="006B757B" w:rsidRPr="00505A84" w:rsidRDefault="006B757B" w:rsidP="006B757B">
            <w:pPr>
              <w:autoSpaceDE w:val="0"/>
              <w:autoSpaceDN w:val="0"/>
              <w:adjustRightInd w:val="0"/>
              <w:jc w:val="center"/>
              <w:rPr>
                <w:rFonts w:ascii="Arial Narrow" w:hAnsi="Arial Narrow" w:cs="Calibri"/>
                <w:color w:val="000000"/>
                <w:sz w:val="20"/>
                <w:szCs w:val="20"/>
              </w:rPr>
            </w:pPr>
            <w:r w:rsidRPr="00505A84">
              <w:rPr>
                <w:rFonts w:ascii="Arial Narrow" w:hAnsi="Arial Narrow" w:cs="Calibri"/>
                <w:color w:val="000000"/>
                <w:sz w:val="20"/>
                <w:szCs w:val="20"/>
              </w:rPr>
              <w:t>0.56</w:t>
            </w:r>
          </w:p>
          <w:p w14:paraId="1A29492E" w14:textId="0A20C735" w:rsidR="006B757B" w:rsidRPr="00505A84" w:rsidRDefault="006B757B" w:rsidP="006B757B">
            <w:pPr>
              <w:autoSpaceDE w:val="0"/>
              <w:autoSpaceDN w:val="0"/>
              <w:adjustRightInd w:val="0"/>
              <w:jc w:val="center"/>
              <w:rPr>
                <w:rFonts w:ascii="Arial Narrow" w:hAnsi="Arial Narrow" w:cs="Arial"/>
                <w:sz w:val="20"/>
                <w:szCs w:val="20"/>
              </w:rPr>
            </w:pPr>
            <w:r w:rsidRPr="00505A84">
              <w:rPr>
                <w:rFonts w:ascii="Arial Narrow" w:hAnsi="Arial Narrow" w:cs="Arial"/>
                <w:sz w:val="20"/>
                <w:szCs w:val="20"/>
              </w:rPr>
              <w:t>(0.5-0.61)</w:t>
            </w:r>
          </w:p>
        </w:tc>
        <w:tc>
          <w:tcPr>
            <w:tcW w:w="1627" w:type="dxa"/>
            <w:shd w:val="clear" w:color="auto" w:fill="auto"/>
            <w:vAlign w:val="bottom"/>
          </w:tcPr>
          <w:p w14:paraId="5B614BBC" w14:textId="2A1E96B4" w:rsidR="006B757B" w:rsidRPr="00505A84" w:rsidRDefault="006B757B" w:rsidP="006B757B">
            <w:pPr>
              <w:autoSpaceDE w:val="0"/>
              <w:autoSpaceDN w:val="0"/>
              <w:adjustRightInd w:val="0"/>
              <w:jc w:val="center"/>
              <w:rPr>
                <w:rFonts w:ascii="Arial Narrow" w:hAnsi="Arial Narrow" w:cs="Calibri"/>
                <w:color w:val="000000"/>
                <w:sz w:val="20"/>
                <w:szCs w:val="20"/>
              </w:rPr>
            </w:pPr>
            <w:r w:rsidRPr="00505A84">
              <w:rPr>
                <w:rFonts w:ascii="Arial Narrow" w:hAnsi="Arial Narrow" w:cs="Calibri"/>
                <w:color w:val="000000"/>
                <w:sz w:val="20"/>
                <w:szCs w:val="20"/>
              </w:rPr>
              <w:t>0.2</w:t>
            </w:r>
            <w:r w:rsidR="00505A84" w:rsidRPr="00505A84">
              <w:rPr>
                <w:rFonts w:ascii="Arial Narrow" w:hAnsi="Arial Narrow" w:cs="Calibri"/>
                <w:color w:val="000000"/>
                <w:sz w:val="20"/>
                <w:szCs w:val="20"/>
              </w:rPr>
              <w:t>3</w:t>
            </w:r>
          </w:p>
          <w:p w14:paraId="3CE92F52" w14:textId="3BB0F11E" w:rsidR="00505A84" w:rsidRPr="00505A84" w:rsidRDefault="00505A84" w:rsidP="006B757B">
            <w:pPr>
              <w:autoSpaceDE w:val="0"/>
              <w:autoSpaceDN w:val="0"/>
              <w:adjustRightInd w:val="0"/>
              <w:jc w:val="center"/>
              <w:rPr>
                <w:rFonts w:ascii="Arial Narrow" w:hAnsi="Arial Narrow" w:cs="Arial"/>
                <w:sz w:val="20"/>
                <w:szCs w:val="20"/>
              </w:rPr>
            </w:pPr>
            <w:r w:rsidRPr="00505A84">
              <w:rPr>
                <w:rFonts w:ascii="Arial Narrow" w:hAnsi="Arial Narrow" w:cs="Arial"/>
                <w:sz w:val="20"/>
                <w:szCs w:val="20"/>
              </w:rPr>
              <w:t>(&lt;0.3-0.41)</w:t>
            </w:r>
          </w:p>
        </w:tc>
      </w:tr>
      <w:tr w:rsidR="006B757B" w:rsidRPr="00923FDE" w14:paraId="6AC7DAAF" w14:textId="77777777" w:rsidTr="004922CA">
        <w:trPr>
          <w:trHeight w:val="290"/>
        </w:trPr>
        <w:tc>
          <w:tcPr>
            <w:tcW w:w="1626" w:type="dxa"/>
            <w:vAlign w:val="center"/>
          </w:tcPr>
          <w:p w14:paraId="38C9011A" w14:textId="77777777" w:rsidR="006B757B" w:rsidRPr="00505A84" w:rsidRDefault="006B757B" w:rsidP="006B757B">
            <w:pPr>
              <w:autoSpaceDE w:val="0"/>
              <w:autoSpaceDN w:val="0"/>
              <w:adjustRightInd w:val="0"/>
              <w:jc w:val="center"/>
              <w:rPr>
                <w:rFonts w:ascii="Arial Narrow" w:hAnsi="Arial Narrow" w:cs="Arial"/>
                <w:sz w:val="20"/>
                <w:szCs w:val="20"/>
              </w:rPr>
            </w:pPr>
            <w:r w:rsidRPr="00505A84">
              <w:rPr>
                <w:rFonts w:ascii="Arial Narrow" w:hAnsi="Arial Narrow" w:cs="Arial"/>
                <w:sz w:val="20"/>
                <w:szCs w:val="20"/>
              </w:rPr>
              <w:t>Copper</w:t>
            </w:r>
          </w:p>
        </w:tc>
        <w:tc>
          <w:tcPr>
            <w:tcW w:w="1627" w:type="dxa"/>
            <w:vAlign w:val="center"/>
          </w:tcPr>
          <w:p w14:paraId="4EE3DF54" w14:textId="3DE261D4" w:rsidR="006B757B" w:rsidRPr="00505A84" w:rsidRDefault="006B757B" w:rsidP="006B757B">
            <w:pPr>
              <w:autoSpaceDE w:val="0"/>
              <w:autoSpaceDN w:val="0"/>
              <w:adjustRightInd w:val="0"/>
              <w:jc w:val="center"/>
              <w:rPr>
                <w:rFonts w:ascii="Arial Narrow" w:hAnsi="Arial Narrow" w:cs="Arial"/>
                <w:sz w:val="20"/>
                <w:szCs w:val="20"/>
              </w:rPr>
            </w:pPr>
            <w:r w:rsidRPr="00505A84">
              <w:rPr>
                <w:rFonts w:ascii="Arial Narrow" w:hAnsi="Arial Narrow" w:cs="Arial"/>
                <w:sz w:val="20"/>
                <w:szCs w:val="20"/>
              </w:rPr>
              <w:t>14.2</w:t>
            </w:r>
          </w:p>
          <w:p w14:paraId="276F0A2F" w14:textId="0B758144" w:rsidR="006B757B" w:rsidRPr="00505A84" w:rsidRDefault="006B757B" w:rsidP="006B757B">
            <w:pPr>
              <w:autoSpaceDE w:val="0"/>
              <w:autoSpaceDN w:val="0"/>
              <w:adjustRightInd w:val="0"/>
              <w:jc w:val="center"/>
              <w:rPr>
                <w:rFonts w:ascii="Arial Narrow" w:hAnsi="Arial Narrow" w:cs="Arial"/>
                <w:sz w:val="20"/>
                <w:szCs w:val="20"/>
              </w:rPr>
            </w:pPr>
            <w:r w:rsidRPr="00505A84">
              <w:rPr>
                <w:rFonts w:ascii="Arial Narrow" w:hAnsi="Arial Narrow" w:cs="Arial"/>
                <w:sz w:val="20"/>
                <w:szCs w:val="20"/>
              </w:rPr>
              <w:t>(6.76-18.6)</w:t>
            </w:r>
          </w:p>
        </w:tc>
        <w:tc>
          <w:tcPr>
            <w:tcW w:w="1626" w:type="dxa"/>
            <w:vAlign w:val="bottom"/>
          </w:tcPr>
          <w:p w14:paraId="69E679CC" w14:textId="72097E21" w:rsidR="006B757B" w:rsidRPr="00505A84" w:rsidRDefault="006B757B" w:rsidP="006B757B">
            <w:pPr>
              <w:autoSpaceDE w:val="0"/>
              <w:autoSpaceDN w:val="0"/>
              <w:adjustRightInd w:val="0"/>
              <w:jc w:val="center"/>
              <w:rPr>
                <w:rFonts w:ascii="Arial Narrow" w:hAnsi="Arial Narrow" w:cs="Arial"/>
                <w:sz w:val="20"/>
                <w:szCs w:val="20"/>
              </w:rPr>
            </w:pPr>
            <w:r w:rsidRPr="00505A84">
              <w:rPr>
                <w:rFonts w:ascii="Arial Narrow" w:hAnsi="Arial Narrow" w:cs="Calibri"/>
                <w:color w:val="000000"/>
                <w:sz w:val="20"/>
                <w:szCs w:val="20"/>
              </w:rPr>
              <w:t>0.45</w:t>
            </w:r>
          </w:p>
        </w:tc>
        <w:tc>
          <w:tcPr>
            <w:tcW w:w="1627" w:type="dxa"/>
            <w:vAlign w:val="bottom"/>
          </w:tcPr>
          <w:p w14:paraId="6C2E0A58" w14:textId="77777777" w:rsidR="006B757B" w:rsidRPr="00505A84" w:rsidRDefault="006B757B" w:rsidP="006B757B">
            <w:pPr>
              <w:autoSpaceDE w:val="0"/>
              <w:autoSpaceDN w:val="0"/>
              <w:adjustRightInd w:val="0"/>
              <w:jc w:val="center"/>
              <w:rPr>
                <w:rFonts w:ascii="Arial Narrow" w:hAnsi="Arial Narrow" w:cs="Calibri"/>
                <w:color w:val="000000"/>
                <w:sz w:val="20"/>
                <w:szCs w:val="20"/>
              </w:rPr>
            </w:pPr>
            <w:r w:rsidRPr="00505A84">
              <w:rPr>
                <w:rFonts w:ascii="Arial Narrow" w:hAnsi="Arial Narrow" w:cs="Calibri"/>
                <w:color w:val="000000"/>
                <w:sz w:val="20"/>
                <w:szCs w:val="20"/>
              </w:rPr>
              <w:t>0.51</w:t>
            </w:r>
          </w:p>
          <w:p w14:paraId="49DB8750" w14:textId="300B7B7B" w:rsidR="00505A84" w:rsidRPr="00505A84" w:rsidRDefault="00505A84" w:rsidP="006B757B">
            <w:pPr>
              <w:autoSpaceDE w:val="0"/>
              <w:autoSpaceDN w:val="0"/>
              <w:adjustRightInd w:val="0"/>
              <w:jc w:val="center"/>
              <w:rPr>
                <w:rFonts w:ascii="Arial Narrow" w:hAnsi="Arial Narrow" w:cs="Arial"/>
                <w:sz w:val="20"/>
                <w:szCs w:val="20"/>
              </w:rPr>
            </w:pPr>
            <w:r w:rsidRPr="00505A84">
              <w:rPr>
                <w:rFonts w:ascii="Arial Narrow" w:hAnsi="Arial Narrow" w:cs="Arial"/>
                <w:sz w:val="20"/>
                <w:szCs w:val="20"/>
              </w:rPr>
              <w:t>(0.5-0.52)</w:t>
            </w:r>
          </w:p>
        </w:tc>
        <w:tc>
          <w:tcPr>
            <w:tcW w:w="1627" w:type="dxa"/>
            <w:shd w:val="clear" w:color="auto" w:fill="auto"/>
            <w:vAlign w:val="bottom"/>
          </w:tcPr>
          <w:p w14:paraId="7202FD37" w14:textId="46DE3F8A" w:rsidR="006B757B" w:rsidRPr="00505A84" w:rsidRDefault="006B757B" w:rsidP="006B757B">
            <w:pPr>
              <w:autoSpaceDE w:val="0"/>
              <w:autoSpaceDN w:val="0"/>
              <w:adjustRightInd w:val="0"/>
              <w:jc w:val="center"/>
              <w:rPr>
                <w:rFonts w:ascii="Arial Narrow" w:hAnsi="Arial Narrow" w:cs="Calibri"/>
                <w:color w:val="000000"/>
                <w:sz w:val="20"/>
                <w:szCs w:val="20"/>
              </w:rPr>
            </w:pPr>
            <w:r w:rsidRPr="00505A84">
              <w:rPr>
                <w:rFonts w:ascii="Arial Narrow" w:hAnsi="Arial Narrow" w:cs="Calibri"/>
                <w:color w:val="000000"/>
                <w:sz w:val="20"/>
                <w:szCs w:val="20"/>
              </w:rPr>
              <w:t>1.0</w:t>
            </w:r>
            <w:r w:rsidR="00505A84" w:rsidRPr="00505A84">
              <w:rPr>
                <w:rFonts w:ascii="Arial Narrow" w:hAnsi="Arial Narrow" w:cs="Calibri"/>
                <w:color w:val="000000"/>
                <w:sz w:val="20"/>
                <w:szCs w:val="20"/>
              </w:rPr>
              <w:t>4</w:t>
            </w:r>
          </w:p>
          <w:p w14:paraId="05E2D9BD" w14:textId="36DC2871" w:rsidR="00505A84" w:rsidRPr="00505A84" w:rsidRDefault="00505A84" w:rsidP="006B757B">
            <w:pPr>
              <w:autoSpaceDE w:val="0"/>
              <w:autoSpaceDN w:val="0"/>
              <w:adjustRightInd w:val="0"/>
              <w:jc w:val="center"/>
              <w:rPr>
                <w:rFonts w:ascii="Arial Narrow" w:hAnsi="Arial Narrow" w:cs="Arial"/>
                <w:sz w:val="20"/>
                <w:szCs w:val="20"/>
              </w:rPr>
            </w:pPr>
            <w:r w:rsidRPr="00505A84">
              <w:rPr>
                <w:rFonts w:ascii="Arial Narrow" w:hAnsi="Arial Narrow" w:cs="Arial"/>
                <w:sz w:val="20"/>
                <w:szCs w:val="20"/>
              </w:rPr>
              <w:t>(0.3-1.64)</w:t>
            </w:r>
          </w:p>
        </w:tc>
      </w:tr>
      <w:tr w:rsidR="006B757B" w:rsidRPr="00923FDE" w14:paraId="3316E6BD" w14:textId="77777777" w:rsidTr="004922CA">
        <w:trPr>
          <w:trHeight w:val="290"/>
        </w:trPr>
        <w:tc>
          <w:tcPr>
            <w:tcW w:w="1626" w:type="dxa"/>
            <w:vAlign w:val="center"/>
          </w:tcPr>
          <w:p w14:paraId="101D602A" w14:textId="77777777" w:rsidR="006B757B" w:rsidRPr="00505A84" w:rsidRDefault="006B757B" w:rsidP="006B757B">
            <w:pPr>
              <w:autoSpaceDE w:val="0"/>
              <w:autoSpaceDN w:val="0"/>
              <w:adjustRightInd w:val="0"/>
              <w:jc w:val="center"/>
              <w:rPr>
                <w:rFonts w:ascii="Arial Narrow" w:hAnsi="Arial Narrow" w:cs="Arial"/>
                <w:sz w:val="20"/>
                <w:szCs w:val="20"/>
              </w:rPr>
            </w:pPr>
            <w:r w:rsidRPr="00505A84">
              <w:rPr>
                <w:rFonts w:ascii="Arial Narrow" w:hAnsi="Arial Narrow" w:cs="Arial"/>
                <w:sz w:val="20"/>
                <w:szCs w:val="20"/>
              </w:rPr>
              <w:t>Lead</w:t>
            </w:r>
          </w:p>
        </w:tc>
        <w:tc>
          <w:tcPr>
            <w:tcW w:w="1627" w:type="dxa"/>
            <w:vAlign w:val="center"/>
          </w:tcPr>
          <w:p w14:paraId="1BDE3CE5" w14:textId="5CEE19B4" w:rsidR="006B757B" w:rsidRPr="00505A84" w:rsidRDefault="006B757B" w:rsidP="006B757B">
            <w:pPr>
              <w:autoSpaceDE w:val="0"/>
              <w:autoSpaceDN w:val="0"/>
              <w:adjustRightInd w:val="0"/>
              <w:jc w:val="center"/>
              <w:rPr>
                <w:rFonts w:ascii="Arial Narrow" w:hAnsi="Arial Narrow" w:cs="Arial"/>
                <w:sz w:val="20"/>
                <w:szCs w:val="20"/>
              </w:rPr>
            </w:pPr>
            <w:r w:rsidRPr="00505A84">
              <w:rPr>
                <w:rFonts w:ascii="Arial Narrow" w:hAnsi="Arial Narrow" w:cs="Arial"/>
                <w:sz w:val="20"/>
                <w:szCs w:val="20"/>
              </w:rPr>
              <w:t>19.3</w:t>
            </w:r>
          </w:p>
          <w:p w14:paraId="3D56FA11" w14:textId="66FFD604" w:rsidR="006B757B" w:rsidRPr="00505A84" w:rsidRDefault="006B757B" w:rsidP="006B757B">
            <w:pPr>
              <w:autoSpaceDE w:val="0"/>
              <w:autoSpaceDN w:val="0"/>
              <w:adjustRightInd w:val="0"/>
              <w:jc w:val="center"/>
              <w:rPr>
                <w:rFonts w:ascii="Arial Narrow" w:hAnsi="Arial Narrow" w:cs="Arial"/>
                <w:sz w:val="20"/>
                <w:szCs w:val="20"/>
              </w:rPr>
            </w:pPr>
            <w:r w:rsidRPr="00505A84">
              <w:rPr>
                <w:rFonts w:ascii="Arial Narrow" w:hAnsi="Arial Narrow" w:cs="Arial"/>
                <w:sz w:val="20"/>
                <w:szCs w:val="20"/>
              </w:rPr>
              <w:t>(7.46-26.7)</w:t>
            </w:r>
          </w:p>
        </w:tc>
        <w:tc>
          <w:tcPr>
            <w:tcW w:w="1626" w:type="dxa"/>
            <w:vAlign w:val="bottom"/>
          </w:tcPr>
          <w:p w14:paraId="4CC43F0F" w14:textId="24F9C46A" w:rsidR="006B757B" w:rsidRPr="00505A84" w:rsidRDefault="006B757B" w:rsidP="006B757B">
            <w:pPr>
              <w:autoSpaceDE w:val="0"/>
              <w:autoSpaceDN w:val="0"/>
              <w:adjustRightInd w:val="0"/>
              <w:jc w:val="center"/>
              <w:rPr>
                <w:rFonts w:ascii="Arial Narrow" w:hAnsi="Arial Narrow" w:cs="Arial"/>
                <w:sz w:val="20"/>
                <w:szCs w:val="20"/>
              </w:rPr>
            </w:pPr>
            <w:r w:rsidRPr="00505A84">
              <w:rPr>
                <w:rFonts w:ascii="Arial Narrow" w:hAnsi="Arial Narrow" w:cs="Calibri"/>
                <w:color w:val="000000"/>
                <w:sz w:val="20"/>
                <w:szCs w:val="20"/>
              </w:rPr>
              <w:t>&lt;0.1</w:t>
            </w:r>
          </w:p>
        </w:tc>
        <w:tc>
          <w:tcPr>
            <w:tcW w:w="1627" w:type="dxa"/>
            <w:vAlign w:val="bottom"/>
          </w:tcPr>
          <w:p w14:paraId="0F65BF5C" w14:textId="3FEDBBF2" w:rsidR="006B757B" w:rsidRPr="00505A84" w:rsidRDefault="00505A84" w:rsidP="006B757B">
            <w:pPr>
              <w:autoSpaceDE w:val="0"/>
              <w:autoSpaceDN w:val="0"/>
              <w:adjustRightInd w:val="0"/>
              <w:jc w:val="center"/>
              <w:rPr>
                <w:rFonts w:ascii="Arial Narrow" w:hAnsi="Arial Narrow" w:cs="Calibri"/>
                <w:color w:val="000000"/>
                <w:sz w:val="20"/>
                <w:szCs w:val="20"/>
              </w:rPr>
            </w:pPr>
            <w:r w:rsidRPr="00505A84">
              <w:rPr>
                <w:rFonts w:ascii="Arial Narrow" w:hAnsi="Arial Narrow" w:cs="Calibri"/>
                <w:color w:val="000000"/>
                <w:sz w:val="20"/>
                <w:szCs w:val="20"/>
              </w:rPr>
              <w:t>&lt;0.1</w:t>
            </w:r>
          </w:p>
          <w:p w14:paraId="1FB3F6F8" w14:textId="1674BC3D" w:rsidR="00505A84" w:rsidRPr="00505A84" w:rsidRDefault="00505A84" w:rsidP="006B757B">
            <w:pPr>
              <w:autoSpaceDE w:val="0"/>
              <w:autoSpaceDN w:val="0"/>
              <w:adjustRightInd w:val="0"/>
              <w:jc w:val="center"/>
              <w:rPr>
                <w:rFonts w:ascii="Arial Narrow" w:hAnsi="Arial Narrow" w:cs="Arial"/>
                <w:sz w:val="20"/>
                <w:szCs w:val="20"/>
              </w:rPr>
            </w:pPr>
            <w:r w:rsidRPr="00505A84">
              <w:rPr>
                <w:rFonts w:ascii="Arial Narrow" w:hAnsi="Arial Narrow" w:cs="Arial"/>
                <w:sz w:val="20"/>
                <w:szCs w:val="20"/>
              </w:rPr>
              <w:t>(&lt;0.03-&lt;0.1)</w:t>
            </w:r>
          </w:p>
        </w:tc>
        <w:tc>
          <w:tcPr>
            <w:tcW w:w="1627" w:type="dxa"/>
            <w:shd w:val="clear" w:color="auto" w:fill="auto"/>
            <w:vAlign w:val="bottom"/>
          </w:tcPr>
          <w:p w14:paraId="295B906B" w14:textId="3BFA4322" w:rsidR="006B757B" w:rsidRPr="00505A84" w:rsidRDefault="006B757B" w:rsidP="006B757B">
            <w:pPr>
              <w:autoSpaceDE w:val="0"/>
              <w:autoSpaceDN w:val="0"/>
              <w:adjustRightInd w:val="0"/>
              <w:jc w:val="center"/>
              <w:rPr>
                <w:rFonts w:ascii="Arial Narrow" w:hAnsi="Arial Narrow" w:cs="Calibri"/>
                <w:color w:val="000000"/>
                <w:sz w:val="20"/>
                <w:szCs w:val="20"/>
              </w:rPr>
            </w:pPr>
            <w:r w:rsidRPr="00505A84">
              <w:rPr>
                <w:rFonts w:ascii="Arial Narrow" w:hAnsi="Arial Narrow" w:cs="Calibri"/>
                <w:color w:val="000000"/>
                <w:sz w:val="20"/>
                <w:szCs w:val="20"/>
              </w:rPr>
              <w:t>0.0</w:t>
            </w:r>
            <w:r w:rsidR="00505A84" w:rsidRPr="00505A84">
              <w:rPr>
                <w:rFonts w:ascii="Arial Narrow" w:hAnsi="Arial Narrow" w:cs="Calibri"/>
                <w:color w:val="000000"/>
                <w:sz w:val="20"/>
                <w:szCs w:val="20"/>
              </w:rPr>
              <w:t>6</w:t>
            </w:r>
          </w:p>
          <w:p w14:paraId="56165DBC" w14:textId="0BD441F4" w:rsidR="00505A84" w:rsidRPr="00505A84" w:rsidRDefault="00505A84" w:rsidP="006B757B">
            <w:pPr>
              <w:autoSpaceDE w:val="0"/>
              <w:autoSpaceDN w:val="0"/>
              <w:adjustRightInd w:val="0"/>
              <w:jc w:val="center"/>
              <w:rPr>
                <w:rFonts w:ascii="Arial Narrow" w:hAnsi="Arial Narrow" w:cs="Arial"/>
                <w:sz w:val="20"/>
                <w:szCs w:val="20"/>
              </w:rPr>
            </w:pPr>
            <w:r w:rsidRPr="00505A84">
              <w:rPr>
                <w:rFonts w:ascii="Arial Narrow" w:hAnsi="Arial Narrow" w:cs="Arial"/>
                <w:sz w:val="20"/>
                <w:szCs w:val="20"/>
              </w:rPr>
              <w:t>(&lt;0.04-0.1)</w:t>
            </w:r>
          </w:p>
        </w:tc>
      </w:tr>
      <w:tr w:rsidR="006B757B" w:rsidRPr="00923FDE" w14:paraId="1D84BF0F" w14:textId="77777777" w:rsidTr="004922CA">
        <w:trPr>
          <w:trHeight w:val="290"/>
        </w:trPr>
        <w:tc>
          <w:tcPr>
            <w:tcW w:w="1626" w:type="dxa"/>
            <w:vAlign w:val="center"/>
          </w:tcPr>
          <w:p w14:paraId="109EBAA7" w14:textId="77777777" w:rsidR="006B757B" w:rsidRPr="00505A84" w:rsidRDefault="006B757B" w:rsidP="006B757B">
            <w:pPr>
              <w:autoSpaceDE w:val="0"/>
              <w:autoSpaceDN w:val="0"/>
              <w:adjustRightInd w:val="0"/>
              <w:jc w:val="center"/>
              <w:rPr>
                <w:rFonts w:ascii="Arial Narrow" w:hAnsi="Arial Narrow" w:cs="Arial"/>
                <w:sz w:val="20"/>
                <w:szCs w:val="20"/>
              </w:rPr>
            </w:pPr>
            <w:r w:rsidRPr="00505A84">
              <w:rPr>
                <w:rFonts w:ascii="Arial Narrow" w:hAnsi="Arial Narrow" w:cs="Arial"/>
                <w:sz w:val="20"/>
                <w:szCs w:val="20"/>
              </w:rPr>
              <w:t>Nickel</w:t>
            </w:r>
          </w:p>
        </w:tc>
        <w:tc>
          <w:tcPr>
            <w:tcW w:w="1627" w:type="dxa"/>
            <w:vAlign w:val="center"/>
          </w:tcPr>
          <w:p w14:paraId="72F60932" w14:textId="5679A3C2" w:rsidR="006B757B" w:rsidRPr="00505A84" w:rsidRDefault="006B757B" w:rsidP="006B757B">
            <w:pPr>
              <w:autoSpaceDE w:val="0"/>
              <w:autoSpaceDN w:val="0"/>
              <w:adjustRightInd w:val="0"/>
              <w:jc w:val="center"/>
              <w:rPr>
                <w:rFonts w:ascii="Arial Narrow" w:hAnsi="Arial Narrow" w:cs="Arial"/>
                <w:sz w:val="20"/>
                <w:szCs w:val="20"/>
              </w:rPr>
            </w:pPr>
            <w:r w:rsidRPr="00505A84">
              <w:rPr>
                <w:rFonts w:ascii="Arial Narrow" w:hAnsi="Arial Narrow" w:cs="Arial"/>
                <w:sz w:val="20"/>
                <w:szCs w:val="20"/>
              </w:rPr>
              <w:t>31.9</w:t>
            </w:r>
          </w:p>
          <w:p w14:paraId="14324F28" w14:textId="1F3B6DEC" w:rsidR="006B757B" w:rsidRPr="00505A84" w:rsidRDefault="006B757B" w:rsidP="006B757B">
            <w:pPr>
              <w:autoSpaceDE w:val="0"/>
              <w:autoSpaceDN w:val="0"/>
              <w:adjustRightInd w:val="0"/>
              <w:jc w:val="center"/>
              <w:rPr>
                <w:rFonts w:ascii="Arial Narrow" w:hAnsi="Arial Narrow" w:cs="Arial"/>
                <w:sz w:val="20"/>
                <w:szCs w:val="20"/>
              </w:rPr>
            </w:pPr>
            <w:r w:rsidRPr="00505A84">
              <w:rPr>
                <w:rFonts w:ascii="Arial Narrow" w:hAnsi="Arial Narrow" w:cs="Arial"/>
                <w:sz w:val="20"/>
                <w:szCs w:val="20"/>
              </w:rPr>
              <w:t>(15.3-41.8)</w:t>
            </w:r>
          </w:p>
        </w:tc>
        <w:tc>
          <w:tcPr>
            <w:tcW w:w="1626" w:type="dxa"/>
            <w:vAlign w:val="bottom"/>
          </w:tcPr>
          <w:p w14:paraId="69138081" w14:textId="5DF189AA" w:rsidR="006B757B" w:rsidRPr="00505A84" w:rsidRDefault="006B757B" w:rsidP="006B757B">
            <w:pPr>
              <w:autoSpaceDE w:val="0"/>
              <w:autoSpaceDN w:val="0"/>
              <w:adjustRightInd w:val="0"/>
              <w:jc w:val="center"/>
              <w:rPr>
                <w:rFonts w:ascii="Arial Narrow" w:hAnsi="Arial Narrow" w:cs="Arial"/>
                <w:sz w:val="20"/>
                <w:szCs w:val="20"/>
              </w:rPr>
            </w:pPr>
            <w:r w:rsidRPr="00505A84">
              <w:rPr>
                <w:rFonts w:ascii="Arial Narrow" w:hAnsi="Arial Narrow" w:cs="Calibri"/>
                <w:color w:val="000000"/>
                <w:sz w:val="20"/>
                <w:szCs w:val="20"/>
              </w:rPr>
              <w:t>&lt;0.2</w:t>
            </w:r>
          </w:p>
        </w:tc>
        <w:tc>
          <w:tcPr>
            <w:tcW w:w="1627" w:type="dxa"/>
            <w:vAlign w:val="bottom"/>
          </w:tcPr>
          <w:p w14:paraId="0214221F" w14:textId="77777777" w:rsidR="006B757B" w:rsidRPr="00505A84" w:rsidRDefault="006B757B" w:rsidP="006B757B">
            <w:pPr>
              <w:autoSpaceDE w:val="0"/>
              <w:autoSpaceDN w:val="0"/>
              <w:adjustRightInd w:val="0"/>
              <w:jc w:val="center"/>
              <w:rPr>
                <w:rFonts w:ascii="Arial Narrow" w:hAnsi="Arial Narrow" w:cs="Calibri"/>
                <w:color w:val="000000"/>
                <w:sz w:val="20"/>
                <w:szCs w:val="20"/>
              </w:rPr>
            </w:pPr>
            <w:r w:rsidRPr="00505A84">
              <w:rPr>
                <w:rFonts w:ascii="Arial Narrow" w:hAnsi="Arial Narrow" w:cs="Calibri"/>
                <w:color w:val="000000"/>
                <w:sz w:val="20"/>
                <w:szCs w:val="20"/>
              </w:rPr>
              <w:t>0.26</w:t>
            </w:r>
          </w:p>
          <w:p w14:paraId="2C35BFF0" w14:textId="021CA79C" w:rsidR="00505A84" w:rsidRPr="00505A84" w:rsidRDefault="00505A84" w:rsidP="006B757B">
            <w:pPr>
              <w:autoSpaceDE w:val="0"/>
              <w:autoSpaceDN w:val="0"/>
              <w:adjustRightInd w:val="0"/>
              <w:jc w:val="center"/>
              <w:rPr>
                <w:rFonts w:ascii="Arial Narrow" w:hAnsi="Arial Narrow" w:cs="Arial"/>
                <w:sz w:val="20"/>
                <w:szCs w:val="20"/>
              </w:rPr>
            </w:pPr>
            <w:r w:rsidRPr="00505A84">
              <w:rPr>
                <w:rFonts w:ascii="Arial Narrow" w:hAnsi="Arial Narrow" w:cs="Arial"/>
                <w:sz w:val="20"/>
                <w:szCs w:val="20"/>
              </w:rPr>
              <w:t>(0.26-0.26)</w:t>
            </w:r>
          </w:p>
        </w:tc>
        <w:tc>
          <w:tcPr>
            <w:tcW w:w="1627" w:type="dxa"/>
            <w:shd w:val="clear" w:color="auto" w:fill="auto"/>
            <w:vAlign w:val="bottom"/>
          </w:tcPr>
          <w:p w14:paraId="743B1A4C" w14:textId="77777777" w:rsidR="006B757B" w:rsidRPr="00505A84" w:rsidRDefault="006B757B" w:rsidP="006B757B">
            <w:pPr>
              <w:autoSpaceDE w:val="0"/>
              <w:autoSpaceDN w:val="0"/>
              <w:adjustRightInd w:val="0"/>
              <w:jc w:val="center"/>
              <w:rPr>
                <w:rFonts w:ascii="Arial Narrow" w:hAnsi="Arial Narrow" w:cs="Calibri"/>
                <w:color w:val="000000"/>
                <w:sz w:val="20"/>
                <w:szCs w:val="20"/>
              </w:rPr>
            </w:pPr>
            <w:r w:rsidRPr="00505A84">
              <w:rPr>
                <w:rFonts w:ascii="Arial Narrow" w:hAnsi="Arial Narrow" w:cs="Calibri"/>
                <w:color w:val="000000"/>
                <w:sz w:val="20"/>
                <w:szCs w:val="20"/>
              </w:rPr>
              <w:t>0.51</w:t>
            </w:r>
          </w:p>
          <w:p w14:paraId="25112352" w14:textId="69CD27D1" w:rsidR="00505A84" w:rsidRPr="00505A84" w:rsidRDefault="00505A84" w:rsidP="006B757B">
            <w:pPr>
              <w:autoSpaceDE w:val="0"/>
              <w:autoSpaceDN w:val="0"/>
              <w:adjustRightInd w:val="0"/>
              <w:jc w:val="center"/>
              <w:rPr>
                <w:rFonts w:ascii="Arial Narrow" w:hAnsi="Arial Narrow" w:cs="Arial"/>
                <w:sz w:val="20"/>
                <w:szCs w:val="20"/>
              </w:rPr>
            </w:pPr>
            <w:r w:rsidRPr="00505A84">
              <w:rPr>
                <w:rFonts w:ascii="Arial Narrow" w:hAnsi="Arial Narrow" w:cs="Arial"/>
                <w:sz w:val="20"/>
                <w:szCs w:val="20"/>
              </w:rPr>
              <w:t>(0.17-1.1)</w:t>
            </w:r>
          </w:p>
        </w:tc>
      </w:tr>
      <w:tr w:rsidR="006B757B" w:rsidRPr="00923FDE" w14:paraId="733FF920" w14:textId="77777777" w:rsidTr="004922CA">
        <w:trPr>
          <w:trHeight w:val="290"/>
        </w:trPr>
        <w:tc>
          <w:tcPr>
            <w:tcW w:w="1626" w:type="dxa"/>
            <w:vAlign w:val="center"/>
          </w:tcPr>
          <w:p w14:paraId="08A253C1" w14:textId="77777777" w:rsidR="006B757B" w:rsidRPr="00505A84" w:rsidRDefault="006B757B" w:rsidP="006B757B">
            <w:pPr>
              <w:autoSpaceDE w:val="0"/>
              <w:autoSpaceDN w:val="0"/>
              <w:adjustRightInd w:val="0"/>
              <w:jc w:val="center"/>
              <w:rPr>
                <w:rFonts w:ascii="Arial Narrow" w:hAnsi="Arial Narrow" w:cs="Arial"/>
                <w:sz w:val="20"/>
                <w:szCs w:val="20"/>
              </w:rPr>
            </w:pPr>
            <w:r w:rsidRPr="00505A84">
              <w:rPr>
                <w:rFonts w:ascii="Arial Narrow" w:hAnsi="Arial Narrow" w:cs="Arial"/>
                <w:sz w:val="20"/>
                <w:szCs w:val="20"/>
              </w:rPr>
              <w:t>Selenium</w:t>
            </w:r>
          </w:p>
        </w:tc>
        <w:tc>
          <w:tcPr>
            <w:tcW w:w="1627" w:type="dxa"/>
            <w:vAlign w:val="center"/>
          </w:tcPr>
          <w:p w14:paraId="5673DA85" w14:textId="2B76DFD1" w:rsidR="006B757B" w:rsidRPr="00505A84" w:rsidRDefault="006B757B" w:rsidP="006B757B">
            <w:pPr>
              <w:autoSpaceDE w:val="0"/>
              <w:autoSpaceDN w:val="0"/>
              <w:adjustRightInd w:val="0"/>
              <w:jc w:val="center"/>
              <w:rPr>
                <w:rFonts w:ascii="Arial Narrow" w:hAnsi="Arial Narrow" w:cs="Calibri"/>
                <w:color w:val="000000"/>
                <w:sz w:val="20"/>
                <w:szCs w:val="20"/>
              </w:rPr>
            </w:pPr>
            <w:r w:rsidRPr="00505A84">
              <w:rPr>
                <w:rFonts w:ascii="Arial Narrow" w:hAnsi="Arial Narrow" w:cs="Arial"/>
                <w:sz w:val="20"/>
                <w:szCs w:val="20"/>
              </w:rPr>
              <w:t>5</w:t>
            </w:r>
          </w:p>
        </w:tc>
        <w:tc>
          <w:tcPr>
            <w:tcW w:w="1626" w:type="dxa"/>
            <w:vAlign w:val="bottom"/>
          </w:tcPr>
          <w:p w14:paraId="3592FE21" w14:textId="758A2779" w:rsidR="006B757B" w:rsidRPr="00505A84" w:rsidRDefault="006B757B" w:rsidP="006B757B">
            <w:pPr>
              <w:autoSpaceDE w:val="0"/>
              <w:autoSpaceDN w:val="0"/>
              <w:adjustRightInd w:val="0"/>
              <w:jc w:val="center"/>
              <w:rPr>
                <w:rFonts w:ascii="Arial Narrow" w:hAnsi="Arial Narrow" w:cs="Arial"/>
                <w:sz w:val="20"/>
                <w:szCs w:val="20"/>
              </w:rPr>
            </w:pPr>
            <w:r w:rsidRPr="00505A84">
              <w:rPr>
                <w:rFonts w:ascii="Arial Narrow" w:hAnsi="Arial Narrow" w:cs="Calibri"/>
                <w:color w:val="000000"/>
                <w:sz w:val="20"/>
                <w:szCs w:val="20"/>
              </w:rPr>
              <w:t>&lt;0.4</w:t>
            </w:r>
          </w:p>
        </w:tc>
        <w:tc>
          <w:tcPr>
            <w:tcW w:w="1627" w:type="dxa"/>
            <w:vAlign w:val="bottom"/>
          </w:tcPr>
          <w:p w14:paraId="632BFB59" w14:textId="3B2AFA9F" w:rsidR="006B757B" w:rsidRPr="00505A84" w:rsidRDefault="006B757B" w:rsidP="006B757B">
            <w:pPr>
              <w:autoSpaceDE w:val="0"/>
              <w:autoSpaceDN w:val="0"/>
              <w:adjustRightInd w:val="0"/>
              <w:jc w:val="center"/>
              <w:rPr>
                <w:rFonts w:ascii="Arial Narrow" w:hAnsi="Arial Narrow" w:cs="Arial"/>
                <w:sz w:val="20"/>
                <w:szCs w:val="20"/>
              </w:rPr>
            </w:pPr>
            <w:r w:rsidRPr="00505A84">
              <w:rPr>
                <w:rFonts w:ascii="Arial Narrow" w:hAnsi="Arial Narrow" w:cs="Calibri"/>
                <w:color w:val="000000"/>
                <w:sz w:val="20"/>
                <w:szCs w:val="20"/>
              </w:rPr>
              <w:t>&lt;0.3</w:t>
            </w:r>
          </w:p>
        </w:tc>
        <w:tc>
          <w:tcPr>
            <w:tcW w:w="1627" w:type="dxa"/>
            <w:shd w:val="clear" w:color="auto" w:fill="auto"/>
            <w:vAlign w:val="bottom"/>
          </w:tcPr>
          <w:p w14:paraId="2B8FF6B1" w14:textId="52138306" w:rsidR="006B757B" w:rsidRPr="00505A84" w:rsidRDefault="006B757B" w:rsidP="006B757B">
            <w:pPr>
              <w:autoSpaceDE w:val="0"/>
              <w:autoSpaceDN w:val="0"/>
              <w:adjustRightInd w:val="0"/>
              <w:jc w:val="center"/>
              <w:rPr>
                <w:rFonts w:ascii="Arial Narrow" w:hAnsi="Arial Narrow" w:cs="Calibri"/>
                <w:color w:val="000000"/>
                <w:sz w:val="20"/>
                <w:szCs w:val="20"/>
              </w:rPr>
            </w:pPr>
            <w:r w:rsidRPr="00505A84">
              <w:rPr>
                <w:rFonts w:ascii="Arial Narrow" w:hAnsi="Arial Narrow" w:cs="Calibri"/>
                <w:color w:val="000000"/>
                <w:sz w:val="20"/>
                <w:szCs w:val="20"/>
              </w:rPr>
              <w:t>0.1</w:t>
            </w:r>
            <w:r w:rsidR="00505A84" w:rsidRPr="00505A84">
              <w:rPr>
                <w:rFonts w:ascii="Arial Narrow" w:hAnsi="Arial Narrow" w:cs="Calibri"/>
                <w:color w:val="000000"/>
                <w:sz w:val="20"/>
                <w:szCs w:val="20"/>
              </w:rPr>
              <w:t>8</w:t>
            </w:r>
          </w:p>
          <w:p w14:paraId="29566A7D" w14:textId="25999C7C" w:rsidR="00505A84" w:rsidRPr="00505A84" w:rsidRDefault="00505A84" w:rsidP="006B757B">
            <w:pPr>
              <w:autoSpaceDE w:val="0"/>
              <w:autoSpaceDN w:val="0"/>
              <w:adjustRightInd w:val="0"/>
              <w:jc w:val="center"/>
              <w:rPr>
                <w:rFonts w:ascii="Arial Narrow" w:hAnsi="Arial Narrow" w:cs="Arial"/>
                <w:sz w:val="20"/>
                <w:szCs w:val="20"/>
              </w:rPr>
            </w:pPr>
            <w:r w:rsidRPr="00505A84">
              <w:rPr>
                <w:rFonts w:ascii="Arial Narrow" w:hAnsi="Arial Narrow" w:cs="Arial"/>
                <w:sz w:val="20"/>
                <w:szCs w:val="20"/>
              </w:rPr>
              <w:t>(0.1-0.25)</w:t>
            </w:r>
          </w:p>
        </w:tc>
      </w:tr>
      <w:tr w:rsidR="006B757B" w:rsidRPr="00923FDE" w14:paraId="1D6221F1" w14:textId="77777777" w:rsidTr="004922CA">
        <w:trPr>
          <w:trHeight w:val="290"/>
        </w:trPr>
        <w:tc>
          <w:tcPr>
            <w:tcW w:w="1626" w:type="dxa"/>
            <w:tcBorders>
              <w:bottom w:val="single" w:sz="4" w:space="0" w:color="auto"/>
            </w:tcBorders>
            <w:vAlign w:val="center"/>
          </w:tcPr>
          <w:p w14:paraId="784537E8" w14:textId="77777777" w:rsidR="006B757B" w:rsidRPr="00505A84" w:rsidRDefault="006B757B" w:rsidP="006B757B">
            <w:pPr>
              <w:autoSpaceDE w:val="0"/>
              <w:autoSpaceDN w:val="0"/>
              <w:adjustRightInd w:val="0"/>
              <w:jc w:val="center"/>
              <w:rPr>
                <w:rFonts w:ascii="Arial Narrow" w:hAnsi="Arial Narrow" w:cs="Arial"/>
                <w:sz w:val="20"/>
                <w:szCs w:val="20"/>
              </w:rPr>
            </w:pPr>
            <w:r w:rsidRPr="00505A84">
              <w:rPr>
                <w:rFonts w:ascii="Arial Narrow" w:hAnsi="Arial Narrow" w:cs="Arial"/>
                <w:sz w:val="20"/>
                <w:szCs w:val="20"/>
              </w:rPr>
              <w:t>Zinc</w:t>
            </w:r>
          </w:p>
        </w:tc>
        <w:tc>
          <w:tcPr>
            <w:tcW w:w="1627" w:type="dxa"/>
            <w:tcBorders>
              <w:bottom w:val="single" w:sz="4" w:space="0" w:color="auto"/>
            </w:tcBorders>
            <w:vAlign w:val="center"/>
          </w:tcPr>
          <w:p w14:paraId="53693ADB" w14:textId="0BABB66C" w:rsidR="006B757B" w:rsidRPr="00505A84" w:rsidRDefault="006B757B" w:rsidP="006B757B">
            <w:pPr>
              <w:autoSpaceDE w:val="0"/>
              <w:autoSpaceDN w:val="0"/>
              <w:adjustRightInd w:val="0"/>
              <w:jc w:val="center"/>
              <w:rPr>
                <w:rFonts w:ascii="Arial Narrow" w:hAnsi="Arial Narrow" w:cs="Arial"/>
                <w:sz w:val="20"/>
                <w:szCs w:val="20"/>
              </w:rPr>
            </w:pPr>
            <w:r w:rsidRPr="00505A84">
              <w:rPr>
                <w:rFonts w:ascii="Arial Narrow" w:hAnsi="Arial Narrow" w:cs="Arial"/>
                <w:sz w:val="20"/>
                <w:szCs w:val="20"/>
              </w:rPr>
              <w:t>186</w:t>
            </w:r>
          </w:p>
          <w:p w14:paraId="2481BE6A" w14:textId="7045BEB9" w:rsidR="006B757B" w:rsidRPr="00505A84" w:rsidRDefault="006B757B" w:rsidP="006B757B">
            <w:pPr>
              <w:autoSpaceDE w:val="0"/>
              <w:autoSpaceDN w:val="0"/>
              <w:adjustRightInd w:val="0"/>
              <w:jc w:val="center"/>
              <w:rPr>
                <w:rFonts w:ascii="Arial Narrow" w:hAnsi="Arial Narrow" w:cs="Arial"/>
                <w:sz w:val="20"/>
                <w:szCs w:val="20"/>
              </w:rPr>
            </w:pPr>
            <w:r w:rsidRPr="00505A84">
              <w:rPr>
                <w:rFonts w:ascii="Arial Narrow" w:hAnsi="Arial Narrow" w:cs="Arial"/>
                <w:sz w:val="20"/>
                <w:szCs w:val="20"/>
              </w:rPr>
              <w:t>(89.4-244)</w:t>
            </w:r>
          </w:p>
        </w:tc>
        <w:tc>
          <w:tcPr>
            <w:tcW w:w="1626" w:type="dxa"/>
            <w:tcBorders>
              <w:bottom w:val="single" w:sz="4" w:space="0" w:color="auto"/>
            </w:tcBorders>
            <w:vAlign w:val="bottom"/>
          </w:tcPr>
          <w:p w14:paraId="2072B77C" w14:textId="75057766" w:rsidR="006B757B" w:rsidRPr="00505A84" w:rsidRDefault="006B757B" w:rsidP="006B757B">
            <w:pPr>
              <w:autoSpaceDE w:val="0"/>
              <w:autoSpaceDN w:val="0"/>
              <w:adjustRightInd w:val="0"/>
              <w:jc w:val="center"/>
              <w:rPr>
                <w:rFonts w:ascii="Arial Narrow" w:hAnsi="Arial Narrow" w:cs="Arial"/>
                <w:sz w:val="20"/>
                <w:szCs w:val="20"/>
              </w:rPr>
            </w:pPr>
            <w:r w:rsidRPr="00505A84">
              <w:rPr>
                <w:rFonts w:ascii="Arial Narrow" w:hAnsi="Arial Narrow" w:cs="Calibri"/>
                <w:color w:val="000000"/>
                <w:sz w:val="20"/>
                <w:szCs w:val="20"/>
              </w:rPr>
              <w:t>&lt;0.4</w:t>
            </w:r>
          </w:p>
        </w:tc>
        <w:tc>
          <w:tcPr>
            <w:tcW w:w="1627" w:type="dxa"/>
            <w:vAlign w:val="bottom"/>
          </w:tcPr>
          <w:p w14:paraId="3A630CD1" w14:textId="485B6D1B" w:rsidR="006B757B" w:rsidRPr="00505A84" w:rsidRDefault="006B757B" w:rsidP="006B757B">
            <w:pPr>
              <w:autoSpaceDE w:val="0"/>
              <w:autoSpaceDN w:val="0"/>
              <w:adjustRightInd w:val="0"/>
              <w:jc w:val="center"/>
              <w:rPr>
                <w:rFonts w:ascii="Arial Narrow" w:hAnsi="Arial Narrow" w:cs="Calibri"/>
                <w:color w:val="000000"/>
                <w:sz w:val="20"/>
                <w:szCs w:val="20"/>
              </w:rPr>
            </w:pPr>
            <w:r w:rsidRPr="00505A84">
              <w:rPr>
                <w:rFonts w:ascii="Arial Narrow" w:hAnsi="Arial Narrow" w:cs="Calibri"/>
                <w:color w:val="000000"/>
                <w:sz w:val="20"/>
                <w:szCs w:val="20"/>
              </w:rPr>
              <w:t>0.4</w:t>
            </w:r>
            <w:r w:rsidR="00505A84" w:rsidRPr="00505A84">
              <w:rPr>
                <w:rFonts w:ascii="Arial Narrow" w:hAnsi="Arial Narrow" w:cs="Calibri"/>
                <w:color w:val="000000"/>
                <w:sz w:val="20"/>
                <w:szCs w:val="20"/>
              </w:rPr>
              <w:t>1</w:t>
            </w:r>
          </w:p>
          <w:p w14:paraId="6BF5D4C1" w14:textId="1C0706D7" w:rsidR="00505A84" w:rsidRPr="00505A84" w:rsidRDefault="00505A84" w:rsidP="006B757B">
            <w:pPr>
              <w:autoSpaceDE w:val="0"/>
              <w:autoSpaceDN w:val="0"/>
              <w:adjustRightInd w:val="0"/>
              <w:jc w:val="center"/>
              <w:rPr>
                <w:rFonts w:ascii="Arial Narrow" w:hAnsi="Arial Narrow" w:cs="Arial"/>
                <w:sz w:val="20"/>
                <w:szCs w:val="20"/>
              </w:rPr>
            </w:pPr>
            <w:r w:rsidRPr="00505A84">
              <w:rPr>
                <w:rFonts w:ascii="Arial Narrow" w:hAnsi="Arial Narrow" w:cs="Arial"/>
                <w:sz w:val="20"/>
                <w:szCs w:val="20"/>
              </w:rPr>
              <w:t>(&lt;0.6-0.51)</w:t>
            </w:r>
          </w:p>
        </w:tc>
        <w:tc>
          <w:tcPr>
            <w:tcW w:w="1627" w:type="dxa"/>
            <w:shd w:val="clear" w:color="auto" w:fill="auto"/>
            <w:vAlign w:val="bottom"/>
          </w:tcPr>
          <w:p w14:paraId="704558B0" w14:textId="32C080D6" w:rsidR="006B757B" w:rsidRPr="00505A84" w:rsidRDefault="006B757B" w:rsidP="006B757B">
            <w:pPr>
              <w:autoSpaceDE w:val="0"/>
              <w:autoSpaceDN w:val="0"/>
              <w:adjustRightInd w:val="0"/>
              <w:jc w:val="center"/>
              <w:rPr>
                <w:rFonts w:ascii="Arial Narrow" w:hAnsi="Arial Narrow" w:cs="Calibri"/>
                <w:color w:val="000000"/>
                <w:sz w:val="20"/>
                <w:szCs w:val="20"/>
              </w:rPr>
            </w:pPr>
            <w:r w:rsidRPr="00505A84">
              <w:rPr>
                <w:rFonts w:ascii="Arial Narrow" w:hAnsi="Arial Narrow" w:cs="Calibri"/>
                <w:color w:val="000000"/>
                <w:sz w:val="20"/>
                <w:szCs w:val="20"/>
              </w:rPr>
              <w:t>1.2</w:t>
            </w:r>
            <w:r w:rsidR="00505A84" w:rsidRPr="00505A84">
              <w:rPr>
                <w:rFonts w:ascii="Arial Narrow" w:hAnsi="Arial Narrow" w:cs="Calibri"/>
                <w:color w:val="000000"/>
                <w:sz w:val="20"/>
                <w:szCs w:val="20"/>
              </w:rPr>
              <w:t>9</w:t>
            </w:r>
          </w:p>
          <w:p w14:paraId="50EFDF9B" w14:textId="254C9A7A" w:rsidR="00505A84" w:rsidRPr="00505A84" w:rsidRDefault="00505A84" w:rsidP="006B757B">
            <w:pPr>
              <w:autoSpaceDE w:val="0"/>
              <w:autoSpaceDN w:val="0"/>
              <w:adjustRightInd w:val="0"/>
              <w:jc w:val="center"/>
              <w:rPr>
                <w:rFonts w:ascii="Arial Narrow" w:hAnsi="Arial Narrow" w:cs="Arial"/>
                <w:sz w:val="20"/>
                <w:szCs w:val="20"/>
              </w:rPr>
            </w:pPr>
            <w:r w:rsidRPr="00505A84">
              <w:rPr>
                <w:rFonts w:ascii="Arial Narrow" w:hAnsi="Arial Narrow" w:cs="Arial"/>
                <w:sz w:val="20"/>
                <w:szCs w:val="20"/>
              </w:rPr>
              <w:t>(0.31-1.73)</w:t>
            </w:r>
          </w:p>
        </w:tc>
      </w:tr>
    </w:tbl>
    <w:bookmarkEnd w:id="152"/>
    <w:p w14:paraId="54A66595" w14:textId="6E8EE5FF" w:rsidR="004C66FE" w:rsidRPr="0042789F" w:rsidRDefault="005654F8" w:rsidP="005654F8">
      <w:pPr>
        <w:pStyle w:val="BlockText"/>
        <w:spacing w:before="0" w:after="0" w:line="240" w:lineRule="auto"/>
        <w:rPr>
          <w:rFonts w:ascii="Arial Narrow" w:hAnsi="Arial Narrow"/>
          <w:sz w:val="20"/>
          <w:szCs w:val="20"/>
        </w:rPr>
      </w:pPr>
      <w:r w:rsidRPr="00923FDE">
        <w:rPr>
          <w:rFonts w:ascii="Arial Narrow" w:hAnsi="Arial Narrow"/>
          <w:sz w:val="20"/>
          <w:szCs w:val="20"/>
          <w:vertAlign w:val="superscript"/>
        </w:rPr>
        <w:t>1</w:t>
      </w:r>
      <w:r w:rsidRPr="00923FDE">
        <w:rPr>
          <w:rFonts w:ascii="Arial Narrow" w:hAnsi="Arial Narrow"/>
          <w:sz w:val="20"/>
          <w:szCs w:val="20"/>
        </w:rPr>
        <w:t xml:space="preserve"> Water quality standards for all metals except for arsenic and selenium are hardness based, so standards varied with individual samples.</w:t>
      </w:r>
    </w:p>
    <w:p w14:paraId="36171318" w14:textId="0CE6AD5B" w:rsidR="00BD3FFB" w:rsidRDefault="00BD3FFB" w:rsidP="005E4B50">
      <w:pPr>
        <w:pStyle w:val="BlockText"/>
        <w:spacing w:before="0" w:after="0" w:line="240" w:lineRule="auto"/>
      </w:pPr>
    </w:p>
    <w:p w14:paraId="08954172" w14:textId="3C6411BD" w:rsidR="005E4B50" w:rsidRDefault="005E4B50" w:rsidP="005E4B50">
      <w:pPr>
        <w:pStyle w:val="BlockText"/>
        <w:spacing w:before="0" w:after="0" w:line="240" w:lineRule="auto"/>
      </w:pPr>
    </w:p>
    <w:p w14:paraId="66094DBC" w14:textId="60FACB44" w:rsidR="005E4B50" w:rsidRDefault="005E4B50" w:rsidP="005E4B50">
      <w:pPr>
        <w:pStyle w:val="BlockText"/>
        <w:spacing w:before="0" w:after="0" w:line="240" w:lineRule="auto"/>
      </w:pPr>
    </w:p>
    <w:p w14:paraId="1054CB58" w14:textId="5602482E" w:rsidR="005E4B50" w:rsidRDefault="005E4B50" w:rsidP="005E4B50">
      <w:pPr>
        <w:pStyle w:val="BlockText"/>
        <w:spacing w:before="0" w:after="0" w:line="240" w:lineRule="auto"/>
      </w:pPr>
    </w:p>
    <w:p w14:paraId="3097F709" w14:textId="6D0ED0F6" w:rsidR="005E4B50" w:rsidRDefault="005E4B50" w:rsidP="005E4B50">
      <w:pPr>
        <w:pStyle w:val="BlockText"/>
        <w:spacing w:before="0" w:after="0" w:line="240" w:lineRule="auto"/>
      </w:pPr>
    </w:p>
    <w:p w14:paraId="6C7357FD" w14:textId="01CD7ED2" w:rsidR="005E4B50" w:rsidRDefault="005E4B50" w:rsidP="005E4B50">
      <w:pPr>
        <w:pStyle w:val="BlockText"/>
        <w:spacing w:before="0" w:after="0" w:line="240" w:lineRule="auto"/>
      </w:pPr>
    </w:p>
    <w:p w14:paraId="4386F0B7" w14:textId="5E8329E3" w:rsidR="005E4B50" w:rsidRDefault="005E4B50" w:rsidP="005E4B50">
      <w:pPr>
        <w:pStyle w:val="BlockText"/>
        <w:spacing w:before="0" w:after="0" w:line="240" w:lineRule="auto"/>
      </w:pPr>
    </w:p>
    <w:p w14:paraId="68EAC0FB" w14:textId="066445D7" w:rsidR="005E4B50" w:rsidRDefault="005E4B50" w:rsidP="005E4B50">
      <w:pPr>
        <w:pStyle w:val="BlockText"/>
        <w:spacing w:before="0" w:after="0" w:line="240" w:lineRule="auto"/>
      </w:pPr>
    </w:p>
    <w:p w14:paraId="4FD80F03" w14:textId="78DDA463" w:rsidR="005E4B50" w:rsidRDefault="005E4B50" w:rsidP="005E4B50">
      <w:pPr>
        <w:pStyle w:val="BlockText"/>
        <w:spacing w:before="0" w:after="0" w:line="240" w:lineRule="auto"/>
      </w:pPr>
    </w:p>
    <w:p w14:paraId="69F86C1D" w14:textId="4470759A" w:rsidR="005E4B50" w:rsidRDefault="005E4B50" w:rsidP="005E4B50">
      <w:pPr>
        <w:pStyle w:val="BlockText"/>
        <w:spacing w:before="0" w:after="0" w:line="240" w:lineRule="auto"/>
      </w:pPr>
    </w:p>
    <w:p w14:paraId="295C789A" w14:textId="47407817" w:rsidR="005E4B50" w:rsidRDefault="005E4B50" w:rsidP="005E4B50">
      <w:pPr>
        <w:pStyle w:val="BlockText"/>
        <w:spacing w:before="0" w:after="0" w:line="240" w:lineRule="auto"/>
      </w:pPr>
    </w:p>
    <w:p w14:paraId="0F4BD523" w14:textId="433AC7D2" w:rsidR="005E4B50" w:rsidRDefault="005E4B50" w:rsidP="005E4B50">
      <w:pPr>
        <w:pStyle w:val="BlockText"/>
        <w:spacing w:before="0" w:after="0" w:line="240" w:lineRule="auto"/>
      </w:pPr>
    </w:p>
    <w:p w14:paraId="4110A05A" w14:textId="32468DF7" w:rsidR="005E4B50" w:rsidRDefault="005E4B50" w:rsidP="005E4B50">
      <w:pPr>
        <w:pStyle w:val="BlockText"/>
        <w:spacing w:before="0" w:after="0" w:line="240" w:lineRule="auto"/>
      </w:pPr>
    </w:p>
    <w:p w14:paraId="57C10A81" w14:textId="45EC4BCE" w:rsidR="005E4B50" w:rsidRDefault="005E4B50" w:rsidP="005E4B50">
      <w:pPr>
        <w:pStyle w:val="BlockText"/>
        <w:spacing w:before="0" w:after="0" w:line="240" w:lineRule="auto"/>
      </w:pPr>
    </w:p>
    <w:p w14:paraId="1525077D" w14:textId="18E254C4" w:rsidR="005E4B50" w:rsidRDefault="005E4B50" w:rsidP="005E4B50">
      <w:pPr>
        <w:pStyle w:val="BlockText"/>
        <w:spacing w:before="0" w:after="0" w:line="240" w:lineRule="auto"/>
      </w:pPr>
    </w:p>
    <w:p w14:paraId="3DDAA0CB" w14:textId="67D2685F" w:rsidR="005E4B50" w:rsidRDefault="005E4B50" w:rsidP="005E4B50">
      <w:pPr>
        <w:pStyle w:val="BlockText"/>
        <w:spacing w:before="0" w:after="0" w:line="240" w:lineRule="auto"/>
      </w:pPr>
    </w:p>
    <w:p w14:paraId="0DFAE792" w14:textId="77777777" w:rsidR="005E4B50" w:rsidRPr="0042789F" w:rsidRDefault="005E4B50" w:rsidP="005E4B50">
      <w:pPr>
        <w:pStyle w:val="BlockText"/>
        <w:spacing w:before="0" w:after="0" w:line="240" w:lineRule="auto"/>
      </w:pPr>
    </w:p>
    <w:p w14:paraId="3ED6B4C0" w14:textId="2608217E" w:rsidR="00762984" w:rsidRPr="0042789F" w:rsidRDefault="00762984" w:rsidP="00762984">
      <w:pPr>
        <w:pStyle w:val="Caption"/>
      </w:pPr>
      <w:bookmarkStart w:id="153" w:name="_Ref42794175"/>
      <w:bookmarkStart w:id="154" w:name="_Toc162948279"/>
      <w:r w:rsidRPr="0042789F">
        <w:t xml:space="preserve">Table </w:t>
      </w:r>
      <w:r w:rsidR="00170652" w:rsidRPr="0042789F">
        <w:rPr>
          <w:noProof/>
        </w:rPr>
        <w:fldChar w:fldCharType="begin"/>
      </w:r>
      <w:r w:rsidR="00170652" w:rsidRPr="0042789F">
        <w:rPr>
          <w:noProof/>
        </w:rPr>
        <w:instrText xml:space="preserve"> SEQ Table \* ARABIC </w:instrText>
      </w:r>
      <w:r w:rsidR="00170652" w:rsidRPr="0042789F">
        <w:rPr>
          <w:noProof/>
        </w:rPr>
        <w:fldChar w:fldCharType="separate"/>
      </w:r>
      <w:r w:rsidR="004A78BF">
        <w:rPr>
          <w:noProof/>
        </w:rPr>
        <w:t>12</w:t>
      </w:r>
      <w:r w:rsidR="00170652" w:rsidRPr="0042789F">
        <w:rPr>
          <w:noProof/>
        </w:rPr>
        <w:fldChar w:fldCharType="end"/>
      </w:r>
      <w:bookmarkEnd w:id="153"/>
      <w:r w:rsidRPr="0042789F">
        <w:t xml:space="preserve">. </w:t>
      </w:r>
      <w:r w:rsidR="001A0B7C">
        <w:t>D</w:t>
      </w:r>
      <w:r w:rsidRPr="0042789F">
        <w:t xml:space="preserve">issolved metals concentrations and corresponding toxicity reference values for </w:t>
      </w:r>
      <w:r w:rsidR="00C9297B">
        <w:t>Roanoke River Project streams</w:t>
      </w:r>
      <w:r w:rsidRPr="0042789F">
        <w:t>.</w:t>
      </w:r>
      <w:bookmarkEnd w:id="154"/>
    </w:p>
    <w:tbl>
      <w:tblPr>
        <w:tblW w:w="8223"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4"/>
        <w:gridCol w:w="1645"/>
        <w:gridCol w:w="1644"/>
        <w:gridCol w:w="1645"/>
        <w:gridCol w:w="1645"/>
      </w:tblGrid>
      <w:tr w:rsidR="00463303" w:rsidRPr="0058312C" w14:paraId="680A1A73" w14:textId="77777777" w:rsidTr="00463303">
        <w:trPr>
          <w:trHeight w:val="732"/>
        </w:trPr>
        <w:tc>
          <w:tcPr>
            <w:tcW w:w="1644" w:type="dxa"/>
            <w:tcBorders>
              <w:bottom w:val="nil"/>
            </w:tcBorders>
            <w:shd w:val="clear" w:color="auto" w:fill="D9D9D9" w:themeFill="background1" w:themeFillShade="D9"/>
            <w:vAlign w:val="bottom"/>
          </w:tcPr>
          <w:p w14:paraId="472DF04E" w14:textId="77777777" w:rsidR="00463303" w:rsidRPr="0058312C" w:rsidRDefault="00463303" w:rsidP="00923FDE">
            <w:pPr>
              <w:autoSpaceDE w:val="0"/>
              <w:autoSpaceDN w:val="0"/>
              <w:adjustRightInd w:val="0"/>
              <w:jc w:val="center"/>
              <w:rPr>
                <w:rFonts w:ascii="Arial Narrow" w:hAnsi="Arial Narrow" w:cs="Calibri"/>
                <w:b/>
                <w:bCs/>
                <w:color w:val="000000"/>
                <w:sz w:val="20"/>
                <w:szCs w:val="20"/>
              </w:rPr>
            </w:pPr>
            <w:r w:rsidRPr="0058312C">
              <w:rPr>
                <w:rFonts w:ascii="Arial Narrow" w:hAnsi="Arial Narrow" w:cs="Arial"/>
                <w:b/>
                <w:sz w:val="20"/>
                <w:szCs w:val="20"/>
              </w:rPr>
              <w:t>Metal</w:t>
            </w:r>
          </w:p>
        </w:tc>
        <w:tc>
          <w:tcPr>
            <w:tcW w:w="1645" w:type="dxa"/>
            <w:tcBorders>
              <w:bottom w:val="nil"/>
            </w:tcBorders>
            <w:shd w:val="clear" w:color="auto" w:fill="D9D9D9" w:themeFill="background1" w:themeFillShade="D9"/>
            <w:vAlign w:val="center"/>
          </w:tcPr>
          <w:p w14:paraId="4868C3C4" w14:textId="0C7A7DF6" w:rsidR="00463303" w:rsidRPr="0058312C" w:rsidRDefault="00463303" w:rsidP="00923FDE">
            <w:pPr>
              <w:autoSpaceDE w:val="0"/>
              <w:autoSpaceDN w:val="0"/>
              <w:adjustRightInd w:val="0"/>
              <w:jc w:val="center"/>
              <w:rPr>
                <w:rFonts w:ascii="Arial Narrow" w:hAnsi="Arial Narrow" w:cs="Calibri"/>
                <w:b/>
                <w:bCs/>
                <w:color w:val="000000"/>
                <w:sz w:val="20"/>
                <w:szCs w:val="20"/>
              </w:rPr>
            </w:pPr>
            <w:r w:rsidRPr="0058312C">
              <w:rPr>
                <w:rFonts w:ascii="Arial Narrow" w:hAnsi="Arial Narrow" w:cs="Arial"/>
                <w:b/>
                <w:sz w:val="20"/>
                <w:szCs w:val="20"/>
              </w:rPr>
              <w:t>Toxicity Reference Value</w:t>
            </w:r>
            <w:r w:rsidR="00F93363">
              <w:rPr>
                <w:rFonts w:ascii="Arial Narrow" w:hAnsi="Arial Narrow" w:cs="Arial"/>
                <w:b/>
                <w:sz w:val="20"/>
                <w:szCs w:val="20"/>
              </w:rPr>
              <w:t xml:space="preserve"> Average and (Range)</w:t>
            </w:r>
            <w:r w:rsidR="004D5D4D" w:rsidRPr="004D5D4D">
              <w:rPr>
                <w:rFonts w:ascii="Arial Narrow" w:hAnsi="Arial Narrow" w:cs="Arial"/>
                <w:b/>
                <w:sz w:val="20"/>
                <w:szCs w:val="20"/>
                <w:vertAlign w:val="superscript"/>
              </w:rPr>
              <w:t>1</w:t>
            </w:r>
          </w:p>
        </w:tc>
        <w:tc>
          <w:tcPr>
            <w:tcW w:w="1644" w:type="dxa"/>
            <w:tcBorders>
              <w:right w:val="nil"/>
            </w:tcBorders>
            <w:shd w:val="clear" w:color="auto" w:fill="D9D9D9" w:themeFill="background1" w:themeFillShade="D9"/>
            <w:vAlign w:val="center"/>
          </w:tcPr>
          <w:p w14:paraId="762B1176" w14:textId="77777777" w:rsidR="00463303" w:rsidRPr="0058312C" w:rsidRDefault="00463303" w:rsidP="00923FDE">
            <w:pPr>
              <w:autoSpaceDE w:val="0"/>
              <w:autoSpaceDN w:val="0"/>
              <w:adjustRightInd w:val="0"/>
              <w:jc w:val="center"/>
              <w:rPr>
                <w:rFonts w:ascii="Arial Narrow" w:hAnsi="Arial Narrow" w:cs="Calibri"/>
                <w:b/>
                <w:bCs/>
                <w:color w:val="000000"/>
                <w:sz w:val="20"/>
                <w:szCs w:val="20"/>
              </w:rPr>
            </w:pPr>
          </w:p>
        </w:tc>
        <w:tc>
          <w:tcPr>
            <w:tcW w:w="1645" w:type="dxa"/>
            <w:tcBorders>
              <w:left w:val="nil"/>
              <w:right w:val="nil"/>
            </w:tcBorders>
            <w:shd w:val="clear" w:color="auto" w:fill="D9D9D9" w:themeFill="background1" w:themeFillShade="D9"/>
            <w:vAlign w:val="center"/>
          </w:tcPr>
          <w:p w14:paraId="5B580175" w14:textId="77777777" w:rsidR="00BD0694" w:rsidRPr="00923FDE" w:rsidRDefault="00BD0694" w:rsidP="00BD0694">
            <w:pPr>
              <w:autoSpaceDE w:val="0"/>
              <w:autoSpaceDN w:val="0"/>
              <w:adjustRightInd w:val="0"/>
              <w:jc w:val="center"/>
              <w:rPr>
                <w:rFonts w:ascii="Arial Narrow" w:hAnsi="Arial Narrow" w:cs="Arial"/>
                <w:b/>
                <w:sz w:val="20"/>
                <w:szCs w:val="20"/>
              </w:rPr>
            </w:pPr>
            <w:r>
              <w:rPr>
                <w:rFonts w:ascii="Arial Narrow" w:hAnsi="Arial Narrow" w:cs="Arial"/>
                <w:b/>
                <w:sz w:val="20"/>
                <w:szCs w:val="20"/>
              </w:rPr>
              <w:t xml:space="preserve">Average </w:t>
            </w:r>
            <w:r w:rsidRPr="00923FDE">
              <w:rPr>
                <w:rFonts w:ascii="Arial Narrow" w:hAnsi="Arial Narrow" w:cs="Arial"/>
                <w:b/>
                <w:sz w:val="20"/>
                <w:szCs w:val="20"/>
              </w:rPr>
              <w:t>Concentration</w:t>
            </w:r>
            <w:r>
              <w:rPr>
                <w:rFonts w:ascii="Arial Narrow" w:hAnsi="Arial Narrow" w:cs="Arial"/>
                <w:b/>
                <w:sz w:val="20"/>
                <w:szCs w:val="20"/>
              </w:rPr>
              <w:t xml:space="preserve"> and (Range)</w:t>
            </w:r>
          </w:p>
          <w:p w14:paraId="46EB2082" w14:textId="5A3CC5EF" w:rsidR="00463303" w:rsidRPr="0058312C" w:rsidRDefault="00BD0694" w:rsidP="00BD0694">
            <w:pPr>
              <w:autoSpaceDE w:val="0"/>
              <w:autoSpaceDN w:val="0"/>
              <w:adjustRightInd w:val="0"/>
              <w:jc w:val="center"/>
              <w:rPr>
                <w:rFonts w:ascii="Arial Narrow" w:hAnsi="Arial Narrow" w:cs="Calibri"/>
                <w:b/>
                <w:bCs/>
                <w:color w:val="000000"/>
                <w:sz w:val="20"/>
                <w:szCs w:val="20"/>
              </w:rPr>
            </w:pPr>
            <w:r w:rsidRPr="00923FDE">
              <w:rPr>
                <w:rFonts w:ascii="Arial Narrow" w:hAnsi="Arial Narrow" w:cs="Calibri"/>
                <w:b/>
                <w:bCs/>
                <w:color w:val="000000"/>
                <w:sz w:val="20"/>
                <w:szCs w:val="20"/>
              </w:rPr>
              <w:t>(ug/L)</w:t>
            </w:r>
          </w:p>
        </w:tc>
        <w:tc>
          <w:tcPr>
            <w:tcW w:w="1645" w:type="dxa"/>
            <w:tcBorders>
              <w:left w:val="nil"/>
              <w:right w:val="single" w:sz="4" w:space="0" w:color="auto"/>
            </w:tcBorders>
            <w:shd w:val="clear" w:color="auto" w:fill="D9D9D9" w:themeFill="background1" w:themeFillShade="D9"/>
            <w:vAlign w:val="center"/>
          </w:tcPr>
          <w:p w14:paraId="454AF79D" w14:textId="77777777" w:rsidR="00463303" w:rsidRPr="0058312C" w:rsidRDefault="00463303" w:rsidP="00923FDE">
            <w:pPr>
              <w:autoSpaceDE w:val="0"/>
              <w:autoSpaceDN w:val="0"/>
              <w:adjustRightInd w:val="0"/>
              <w:jc w:val="right"/>
              <w:rPr>
                <w:rFonts w:ascii="Arial Narrow" w:hAnsi="Arial Narrow" w:cs="Calibri"/>
                <w:b/>
                <w:bCs/>
                <w:color w:val="000000"/>
                <w:sz w:val="20"/>
                <w:szCs w:val="20"/>
              </w:rPr>
            </w:pPr>
          </w:p>
        </w:tc>
      </w:tr>
      <w:tr w:rsidR="00BD0694" w:rsidRPr="0058312C" w14:paraId="1BF1DE4C" w14:textId="77777777" w:rsidTr="00923FDE">
        <w:trPr>
          <w:trHeight w:val="732"/>
        </w:trPr>
        <w:tc>
          <w:tcPr>
            <w:tcW w:w="1644" w:type="dxa"/>
            <w:tcBorders>
              <w:top w:val="nil"/>
            </w:tcBorders>
            <w:shd w:val="clear" w:color="auto" w:fill="D9D9D9" w:themeFill="background1" w:themeFillShade="D9"/>
            <w:vAlign w:val="center"/>
          </w:tcPr>
          <w:p w14:paraId="66A59481" w14:textId="77777777" w:rsidR="00BD0694" w:rsidRPr="0058312C" w:rsidRDefault="00BD0694" w:rsidP="00BD0694">
            <w:pPr>
              <w:autoSpaceDE w:val="0"/>
              <w:autoSpaceDN w:val="0"/>
              <w:adjustRightInd w:val="0"/>
              <w:jc w:val="center"/>
              <w:rPr>
                <w:rFonts w:ascii="Arial Narrow" w:hAnsi="Arial Narrow" w:cs="Arial"/>
                <w:b/>
                <w:sz w:val="20"/>
                <w:szCs w:val="20"/>
              </w:rPr>
            </w:pPr>
          </w:p>
        </w:tc>
        <w:tc>
          <w:tcPr>
            <w:tcW w:w="1645" w:type="dxa"/>
            <w:tcBorders>
              <w:top w:val="nil"/>
            </w:tcBorders>
            <w:shd w:val="clear" w:color="auto" w:fill="D9D9D9" w:themeFill="background1" w:themeFillShade="D9"/>
          </w:tcPr>
          <w:p w14:paraId="793EF3D3" w14:textId="77777777" w:rsidR="00BD0694" w:rsidRPr="0058312C" w:rsidRDefault="00BD0694" w:rsidP="00BD0694">
            <w:pPr>
              <w:autoSpaceDE w:val="0"/>
              <w:autoSpaceDN w:val="0"/>
              <w:adjustRightInd w:val="0"/>
              <w:jc w:val="center"/>
              <w:rPr>
                <w:rFonts w:ascii="Arial Narrow" w:hAnsi="Arial Narrow" w:cs="Arial"/>
                <w:b/>
                <w:sz w:val="20"/>
                <w:szCs w:val="20"/>
              </w:rPr>
            </w:pPr>
            <w:r w:rsidRPr="0058312C">
              <w:rPr>
                <w:rFonts w:ascii="Arial Narrow" w:hAnsi="Arial Narrow" w:cs="Arial"/>
                <w:b/>
                <w:sz w:val="20"/>
                <w:szCs w:val="20"/>
              </w:rPr>
              <w:t>(ug/L)</w:t>
            </w:r>
          </w:p>
        </w:tc>
        <w:tc>
          <w:tcPr>
            <w:tcW w:w="1644" w:type="dxa"/>
            <w:shd w:val="clear" w:color="auto" w:fill="D9D9D9" w:themeFill="background1" w:themeFillShade="D9"/>
            <w:vAlign w:val="center"/>
          </w:tcPr>
          <w:p w14:paraId="0E6CF5AF" w14:textId="77777777" w:rsidR="00BD0694" w:rsidRPr="00923FDE" w:rsidRDefault="00BD0694" w:rsidP="00BD0694">
            <w:pPr>
              <w:autoSpaceDE w:val="0"/>
              <w:autoSpaceDN w:val="0"/>
              <w:adjustRightInd w:val="0"/>
              <w:jc w:val="center"/>
              <w:rPr>
                <w:rFonts w:ascii="Arial Narrow" w:hAnsi="Arial Narrow" w:cs="Arial"/>
                <w:b/>
                <w:sz w:val="20"/>
                <w:szCs w:val="20"/>
              </w:rPr>
            </w:pPr>
            <w:r>
              <w:rPr>
                <w:rFonts w:ascii="Arial Narrow" w:hAnsi="Arial Narrow" w:cs="Arial"/>
                <w:b/>
                <w:sz w:val="20"/>
                <w:szCs w:val="20"/>
              </w:rPr>
              <w:t>Wolf Creek</w:t>
            </w:r>
          </w:p>
          <w:p w14:paraId="0FDC34A4" w14:textId="0519EA75" w:rsidR="00BD0694" w:rsidRPr="0058312C" w:rsidRDefault="00BD0694" w:rsidP="00BD0694">
            <w:pPr>
              <w:autoSpaceDE w:val="0"/>
              <w:autoSpaceDN w:val="0"/>
              <w:adjustRightInd w:val="0"/>
              <w:jc w:val="center"/>
              <w:rPr>
                <w:rFonts w:ascii="Arial Narrow" w:hAnsi="Arial Narrow" w:cs="Arial"/>
                <w:b/>
                <w:sz w:val="20"/>
                <w:szCs w:val="20"/>
              </w:rPr>
            </w:pPr>
            <w:r w:rsidRPr="00923FDE">
              <w:rPr>
                <w:rFonts w:ascii="Arial Narrow" w:hAnsi="Arial Narrow" w:cs="Arial"/>
                <w:b/>
                <w:sz w:val="20"/>
                <w:szCs w:val="20"/>
              </w:rPr>
              <w:t>(</w:t>
            </w:r>
            <w:r>
              <w:rPr>
                <w:rFonts w:ascii="Arial Narrow" w:hAnsi="Arial Narrow" w:cs="Arial"/>
                <w:b/>
                <w:sz w:val="20"/>
                <w:szCs w:val="20"/>
              </w:rPr>
              <w:t>4AWOR000.34)</w:t>
            </w:r>
          </w:p>
        </w:tc>
        <w:tc>
          <w:tcPr>
            <w:tcW w:w="1645" w:type="dxa"/>
            <w:shd w:val="clear" w:color="auto" w:fill="D9D9D9" w:themeFill="background1" w:themeFillShade="D9"/>
            <w:vAlign w:val="center"/>
          </w:tcPr>
          <w:p w14:paraId="2B6F3355" w14:textId="77777777" w:rsidR="00BD0694" w:rsidRPr="00923FDE" w:rsidRDefault="00BD0694" w:rsidP="00BD0694">
            <w:pPr>
              <w:autoSpaceDE w:val="0"/>
              <w:autoSpaceDN w:val="0"/>
              <w:adjustRightInd w:val="0"/>
              <w:jc w:val="center"/>
              <w:rPr>
                <w:rFonts w:ascii="Arial Narrow" w:hAnsi="Arial Narrow" w:cs="Arial"/>
                <w:b/>
                <w:sz w:val="20"/>
                <w:szCs w:val="20"/>
              </w:rPr>
            </w:pPr>
            <w:r>
              <w:rPr>
                <w:rFonts w:ascii="Arial Narrow" w:hAnsi="Arial Narrow" w:cs="Arial"/>
                <w:b/>
                <w:sz w:val="20"/>
                <w:szCs w:val="20"/>
              </w:rPr>
              <w:t>Tinker Creek</w:t>
            </w:r>
          </w:p>
          <w:p w14:paraId="5294C7F2" w14:textId="6411001F" w:rsidR="00BD0694" w:rsidRPr="0058312C" w:rsidRDefault="00BD0694" w:rsidP="00BD0694">
            <w:pPr>
              <w:autoSpaceDE w:val="0"/>
              <w:autoSpaceDN w:val="0"/>
              <w:adjustRightInd w:val="0"/>
              <w:jc w:val="center"/>
              <w:rPr>
                <w:rFonts w:ascii="Arial Narrow" w:hAnsi="Arial Narrow" w:cs="Arial"/>
                <w:b/>
                <w:sz w:val="20"/>
                <w:szCs w:val="20"/>
              </w:rPr>
            </w:pPr>
            <w:r w:rsidRPr="00923FDE">
              <w:rPr>
                <w:rFonts w:ascii="Arial Narrow" w:hAnsi="Arial Narrow" w:cs="Arial"/>
                <w:b/>
                <w:sz w:val="20"/>
                <w:szCs w:val="20"/>
              </w:rPr>
              <w:t>(</w:t>
            </w:r>
            <w:r>
              <w:rPr>
                <w:rFonts w:ascii="Arial Narrow" w:hAnsi="Arial Narrow" w:cs="Arial"/>
                <w:b/>
                <w:sz w:val="20"/>
                <w:szCs w:val="20"/>
              </w:rPr>
              <w:t>4ATKR009.30)</w:t>
            </w:r>
          </w:p>
        </w:tc>
        <w:tc>
          <w:tcPr>
            <w:tcW w:w="1645" w:type="dxa"/>
            <w:shd w:val="clear" w:color="auto" w:fill="D9D9D9" w:themeFill="background1" w:themeFillShade="D9"/>
            <w:vAlign w:val="center"/>
          </w:tcPr>
          <w:p w14:paraId="27D85788" w14:textId="77777777" w:rsidR="00BD0694" w:rsidRPr="00923FDE" w:rsidRDefault="00BD0694" w:rsidP="00BD0694">
            <w:pPr>
              <w:autoSpaceDE w:val="0"/>
              <w:autoSpaceDN w:val="0"/>
              <w:adjustRightInd w:val="0"/>
              <w:jc w:val="center"/>
              <w:rPr>
                <w:rFonts w:ascii="Arial Narrow" w:hAnsi="Arial Narrow" w:cs="Calibri"/>
                <w:b/>
                <w:color w:val="000000"/>
                <w:sz w:val="20"/>
                <w:szCs w:val="20"/>
              </w:rPr>
            </w:pPr>
            <w:r>
              <w:rPr>
                <w:rFonts w:ascii="Arial Narrow" w:hAnsi="Arial Narrow" w:cs="Calibri"/>
                <w:b/>
                <w:color w:val="000000"/>
                <w:sz w:val="20"/>
                <w:szCs w:val="20"/>
              </w:rPr>
              <w:t>Roanoke River</w:t>
            </w:r>
          </w:p>
          <w:p w14:paraId="6FD365B6" w14:textId="31A2D041" w:rsidR="00BD0694" w:rsidRPr="0058312C" w:rsidRDefault="00BD0694" w:rsidP="00BD0694">
            <w:pPr>
              <w:autoSpaceDE w:val="0"/>
              <w:autoSpaceDN w:val="0"/>
              <w:adjustRightInd w:val="0"/>
              <w:jc w:val="center"/>
              <w:rPr>
                <w:rFonts w:ascii="Arial Narrow" w:hAnsi="Arial Narrow" w:cs="Arial"/>
                <w:b/>
                <w:sz w:val="20"/>
                <w:szCs w:val="20"/>
              </w:rPr>
            </w:pPr>
            <w:r w:rsidRPr="00923FDE">
              <w:rPr>
                <w:rFonts w:ascii="Arial Narrow" w:hAnsi="Arial Narrow" w:cs="Arial"/>
                <w:b/>
                <w:sz w:val="20"/>
                <w:szCs w:val="20"/>
              </w:rPr>
              <w:t>(</w:t>
            </w:r>
            <w:r>
              <w:rPr>
                <w:rFonts w:ascii="Arial Narrow" w:hAnsi="Arial Narrow" w:cs="Arial"/>
                <w:b/>
                <w:sz w:val="20"/>
                <w:szCs w:val="20"/>
              </w:rPr>
              <w:t>4AROA202.20 / 199.20 / 198.08)</w:t>
            </w:r>
          </w:p>
        </w:tc>
      </w:tr>
      <w:tr w:rsidR="00BD0694" w:rsidRPr="0058312C" w14:paraId="27BFC8EB" w14:textId="77777777" w:rsidTr="004922CA">
        <w:trPr>
          <w:trHeight w:val="290"/>
        </w:trPr>
        <w:tc>
          <w:tcPr>
            <w:tcW w:w="1644" w:type="dxa"/>
            <w:vAlign w:val="center"/>
          </w:tcPr>
          <w:p w14:paraId="28E9C1BB" w14:textId="77777777" w:rsidR="00BD0694" w:rsidRPr="0058312C" w:rsidRDefault="00BD0694" w:rsidP="00BD0694">
            <w:pPr>
              <w:autoSpaceDE w:val="0"/>
              <w:autoSpaceDN w:val="0"/>
              <w:adjustRightInd w:val="0"/>
              <w:jc w:val="center"/>
              <w:rPr>
                <w:rFonts w:ascii="Arial Narrow" w:hAnsi="Arial Narrow" w:cs="Arial"/>
                <w:sz w:val="20"/>
                <w:szCs w:val="20"/>
              </w:rPr>
            </w:pPr>
            <w:r w:rsidRPr="0058312C">
              <w:rPr>
                <w:rFonts w:ascii="Arial Narrow" w:hAnsi="Arial Narrow" w:cs="Arial"/>
                <w:sz w:val="20"/>
                <w:szCs w:val="20"/>
              </w:rPr>
              <w:t>Aluminum</w:t>
            </w:r>
            <w:r w:rsidRPr="0058312C">
              <w:rPr>
                <w:rFonts w:ascii="Arial Narrow" w:hAnsi="Arial Narrow" w:cs="Arial"/>
                <w:sz w:val="20"/>
                <w:szCs w:val="20"/>
                <w:vertAlign w:val="superscript"/>
              </w:rPr>
              <w:t>2</w:t>
            </w:r>
          </w:p>
        </w:tc>
        <w:tc>
          <w:tcPr>
            <w:tcW w:w="1645" w:type="dxa"/>
            <w:vAlign w:val="bottom"/>
          </w:tcPr>
          <w:p w14:paraId="14AA0988" w14:textId="4DAAD466" w:rsidR="00BD0694" w:rsidRPr="00AB0382" w:rsidRDefault="00BD0694" w:rsidP="00BD0694">
            <w:pPr>
              <w:autoSpaceDE w:val="0"/>
              <w:autoSpaceDN w:val="0"/>
              <w:adjustRightInd w:val="0"/>
              <w:jc w:val="center"/>
              <w:rPr>
                <w:rFonts w:ascii="Arial Narrow" w:hAnsi="Arial Narrow" w:cs="Arial"/>
                <w:sz w:val="20"/>
                <w:szCs w:val="20"/>
              </w:rPr>
            </w:pPr>
            <w:r w:rsidRPr="00AB0382">
              <w:rPr>
                <w:rFonts w:ascii="Arial Narrow" w:hAnsi="Arial Narrow" w:cs="Arial"/>
                <w:sz w:val="20"/>
                <w:szCs w:val="20"/>
              </w:rPr>
              <w:t>1200</w:t>
            </w:r>
          </w:p>
          <w:p w14:paraId="3C6AE65E" w14:textId="0A17DA39" w:rsidR="00BD0694" w:rsidRPr="00AB0382" w:rsidRDefault="00BD0694" w:rsidP="00BD0694">
            <w:pPr>
              <w:autoSpaceDE w:val="0"/>
              <w:autoSpaceDN w:val="0"/>
              <w:adjustRightInd w:val="0"/>
              <w:jc w:val="center"/>
              <w:rPr>
                <w:rFonts w:ascii="Arial Narrow" w:hAnsi="Arial Narrow" w:cs="Arial"/>
                <w:sz w:val="20"/>
                <w:szCs w:val="20"/>
              </w:rPr>
            </w:pPr>
            <w:r w:rsidRPr="00AB0382">
              <w:rPr>
                <w:rFonts w:ascii="Arial Narrow" w:hAnsi="Arial Narrow" w:cs="Arial"/>
                <w:sz w:val="20"/>
                <w:szCs w:val="20"/>
              </w:rPr>
              <w:t>(270-1600)</w:t>
            </w:r>
          </w:p>
        </w:tc>
        <w:tc>
          <w:tcPr>
            <w:tcW w:w="1644" w:type="dxa"/>
            <w:vAlign w:val="bottom"/>
          </w:tcPr>
          <w:p w14:paraId="6C148999" w14:textId="752F1814" w:rsidR="00BD0694" w:rsidRPr="00AB0382" w:rsidRDefault="00BD0694" w:rsidP="00BD0694">
            <w:pPr>
              <w:autoSpaceDE w:val="0"/>
              <w:autoSpaceDN w:val="0"/>
              <w:adjustRightInd w:val="0"/>
              <w:jc w:val="center"/>
              <w:rPr>
                <w:rFonts w:ascii="Arial Narrow" w:hAnsi="Arial Narrow" w:cs="Arial"/>
                <w:sz w:val="20"/>
                <w:szCs w:val="20"/>
              </w:rPr>
            </w:pPr>
            <w:r w:rsidRPr="00AB0382">
              <w:rPr>
                <w:rFonts w:ascii="Arial Narrow" w:hAnsi="Arial Narrow" w:cs="Calibri"/>
                <w:color w:val="000000"/>
                <w:sz w:val="20"/>
                <w:szCs w:val="20"/>
              </w:rPr>
              <w:t>2.34</w:t>
            </w:r>
          </w:p>
        </w:tc>
        <w:tc>
          <w:tcPr>
            <w:tcW w:w="1645" w:type="dxa"/>
            <w:vAlign w:val="bottom"/>
          </w:tcPr>
          <w:p w14:paraId="01F15FD1" w14:textId="77777777" w:rsidR="00BD0694" w:rsidRPr="00AB0382" w:rsidRDefault="00BD0694" w:rsidP="00BD0694">
            <w:pPr>
              <w:autoSpaceDE w:val="0"/>
              <w:autoSpaceDN w:val="0"/>
              <w:adjustRightInd w:val="0"/>
              <w:jc w:val="center"/>
              <w:rPr>
                <w:rFonts w:ascii="Arial Narrow" w:hAnsi="Arial Narrow" w:cs="Calibri"/>
                <w:color w:val="000000"/>
                <w:sz w:val="20"/>
                <w:szCs w:val="20"/>
              </w:rPr>
            </w:pPr>
            <w:r w:rsidRPr="00AB0382">
              <w:rPr>
                <w:rFonts w:ascii="Arial Narrow" w:hAnsi="Arial Narrow" w:cs="Calibri"/>
                <w:color w:val="000000"/>
                <w:sz w:val="20"/>
                <w:szCs w:val="20"/>
              </w:rPr>
              <w:t>1.43</w:t>
            </w:r>
          </w:p>
          <w:p w14:paraId="6AEFB089" w14:textId="60E2DD22" w:rsidR="00AB0382" w:rsidRPr="00AB0382" w:rsidRDefault="00AB0382" w:rsidP="00BD0694">
            <w:pPr>
              <w:autoSpaceDE w:val="0"/>
              <w:autoSpaceDN w:val="0"/>
              <w:adjustRightInd w:val="0"/>
              <w:jc w:val="center"/>
              <w:rPr>
                <w:rFonts w:ascii="Arial Narrow" w:hAnsi="Arial Narrow" w:cs="Arial"/>
                <w:sz w:val="20"/>
                <w:szCs w:val="20"/>
              </w:rPr>
            </w:pPr>
            <w:r w:rsidRPr="00AB0382">
              <w:rPr>
                <w:rFonts w:ascii="Arial Narrow" w:hAnsi="Arial Narrow" w:cs="Arial"/>
                <w:sz w:val="20"/>
                <w:szCs w:val="20"/>
              </w:rPr>
              <w:t>(1.22-1.64)</w:t>
            </w:r>
          </w:p>
        </w:tc>
        <w:tc>
          <w:tcPr>
            <w:tcW w:w="1645" w:type="dxa"/>
            <w:shd w:val="clear" w:color="auto" w:fill="auto"/>
            <w:vAlign w:val="bottom"/>
          </w:tcPr>
          <w:p w14:paraId="0E4347AA" w14:textId="4813F286" w:rsidR="00BD0694" w:rsidRPr="00AB0382" w:rsidRDefault="00BD0694" w:rsidP="00BD0694">
            <w:pPr>
              <w:autoSpaceDE w:val="0"/>
              <w:autoSpaceDN w:val="0"/>
              <w:adjustRightInd w:val="0"/>
              <w:jc w:val="center"/>
              <w:rPr>
                <w:rFonts w:ascii="Arial Narrow" w:hAnsi="Arial Narrow" w:cs="Calibri"/>
                <w:color w:val="000000"/>
                <w:sz w:val="20"/>
                <w:szCs w:val="20"/>
              </w:rPr>
            </w:pPr>
            <w:r w:rsidRPr="00AB0382">
              <w:rPr>
                <w:rFonts w:ascii="Arial Narrow" w:hAnsi="Arial Narrow" w:cs="Calibri"/>
                <w:color w:val="000000"/>
                <w:sz w:val="20"/>
                <w:szCs w:val="20"/>
              </w:rPr>
              <w:t>2.82</w:t>
            </w:r>
          </w:p>
          <w:p w14:paraId="08545EA6" w14:textId="54E1E871" w:rsidR="00AB0382" w:rsidRPr="00AB0382" w:rsidRDefault="00AB0382" w:rsidP="00BD0694">
            <w:pPr>
              <w:autoSpaceDE w:val="0"/>
              <w:autoSpaceDN w:val="0"/>
              <w:adjustRightInd w:val="0"/>
              <w:jc w:val="center"/>
              <w:rPr>
                <w:rFonts w:ascii="Arial Narrow" w:hAnsi="Arial Narrow" w:cs="Arial"/>
                <w:sz w:val="20"/>
                <w:szCs w:val="20"/>
              </w:rPr>
            </w:pPr>
            <w:r w:rsidRPr="00AB0382">
              <w:rPr>
                <w:rFonts w:ascii="Arial Narrow" w:hAnsi="Arial Narrow" w:cs="Arial"/>
                <w:sz w:val="20"/>
                <w:szCs w:val="20"/>
              </w:rPr>
              <w:t>(1.11-5.70)</w:t>
            </w:r>
          </w:p>
        </w:tc>
      </w:tr>
      <w:tr w:rsidR="00BD0694" w:rsidRPr="0058312C" w14:paraId="57C65A5D" w14:textId="77777777" w:rsidTr="004922CA">
        <w:trPr>
          <w:trHeight w:val="290"/>
        </w:trPr>
        <w:tc>
          <w:tcPr>
            <w:tcW w:w="1644" w:type="dxa"/>
            <w:vAlign w:val="center"/>
          </w:tcPr>
          <w:p w14:paraId="038BA535" w14:textId="77777777" w:rsidR="00BD0694" w:rsidRPr="0058312C" w:rsidRDefault="00BD0694" w:rsidP="00BD0694">
            <w:pPr>
              <w:autoSpaceDE w:val="0"/>
              <w:autoSpaceDN w:val="0"/>
              <w:adjustRightInd w:val="0"/>
              <w:jc w:val="center"/>
              <w:rPr>
                <w:rFonts w:ascii="Arial Narrow" w:hAnsi="Arial Narrow" w:cs="Arial"/>
                <w:sz w:val="20"/>
                <w:szCs w:val="20"/>
              </w:rPr>
            </w:pPr>
            <w:r w:rsidRPr="0058312C">
              <w:rPr>
                <w:rFonts w:ascii="Arial Narrow" w:hAnsi="Arial Narrow" w:cs="Arial"/>
                <w:sz w:val="20"/>
                <w:szCs w:val="20"/>
              </w:rPr>
              <w:t>Antimony</w:t>
            </w:r>
            <w:r w:rsidRPr="0058312C">
              <w:rPr>
                <w:rFonts w:ascii="Arial Narrow" w:hAnsi="Arial Narrow" w:cs="Arial"/>
                <w:sz w:val="20"/>
                <w:szCs w:val="20"/>
                <w:vertAlign w:val="superscript"/>
              </w:rPr>
              <w:t>3</w:t>
            </w:r>
          </w:p>
        </w:tc>
        <w:tc>
          <w:tcPr>
            <w:tcW w:w="1645" w:type="dxa"/>
            <w:vAlign w:val="bottom"/>
          </w:tcPr>
          <w:p w14:paraId="1F4DA0D2" w14:textId="7EFFFE5E" w:rsidR="00BD0694" w:rsidRPr="00AB0382" w:rsidRDefault="00BD0694" w:rsidP="00BD0694">
            <w:pPr>
              <w:autoSpaceDE w:val="0"/>
              <w:autoSpaceDN w:val="0"/>
              <w:adjustRightInd w:val="0"/>
              <w:jc w:val="center"/>
              <w:rPr>
                <w:rFonts w:ascii="Arial Narrow" w:hAnsi="Arial Narrow" w:cs="Arial"/>
                <w:sz w:val="20"/>
                <w:szCs w:val="20"/>
              </w:rPr>
            </w:pPr>
            <w:r w:rsidRPr="00AB0382">
              <w:rPr>
                <w:rFonts w:ascii="Arial Narrow" w:hAnsi="Arial Narrow" w:cs="Arial"/>
                <w:sz w:val="20"/>
                <w:szCs w:val="20"/>
              </w:rPr>
              <w:t>30</w:t>
            </w:r>
          </w:p>
        </w:tc>
        <w:tc>
          <w:tcPr>
            <w:tcW w:w="1644" w:type="dxa"/>
            <w:vAlign w:val="bottom"/>
          </w:tcPr>
          <w:p w14:paraId="001F6578" w14:textId="7DF32E57" w:rsidR="00BD0694" w:rsidRPr="00AB0382" w:rsidRDefault="00BD0694" w:rsidP="00BD0694">
            <w:pPr>
              <w:autoSpaceDE w:val="0"/>
              <w:autoSpaceDN w:val="0"/>
              <w:adjustRightInd w:val="0"/>
              <w:jc w:val="center"/>
              <w:rPr>
                <w:rFonts w:ascii="Arial Narrow" w:hAnsi="Arial Narrow" w:cs="Arial"/>
                <w:sz w:val="20"/>
                <w:szCs w:val="20"/>
              </w:rPr>
            </w:pPr>
            <w:r w:rsidRPr="00AB0382">
              <w:rPr>
                <w:rFonts w:ascii="Arial Narrow" w:hAnsi="Arial Narrow" w:cs="Calibri"/>
                <w:color w:val="000000"/>
                <w:sz w:val="20"/>
                <w:szCs w:val="20"/>
              </w:rPr>
              <w:t>0.02</w:t>
            </w:r>
          </w:p>
        </w:tc>
        <w:tc>
          <w:tcPr>
            <w:tcW w:w="1645" w:type="dxa"/>
            <w:vAlign w:val="bottom"/>
          </w:tcPr>
          <w:p w14:paraId="38E6762E" w14:textId="4B7723B1" w:rsidR="00BD0694" w:rsidRPr="00AB0382" w:rsidRDefault="00BD0694" w:rsidP="00BD0694">
            <w:pPr>
              <w:autoSpaceDE w:val="0"/>
              <w:autoSpaceDN w:val="0"/>
              <w:adjustRightInd w:val="0"/>
              <w:jc w:val="center"/>
              <w:rPr>
                <w:rFonts w:ascii="Arial Narrow" w:hAnsi="Arial Narrow" w:cs="Calibri"/>
                <w:color w:val="000000"/>
                <w:sz w:val="20"/>
                <w:szCs w:val="20"/>
              </w:rPr>
            </w:pPr>
            <w:r w:rsidRPr="00AB0382">
              <w:rPr>
                <w:rFonts w:ascii="Arial Narrow" w:hAnsi="Arial Narrow" w:cs="Calibri"/>
                <w:color w:val="000000"/>
                <w:sz w:val="20"/>
                <w:szCs w:val="20"/>
              </w:rPr>
              <w:t>0.0</w:t>
            </w:r>
            <w:r w:rsidR="00AB0382" w:rsidRPr="00AB0382">
              <w:rPr>
                <w:rFonts w:ascii="Arial Narrow" w:hAnsi="Arial Narrow" w:cs="Calibri"/>
                <w:color w:val="000000"/>
                <w:sz w:val="20"/>
                <w:szCs w:val="20"/>
              </w:rPr>
              <w:t>4</w:t>
            </w:r>
          </w:p>
          <w:p w14:paraId="4F846384" w14:textId="29319CA0" w:rsidR="00AB0382" w:rsidRPr="00AB0382" w:rsidRDefault="00AB0382" w:rsidP="00BD0694">
            <w:pPr>
              <w:autoSpaceDE w:val="0"/>
              <w:autoSpaceDN w:val="0"/>
              <w:adjustRightInd w:val="0"/>
              <w:jc w:val="center"/>
              <w:rPr>
                <w:rFonts w:ascii="Arial Narrow" w:hAnsi="Arial Narrow" w:cs="Arial"/>
                <w:sz w:val="20"/>
                <w:szCs w:val="20"/>
              </w:rPr>
            </w:pPr>
            <w:r w:rsidRPr="00AB0382">
              <w:rPr>
                <w:rFonts w:ascii="Arial Narrow" w:hAnsi="Arial Narrow" w:cs="Arial"/>
                <w:sz w:val="20"/>
                <w:szCs w:val="20"/>
              </w:rPr>
              <w:t>(0.03-0.04)</w:t>
            </w:r>
          </w:p>
        </w:tc>
        <w:tc>
          <w:tcPr>
            <w:tcW w:w="1645" w:type="dxa"/>
            <w:shd w:val="clear" w:color="auto" w:fill="auto"/>
            <w:vAlign w:val="bottom"/>
          </w:tcPr>
          <w:p w14:paraId="49D0663D" w14:textId="3DBCC8D4" w:rsidR="00BD0694" w:rsidRPr="00AB0382" w:rsidRDefault="00BD0694" w:rsidP="00BD0694">
            <w:pPr>
              <w:autoSpaceDE w:val="0"/>
              <w:autoSpaceDN w:val="0"/>
              <w:adjustRightInd w:val="0"/>
              <w:jc w:val="center"/>
              <w:rPr>
                <w:rFonts w:ascii="Arial Narrow" w:hAnsi="Arial Narrow" w:cs="Calibri"/>
                <w:color w:val="000000"/>
                <w:sz w:val="20"/>
                <w:szCs w:val="20"/>
              </w:rPr>
            </w:pPr>
            <w:r w:rsidRPr="00AB0382">
              <w:rPr>
                <w:rFonts w:ascii="Arial Narrow" w:hAnsi="Arial Narrow" w:cs="Calibri"/>
                <w:color w:val="000000"/>
                <w:sz w:val="20"/>
                <w:szCs w:val="20"/>
              </w:rPr>
              <w:t>0.0</w:t>
            </w:r>
            <w:r w:rsidR="00AB0382" w:rsidRPr="00AB0382">
              <w:rPr>
                <w:rFonts w:ascii="Arial Narrow" w:hAnsi="Arial Narrow" w:cs="Calibri"/>
                <w:color w:val="000000"/>
                <w:sz w:val="20"/>
                <w:szCs w:val="20"/>
              </w:rPr>
              <w:t>8</w:t>
            </w:r>
          </w:p>
          <w:p w14:paraId="24EA9E44" w14:textId="79D88AA2" w:rsidR="00AB0382" w:rsidRPr="00AB0382" w:rsidRDefault="00AB0382" w:rsidP="00BD0694">
            <w:pPr>
              <w:autoSpaceDE w:val="0"/>
              <w:autoSpaceDN w:val="0"/>
              <w:adjustRightInd w:val="0"/>
              <w:jc w:val="center"/>
              <w:rPr>
                <w:rFonts w:ascii="Arial Narrow" w:hAnsi="Arial Narrow" w:cs="Arial"/>
                <w:sz w:val="20"/>
                <w:szCs w:val="20"/>
              </w:rPr>
            </w:pPr>
            <w:r w:rsidRPr="00AB0382">
              <w:rPr>
                <w:rFonts w:ascii="Arial Narrow" w:hAnsi="Arial Narrow" w:cs="Arial"/>
                <w:sz w:val="20"/>
                <w:szCs w:val="20"/>
              </w:rPr>
              <w:t>(0.04-0.12)</w:t>
            </w:r>
          </w:p>
        </w:tc>
      </w:tr>
      <w:tr w:rsidR="00BD0694" w:rsidRPr="0058312C" w14:paraId="57708231" w14:textId="77777777" w:rsidTr="004922CA">
        <w:trPr>
          <w:trHeight w:val="290"/>
        </w:trPr>
        <w:tc>
          <w:tcPr>
            <w:tcW w:w="1644" w:type="dxa"/>
            <w:vAlign w:val="center"/>
          </w:tcPr>
          <w:p w14:paraId="6F857C72" w14:textId="77777777" w:rsidR="00BD0694" w:rsidRPr="0058312C" w:rsidRDefault="00BD0694" w:rsidP="00BD0694">
            <w:pPr>
              <w:autoSpaceDE w:val="0"/>
              <w:autoSpaceDN w:val="0"/>
              <w:adjustRightInd w:val="0"/>
              <w:jc w:val="center"/>
              <w:rPr>
                <w:rFonts w:ascii="Arial Narrow" w:hAnsi="Arial Narrow" w:cs="Arial"/>
                <w:sz w:val="20"/>
                <w:szCs w:val="20"/>
              </w:rPr>
            </w:pPr>
            <w:r w:rsidRPr="0058312C">
              <w:rPr>
                <w:rFonts w:ascii="Arial Narrow" w:hAnsi="Arial Narrow" w:cs="Arial"/>
                <w:sz w:val="20"/>
                <w:szCs w:val="20"/>
              </w:rPr>
              <w:t>Barium</w:t>
            </w:r>
            <w:r w:rsidRPr="0058312C">
              <w:rPr>
                <w:rFonts w:ascii="Arial Narrow" w:hAnsi="Arial Narrow" w:cs="Arial"/>
                <w:sz w:val="20"/>
                <w:szCs w:val="20"/>
                <w:vertAlign w:val="superscript"/>
              </w:rPr>
              <w:t>4</w:t>
            </w:r>
          </w:p>
        </w:tc>
        <w:tc>
          <w:tcPr>
            <w:tcW w:w="1645" w:type="dxa"/>
            <w:vAlign w:val="bottom"/>
          </w:tcPr>
          <w:p w14:paraId="6F04195F" w14:textId="671150BA" w:rsidR="00BD0694" w:rsidRPr="00AB0382" w:rsidRDefault="00BD0694" w:rsidP="00BD0694">
            <w:pPr>
              <w:autoSpaceDE w:val="0"/>
              <w:autoSpaceDN w:val="0"/>
              <w:adjustRightInd w:val="0"/>
              <w:jc w:val="center"/>
              <w:rPr>
                <w:rFonts w:ascii="Arial Narrow" w:hAnsi="Arial Narrow" w:cs="Arial"/>
                <w:sz w:val="20"/>
                <w:szCs w:val="20"/>
              </w:rPr>
            </w:pPr>
            <w:r w:rsidRPr="00AB0382">
              <w:rPr>
                <w:rFonts w:ascii="Arial Narrow" w:hAnsi="Arial Narrow" w:cs="Arial"/>
                <w:sz w:val="20"/>
                <w:szCs w:val="20"/>
              </w:rPr>
              <w:t>1700</w:t>
            </w:r>
          </w:p>
        </w:tc>
        <w:tc>
          <w:tcPr>
            <w:tcW w:w="1644" w:type="dxa"/>
            <w:vAlign w:val="bottom"/>
          </w:tcPr>
          <w:p w14:paraId="0B4E4A60" w14:textId="1012D791" w:rsidR="00BD0694" w:rsidRPr="00AB0382" w:rsidRDefault="00BD0694" w:rsidP="00BD0694">
            <w:pPr>
              <w:autoSpaceDE w:val="0"/>
              <w:autoSpaceDN w:val="0"/>
              <w:adjustRightInd w:val="0"/>
              <w:jc w:val="center"/>
              <w:rPr>
                <w:rFonts w:ascii="Arial Narrow" w:hAnsi="Arial Narrow" w:cs="Arial"/>
                <w:sz w:val="20"/>
                <w:szCs w:val="20"/>
              </w:rPr>
            </w:pPr>
            <w:r w:rsidRPr="00AB0382">
              <w:rPr>
                <w:rFonts w:ascii="Arial Narrow" w:hAnsi="Arial Narrow" w:cs="Calibri"/>
                <w:color w:val="000000"/>
                <w:sz w:val="20"/>
                <w:szCs w:val="20"/>
              </w:rPr>
              <w:t>37.1</w:t>
            </w:r>
          </w:p>
        </w:tc>
        <w:tc>
          <w:tcPr>
            <w:tcW w:w="1645" w:type="dxa"/>
            <w:vAlign w:val="bottom"/>
          </w:tcPr>
          <w:p w14:paraId="218902B2" w14:textId="1C2238A4" w:rsidR="00BD0694" w:rsidRPr="00AB0382" w:rsidRDefault="00BD0694" w:rsidP="00BD0694">
            <w:pPr>
              <w:autoSpaceDE w:val="0"/>
              <w:autoSpaceDN w:val="0"/>
              <w:adjustRightInd w:val="0"/>
              <w:jc w:val="center"/>
              <w:rPr>
                <w:rFonts w:ascii="Arial Narrow" w:hAnsi="Arial Narrow" w:cs="Calibri"/>
                <w:color w:val="000000"/>
                <w:sz w:val="20"/>
                <w:szCs w:val="20"/>
              </w:rPr>
            </w:pPr>
            <w:r w:rsidRPr="00AB0382">
              <w:rPr>
                <w:rFonts w:ascii="Arial Narrow" w:hAnsi="Arial Narrow" w:cs="Calibri"/>
                <w:color w:val="000000"/>
                <w:sz w:val="20"/>
                <w:szCs w:val="20"/>
              </w:rPr>
              <w:t>61.</w:t>
            </w:r>
            <w:r w:rsidR="00AB0382" w:rsidRPr="00AB0382">
              <w:rPr>
                <w:rFonts w:ascii="Arial Narrow" w:hAnsi="Arial Narrow" w:cs="Calibri"/>
                <w:color w:val="000000"/>
                <w:sz w:val="20"/>
                <w:szCs w:val="20"/>
              </w:rPr>
              <w:t>5</w:t>
            </w:r>
            <w:r w:rsidRPr="00AB0382">
              <w:rPr>
                <w:rFonts w:ascii="Arial Narrow" w:hAnsi="Arial Narrow" w:cs="Calibri"/>
                <w:color w:val="000000"/>
                <w:sz w:val="20"/>
                <w:szCs w:val="20"/>
              </w:rPr>
              <w:t>8</w:t>
            </w:r>
          </w:p>
          <w:p w14:paraId="5587F7E6" w14:textId="3206C97F" w:rsidR="00AB0382" w:rsidRPr="00AB0382" w:rsidRDefault="00AB0382" w:rsidP="00BD0694">
            <w:pPr>
              <w:autoSpaceDE w:val="0"/>
              <w:autoSpaceDN w:val="0"/>
              <w:adjustRightInd w:val="0"/>
              <w:jc w:val="center"/>
              <w:rPr>
                <w:rFonts w:ascii="Arial Narrow" w:hAnsi="Arial Narrow" w:cs="Arial"/>
                <w:sz w:val="20"/>
                <w:szCs w:val="20"/>
              </w:rPr>
            </w:pPr>
            <w:r w:rsidRPr="00AB0382">
              <w:rPr>
                <w:rFonts w:ascii="Arial Narrow" w:hAnsi="Arial Narrow" w:cs="Arial"/>
                <w:sz w:val="20"/>
                <w:szCs w:val="20"/>
              </w:rPr>
              <w:t>(61.1-61.9)</w:t>
            </w:r>
          </w:p>
        </w:tc>
        <w:tc>
          <w:tcPr>
            <w:tcW w:w="1645" w:type="dxa"/>
            <w:shd w:val="clear" w:color="auto" w:fill="auto"/>
            <w:vAlign w:val="bottom"/>
          </w:tcPr>
          <w:p w14:paraId="2C89A896" w14:textId="77777777" w:rsidR="00BD0694" w:rsidRPr="00AB0382" w:rsidRDefault="00BD0694" w:rsidP="00BD0694">
            <w:pPr>
              <w:autoSpaceDE w:val="0"/>
              <w:autoSpaceDN w:val="0"/>
              <w:adjustRightInd w:val="0"/>
              <w:jc w:val="center"/>
              <w:rPr>
                <w:rFonts w:ascii="Arial Narrow" w:hAnsi="Arial Narrow" w:cs="Calibri"/>
                <w:color w:val="000000"/>
                <w:sz w:val="20"/>
                <w:szCs w:val="20"/>
              </w:rPr>
            </w:pPr>
            <w:r w:rsidRPr="00AB0382">
              <w:rPr>
                <w:rFonts w:ascii="Arial Narrow" w:hAnsi="Arial Narrow" w:cs="Calibri"/>
                <w:color w:val="000000"/>
                <w:sz w:val="20"/>
                <w:szCs w:val="20"/>
              </w:rPr>
              <w:t>44.48</w:t>
            </w:r>
          </w:p>
          <w:p w14:paraId="5C3E2724" w14:textId="089411CB" w:rsidR="00AB0382" w:rsidRPr="00AB0382" w:rsidRDefault="00AB0382" w:rsidP="00BD0694">
            <w:pPr>
              <w:autoSpaceDE w:val="0"/>
              <w:autoSpaceDN w:val="0"/>
              <w:adjustRightInd w:val="0"/>
              <w:jc w:val="center"/>
              <w:rPr>
                <w:rFonts w:ascii="Arial Narrow" w:hAnsi="Arial Narrow" w:cs="Arial"/>
                <w:sz w:val="20"/>
                <w:szCs w:val="20"/>
              </w:rPr>
            </w:pPr>
            <w:r w:rsidRPr="00AB0382">
              <w:rPr>
                <w:rFonts w:ascii="Arial Narrow" w:hAnsi="Arial Narrow" w:cs="Arial"/>
                <w:sz w:val="20"/>
                <w:szCs w:val="20"/>
              </w:rPr>
              <w:t>(31.3-53.7)</w:t>
            </w:r>
          </w:p>
        </w:tc>
      </w:tr>
      <w:tr w:rsidR="00BD0694" w:rsidRPr="0058312C" w14:paraId="1D36823E" w14:textId="77777777" w:rsidTr="004922CA">
        <w:trPr>
          <w:trHeight w:val="290"/>
        </w:trPr>
        <w:tc>
          <w:tcPr>
            <w:tcW w:w="1644" w:type="dxa"/>
            <w:vAlign w:val="center"/>
          </w:tcPr>
          <w:p w14:paraId="123F8425" w14:textId="77777777" w:rsidR="00BD0694" w:rsidRPr="0058312C" w:rsidRDefault="00BD0694" w:rsidP="00BD0694">
            <w:pPr>
              <w:autoSpaceDE w:val="0"/>
              <w:autoSpaceDN w:val="0"/>
              <w:adjustRightInd w:val="0"/>
              <w:jc w:val="center"/>
              <w:rPr>
                <w:rFonts w:ascii="Arial Narrow" w:hAnsi="Arial Narrow" w:cs="Arial"/>
                <w:sz w:val="20"/>
                <w:szCs w:val="20"/>
              </w:rPr>
            </w:pPr>
            <w:r w:rsidRPr="0058312C">
              <w:rPr>
                <w:rFonts w:ascii="Arial Narrow" w:hAnsi="Arial Narrow" w:cs="Arial"/>
                <w:sz w:val="20"/>
                <w:szCs w:val="20"/>
              </w:rPr>
              <w:t>Beryllium</w:t>
            </w:r>
            <w:r w:rsidRPr="0058312C">
              <w:rPr>
                <w:rFonts w:ascii="Arial Narrow" w:hAnsi="Arial Narrow" w:cs="Arial"/>
                <w:sz w:val="20"/>
                <w:szCs w:val="20"/>
                <w:vertAlign w:val="superscript"/>
              </w:rPr>
              <w:t>5</w:t>
            </w:r>
          </w:p>
        </w:tc>
        <w:tc>
          <w:tcPr>
            <w:tcW w:w="1645" w:type="dxa"/>
            <w:vAlign w:val="bottom"/>
          </w:tcPr>
          <w:p w14:paraId="29BD39F6" w14:textId="1EFCFD61" w:rsidR="00BD0694" w:rsidRPr="00AB0382" w:rsidRDefault="00BD0694" w:rsidP="00BD0694">
            <w:pPr>
              <w:autoSpaceDE w:val="0"/>
              <w:autoSpaceDN w:val="0"/>
              <w:adjustRightInd w:val="0"/>
              <w:jc w:val="center"/>
              <w:rPr>
                <w:rFonts w:ascii="Arial Narrow" w:hAnsi="Arial Narrow" w:cs="Arial"/>
                <w:sz w:val="20"/>
                <w:szCs w:val="20"/>
              </w:rPr>
            </w:pPr>
            <w:r w:rsidRPr="00AB0382">
              <w:rPr>
                <w:rFonts w:ascii="Arial Narrow" w:hAnsi="Arial Narrow" w:cs="Arial"/>
                <w:sz w:val="20"/>
                <w:szCs w:val="20"/>
              </w:rPr>
              <w:t>5.3</w:t>
            </w:r>
          </w:p>
        </w:tc>
        <w:tc>
          <w:tcPr>
            <w:tcW w:w="1644" w:type="dxa"/>
            <w:vAlign w:val="bottom"/>
          </w:tcPr>
          <w:p w14:paraId="5B6566E3" w14:textId="053A5A27" w:rsidR="00BD0694" w:rsidRPr="00AB0382" w:rsidRDefault="00BD0694" w:rsidP="00BD0694">
            <w:pPr>
              <w:autoSpaceDE w:val="0"/>
              <w:autoSpaceDN w:val="0"/>
              <w:adjustRightInd w:val="0"/>
              <w:jc w:val="center"/>
              <w:rPr>
                <w:rFonts w:ascii="Arial Narrow" w:hAnsi="Arial Narrow" w:cs="Arial"/>
                <w:sz w:val="20"/>
                <w:szCs w:val="20"/>
              </w:rPr>
            </w:pPr>
            <w:r w:rsidRPr="00AB0382">
              <w:rPr>
                <w:rFonts w:ascii="Arial Narrow" w:hAnsi="Arial Narrow" w:cs="Calibri"/>
                <w:color w:val="000000"/>
                <w:sz w:val="20"/>
                <w:szCs w:val="20"/>
              </w:rPr>
              <w:t>&lt;0.2</w:t>
            </w:r>
          </w:p>
        </w:tc>
        <w:tc>
          <w:tcPr>
            <w:tcW w:w="1645" w:type="dxa"/>
            <w:vAlign w:val="bottom"/>
          </w:tcPr>
          <w:p w14:paraId="5C28E81B" w14:textId="1CA22955" w:rsidR="00BD0694" w:rsidRPr="00AB0382" w:rsidRDefault="00BD0694" w:rsidP="00BD0694">
            <w:pPr>
              <w:autoSpaceDE w:val="0"/>
              <w:autoSpaceDN w:val="0"/>
              <w:adjustRightInd w:val="0"/>
              <w:jc w:val="center"/>
              <w:rPr>
                <w:rFonts w:ascii="Arial Narrow" w:hAnsi="Arial Narrow" w:cs="Arial"/>
                <w:sz w:val="20"/>
                <w:szCs w:val="20"/>
              </w:rPr>
            </w:pPr>
            <w:r w:rsidRPr="00AB0382">
              <w:rPr>
                <w:rFonts w:ascii="Arial Narrow" w:hAnsi="Arial Narrow" w:cs="Calibri"/>
                <w:color w:val="000000"/>
                <w:sz w:val="20"/>
                <w:szCs w:val="20"/>
              </w:rPr>
              <w:t>&lt;0.1</w:t>
            </w:r>
          </w:p>
        </w:tc>
        <w:tc>
          <w:tcPr>
            <w:tcW w:w="1645" w:type="dxa"/>
            <w:shd w:val="clear" w:color="auto" w:fill="auto"/>
            <w:vAlign w:val="bottom"/>
          </w:tcPr>
          <w:p w14:paraId="285D4540" w14:textId="057B0B21" w:rsidR="00BD0694" w:rsidRPr="00AB0382" w:rsidRDefault="00BD0694" w:rsidP="00BD0694">
            <w:pPr>
              <w:autoSpaceDE w:val="0"/>
              <w:autoSpaceDN w:val="0"/>
              <w:adjustRightInd w:val="0"/>
              <w:jc w:val="center"/>
              <w:rPr>
                <w:rFonts w:ascii="Arial Narrow" w:hAnsi="Arial Narrow" w:cs="Arial"/>
                <w:sz w:val="20"/>
                <w:szCs w:val="20"/>
              </w:rPr>
            </w:pPr>
            <w:r w:rsidRPr="00AB0382">
              <w:rPr>
                <w:rFonts w:ascii="Arial Narrow" w:hAnsi="Arial Narrow" w:cs="Calibri"/>
                <w:color w:val="000000"/>
                <w:sz w:val="20"/>
                <w:szCs w:val="20"/>
              </w:rPr>
              <w:t>&lt;0.1</w:t>
            </w:r>
          </w:p>
        </w:tc>
      </w:tr>
      <w:tr w:rsidR="00BD0694" w:rsidRPr="0058312C" w14:paraId="2FF4ECCD" w14:textId="77777777" w:rsidTr="004922CA">
        <w:trPr>
          <w:trHeight w:val="290"/>
        </w:trPr>
        <w:tc>
          <w:tcPr>
            <w:tcW w:w="1644" w:type="dxa"/>
            <w:vAlign w:val="center"/>
          </w:tcPr>
          <w:p w14:paraId="4F2F3DC5" w14:textId="77777777" w:rsidR="00BD0694" w:rsidRPr="0058312C" w:rsidRDefault="00BD0694" w:rsidP="00BD0694">
            <w:pPr>
              <w:autoSpaceDE w:val="0"/>
              <w:autoSpaceDN w:val="0"/>
              <w:adjustRightInd w:val="0"/>
              <w:jc w:val="center"/>
              <w:rPr>
                <w:rFonts w:ascii="Arial Narrow" w:hAnsi="Arial Narrow" w:cs="Arial"/>
                <w:sz w:val="20"/>
                <w:szCs w:val="20"/>
              </w:rPr>
            </w:pPr>
            <w:r w:rsidRPr="0058312C">
              <w:rPr>
                <w:rFonts w:ascii="Arial Narrow" w:hAnsi="Arial Narrow" w:cs="Arial"/>
                <w:sz w:val="20"/>
                <w:szCs w:val="20"/>
              </w:rPr>
              <w:t>Silver</w:t>
            </w:r>
            <w:r w:rsidRPr="0058312C">
              <w:rPr>
                <w:rFonts w:ascii="Arial Narrow" w:hAnsi="Arial Narrow" w:cs="Arial"/>
                <w:sz w:val="20"/>
                <w:szCs w:val="20"/>
                <w:vertAlign w:val="superscript"/>
              </w:rPr>
              <w:t>3</w:t>
            </w:r>
          </w:p>
        </w:tc>
        <w:tc>
          <w:tcPr>
            <w:tcW w:w="1645" w:type="dxa"/>
            <w:vAlign w:val="bottom"/>
          </w:tcPr>
          <w:p w14:paraId="62617FB6" w14:textId="778E68E2" w:rsidR="00BD0694" w:rsidRPr="00AB0382" w:rsidRDefault="00BD0694" w:rsidP="00BD0694">
            <w:pPr>
              <w:autoSpaceDE w:val="0"/>
              <w:autoSpaceDN w:val="0"/>
              <w:adjustRightInd w:val="0"/>
              <w:jc w:val="center"/>
              <w:rPr>
                <w:rFonts w:ascii="Arial Narrow" w:hAnsi="Arial Narrow" w:cs="Arial"/>
                <w:sz w:val="20"/>
                <w:szCs w:val="20"/>
              </w:rPr>
            </w:pPr>
            <w:r w:rsidRPr="00AB0382">
              <w:rPr>
                <w:rFonts w:ascii="Arial Narrow" w:hAnsi="Arial Narrow" w:cs="Arial"/>
                <w:sz w:val="20"/>
                <w:szCs w:val="20"/>
              </w:rPr>
              <w:t>0.12</w:t>
            </w:r>
          </w:p>
        </w:tc>
        <w:tc>
          <w:tcPr>
            <w:tcW w:w="1644" w:type="dxa"/>
            <w:vAlign w:val="bottom"/>
          </w:tcPr>
          <w:p w14:paraId="516D5E74" w14:textId="05A181CF" w:rsidR="00BD0694" w:rsidRPr="00AB0382" w:rsidRDefault="00BD0694" w:rsidP="00BD0694">
            <w:pPr>
              <w:autoSpaceDE w:val="0"/>
              <w:autoSpaceDN w:val="0"/>
              <w:adjustRightInd w:val="0"/>
              <w:jc w:val="center"/>
              <w:rPr>
                <w:rFonts w:ascii="Arial Narrow" w:hAnsi="Arial Narrow" w:cs="Arial"/>
                <w:sz w:val="20"/>
                <w:szCs w:val="20"/>
              </w:rPr>
            </w:pPr>
            <w:r w:rsidRPr="00AB0382">
              <w:rPr>
                <w:rFonts w:ascii="Arial Narrow" w:hAnsi="Arial Narrow" w:cs="Calibri"/>
                <w:color w:val="000000"/>
                <w:sz w:val="20"/>
                <w:szCs w:val="20"/>
              </w:rPr>
              <w:t>&lt;0.02</w:t>
            </w:r>
          </w:p>
        </w:tc>
        <w:tc>
          <w:tcPr>
            <w:tcW w:w="1645" w:type="dxa"/>
            <w:vAlign w:val="bottom"/>
          </w:tcPr>
          <w:p w14:paraId="6BCD7336" w14:textId="69C8AF01" w:rsidR="00BD0694" w:rsidRPr="00AB0382" w:rsidRDefault="00BD0694" w:rsidP="00BD0694">
            <w:pPr>
              <w:autoSpaceDE w:val="0"/>
              <w:autoSpaceDN w:val="0"/>
              <w:adjustRightInd w:val="0"/>
              <w:jc w:val="center"/>
              <w:rPr>
                <w:rFonts w:ascii="Arial Narrow" w:hAnsi="Arial Narrow" w:cs="Arial"/>
                <w:sz w:val="20"/>
                <w:szCs w:val="20"/>
              </w:rPr>
            </w:pPr>
            <w:r w:rsidRPr="00AB0382">
              <w:rPr>
                <w:rFonts w:ascii="Arial Narrow" w:hAnsi="Arial Narrow" w:cs="Calibri"/>
                <w:color w:val="000000"/>
                <w:sz w:val="20"/>
                <w:szCs w:val="20"/>
              </w:rPr>
              <w:t>&lt;0.02</w:t>
            </w:r>
          </w:p>
        </w:tc>
        <w:tc>
          <w:tcPr>
            <w:tcW w:w="1645" w:type="dxa"/>
            <w:shd w:val="clear" w:color="auto" w:fill="auto"/>
            <w:vAlign w:val="bottom"/>
          </w:tcPr>
          <w:p w14:paraId="703F4980" w14:textId="7CE3A6C8" w:rsidR="00BD0694" w:rsidRPr="00AB0382" w:rsidRDefault="00AB0382" w:rsidP="00BD0694">
            <w:pPr>
              <w:autoSpaceDE w:val="0"/>
              <w:autoSpaceDN w:val="0"/>
              <w:adjustRightInd w:val="0"/>
              <w:jc w:val="center"/>
              <w:rPr>
                <w:rFonts w:ascii="Arial Narrow" w:hAnsi="Arial Narrow" w:cs="Calibri"/>
                <w:color w:val="000000"/>
                <w:sz w:val="20"/>
                <w:szCs w:val="20"/>
              </w:rPr>
            </w:pPr>
            <w:r w:rsidRPr="00AB0382">
              <w:rPr>
                <w:rFonts w:ascii="Arial Narrow" w:hAnsi="Arial Narrow" w:cs="Calibri"/>
                <w:color w:val="000000"/>
                <w:sz w:val="20"/>
                <w:szCs w:val="20"/>
              </w:rPr>
              <w:t>&lt;0.1</w:t>
            </w:r>
          </w:p>
          <w:p w14:paraId="43C9CE1C" w14:textId="3E73F219" w:rsidR="00AB0382" w:rsidRPr="00AB0382" w:rsidRDefault="00AB0382" w:rsidP="00BD0694">
            <w:pPr>
              <w:autoSpaceDE w:val="0"/>
              <w:autoSpaceDN w:val="0"/>
              <w:adjustRightInd w:val="0"/>
              <w:jc w:val="center"/>
              <w:rPr>
                <w:rFonts w:ascii="Arial Narrow" w:hAnsi="Arial Narrow" w:cs="Arial"/>
                <w:sz w:val="20"/>
                <w:szCs w:val="20"/>
              </w:rPr>
            </w:pPr>
            <w:r w:rsidRPr="00AB0382">
              <w:rPr>
                <w:rFonts w:ascii="Arial Narrow" w:hAnsi="Arial Narrow" w:cs="Arial"/>
                <w:sz w:val="20"/>
                <w:szCs w:val="20"/>
              </w:rPr>
              <w:t>(&lt;0.006-&lt;0.1)</w:t>
            </w:r>
          </w:p>
        </w:tc>
      </w:tr>
      <w:tr w:rsidR="00BD0694" w:rsidRPr="0058312C" w14:paraId="5D9AA0C7" w14:textId="77777777" w:rsidTr="004922CA">
        <w:trPr>
          <w:trHeight w:val="290"/>
        </w:trPr>
        <w:tc>
          <w:tcPr>
            <w:tcW w:w="1644" w:type="dxa"/>
            <w:vAlign w:val="center"/>
          </w:tcPr>
          <w:p w14:paraId="622D4C23" w14:textId="77777777" w:rsidR="00BD0694" w:rsidRPr="0058312C" w:rsidRDefault="00BD0694" w:rsidP="00BD0694">
            <w:pPr>
              <w:autoSpaceDE w:val="0"/>
              <w:autoSpaceDN w:val="0"/>
              <w:adjustRightInd w:val="0"/>
              <w:jc w:val="center"/>
              <w:rPr>
                <w:rFonts w:ascii="Arial Narrow" w:hAnsi="Arial Narrow" w:cs="Arial"/>
                <w:sz w:val="20"/>
                <w:szCs w:val="20"/>
              </w:rPr>
            </w:pPr>
            <w:r w:rsidRPr="0058312C">
              <w:rPr>
                <w:rFonts w:ascii="Arial Narrow" w:hAnsi="Arial Narrow" w:cs="Arial"/>
                <w:sz w:val="20"/>
                <w:szCs w:val="20"/>
              </w:rPr>
              <w:t>Thallium</w:t>
            </w:r>
            <w:r w:rsidRPr="0058312C">
              <w:rPr>
                <w:rFonts w:ascii="Arial Narrow" w:hAnsi="Arial Narrow" w:cs="Arial"/>
                <w:sz w:val="20"/>
                <w:szCs w:val="20"/>
                <w:vertAlign w:val="superscript"/>
              </w:rPr>
              <w:t>3</w:t>
            </w:r>
          </w:p>
        </w:tc>
        <w:tc>
          <w:tcPr>
            <w:tcW w:w="1645" w:type="dxa"/>
            <w:vAlign w:val="bottom"/>
          </w:tcPr>
          <w:p w14:paraId="7ECEC87B" w14:textId="75BECFB0" w:rsidR="00BD0694" w:rsidRPr="00AB0382" w:rsidRDefault="00BD0694" w:rsidP="00BD0694">
            <w:pPr>
              <w:autoSpaceDE w:val="0"/>
              <w:autoSpaceDN w:val="0"/>
              <w:adjustRightInd w:val="0"/>
              <w:jc w:val="center"/>
              <w:rPr>
                <w:rFonts w:ascii="Arial Narrow" w:hAnsi="Arial Narrow" w:cs="Arial"/>
                <w:sz w:val="20"/>
                <w:szCs w:val="20"/>
              </w:rPr>
            </w:pPr>
            <w:r w:rsidRPr="00AB0382">
              <w:rPr>
                <w:rFonts w:ascii="Arial Narrow" w:hAnsi="Arial Narrow" w:cs="Arial"/>
                <w:sz w:val="20"/>
                <w:szCs w:val="20"/>
              </w:rPr>
              <w:t>40</w:t>
            </w:r>
          </w:p>
        </w:tc>
        <w:tc>
          <w:tcPr>
            <w:tcW w:w="1644" w:type="dxa"/>
            <w:vAlign w:val="bottom"/>
          </w:tcPr>
          <w:p w14:paraId="5DEE1ADB" w14:textId="5E136324" w:rsidR="00BD0694" w:rsidRPr="00AB0382" w:rsidRDefault="00BD0694" w:rsidP="00BD0694">
            <w:pPr>
              <w:autoSpaceDE w:val="0"/>
              <w:autoSpaceDN w:val="0"/>
              <w:adjustRightInd w:val="0"/>
              <w:jc w:val="center"/>
              <w:rPr>
                <w:rFonts w:ascii="Arial Narrow" w:hAnsi="Arial Narrow" w:cs="Arial"/>
                <w:sz w:val="20"/>
                <w:szCs w:val="20"/>
              </w:rPr>
            </w:pPr>
            <w:r w:rsidRPr="00AB0382">
              <w:rPr>
                <w:rFonts w:ascii="Arial Narrow" w:hAnsi="Arial Narrow" w:cs="Calibri"/>
                <w:color w:val="000000"/>
                <w:sz w:val="20"/>
                <w:szCs w:val="20"/>
              </w:rPr>
              <w:t>&lt;0.02</w:t>
            </w:r>
          </w:p>
        </w:tc>
        <w:tc>
          <w:tcPr>
            <w:tcW w:w="1645" w:type="dxa"/>
            <w:vAlign w:val="bottom"/>
          </w:tcPr>
          <w:p w14:paraId="12892D49" w14:textId="4DCBA691" w:rsidR="00BD0694" w:rsidRPr="00AB0382" w:rsidRDefault="00BD0694" w:rsidP="00BD0694">
            <w:pPr>
              <w:autoSpaceDE w:val="0"/>
              <w:autoSpaceDN w:val="0"/>
              <w:adjustRightInd w:val="0"/>
              <w:jc w:val="center"/>
              <w:rPr>
                <w:rFonts w:ascii="Arial Narrow" w:hAnsi="Arial Narrow" w:cs="Arial"/>
                <w:sz w:val="20"/>
                <w:szCs w:val="20"/>
              </w:rPr>
            </w:pPr>
            <w:r w:rsidRPr="00AB0382">
              <w:rPr>
                <w:rFonts w:ascii="Arial Narrow" w:hAnsi="Arial Narrow" w:cs="Calibri"/>
                <w:color w:val="000000"/>
                <w:sz w:val="20"/>
                <w:szCs w:val="20"/>
              </w:rPr>
              <w:t>&lt;0.01</w:t>
            </w:r>
          </w:p>
        </w:tc>
        <w:tc>
          <w:tcPr>
            <w:tcW w:w="1645" w:type="dxa"/>
            <w:shd w:val="clear" w:color="auto" w:fill="auto"/>
            <w:vAlign w:val="bottom"/>
          </w:tcPr>
          <w:p w14:paraId="5449A2A4" w14:textId="1246E0AD" w:rsidR="00BD0694" w:rsidRPr="00AB0382" w:rsidRDefault="00AB0382" w:rsidP="00BD0694">
            <w:pPr>
              <w:autoSpaceDE w:val="0"/>
              <w:autoSpaceDN w:val="0"/>
              <w:adjustRightInd w:val="0"/>
              <w:jc w:val="center"/>
              <w:rPr>
                <w:rFonts w:ascii="Arial Narrow" w:hAnsi="Arial Narrow" w:cs="Calibri"/>
                <w:color w:val="000000"/>
                <w:sz w:val="20"/>
                <w:szCs w:val="20"/>
              </w:rPr>
            </w:pPr>
            <w:r w:rsidRPr="00AB0382">
              <w:rPr>
                <w:rFonts w:ascii="Arial Narrow" w:hAnsi="Arial Narrow" w:cs="Calibri"/>
                <w:color w:val="000000"/>
                <w:sz w:val="20"/>
                <w:szCs w:val="20"/>
              </w:rPr>
              <w:t>&lt;0.2</w:t>
            </w:r>
          </w:p>
          <w:p w14:paraId="339B084F" w14:textId="7E83F8D0" w:rsidR="00AB0382" w:rsidRPr="00AB0382" w:rsidRDefault="00AB0382" w:rsidP="00BD0694">
            <w:pPr>
              <w:autoSpaceDE w:val="0"/>
              <w:autoSpaceDN w:val="0"/>
              <w:adjustRightInd w:val="0"/>
              <w:jc w:val="center"/>
              <w:rPr>
                <w:rFonts w:ascii="Arial Narrow" w:hAnsi="Arial Narrow" w:cs="Arial"/>
                <w:sz w:val="20"/>
                <w:szCs w:val="20"/>
              </w:rPr>
            </w:pPr>
            <w:r w:rsidRPr="00AB0382">
              <w:rPr>
                <w:rFonts w:ascii="Arial Narrow" w:hAnsi="Arial Narrow" w:cs="Arial"/>
                <w:sz w:val="20"/>
                <w:szCs w:val="20"/>
              </w:rPr>
              <w:t>(&lt;0.01-&lt;0.2)</w:t>
            </w:r>
          </w:p>
        </w:tc>
      </w:tr>
    </w:tbl>
    <w:p w14:paraId="42A349B1" w14:textId="2C69C960" w:rsidR="00762984" w:rsidRPr="0042789F" w:rsidRDefault="00762984" w:rsidP="00762984">
      <w:pPr>
        <w:pStyle w:val="BlockText"/>
        <w:spacing w:before="0" w:after="0" w:line="240" w:lineRule="auto"/>
        <w:rPr>
          <w:rFonts w:ascii="Arial Narrow" w:hAnsi="Arial Narrow"/>
          <w:sz w:val="20"/>
          <w:szCs w:val="20"/>
        </w:rPr>
      </w:pPr>
      <w:r w:rsidRPr="0042789F">
        <w:rPr>
          <w:rFonts w:ascii="Arial Narrow" w:hAnsi="Arial Narrow"/>
          <w:sz w:val="20"/>
          <w:szCs w:val="20"/>
          <w:vertAlign w:val="superscript"/>
        </w:rPr>
        <w:t>1</w:t>
      </w:r>
      <w:r w:rsidRPr="0042789F">
        <w:rPr>
          <w:rFonts w:ascii="Arial Narrow" w:hAnsi="Arial Narrow"/>
          <w:sz w:val="20"/>
          <w:szCs w:val="20"/>
        </w:rPr>
        <w:t xml:space="preserve"> </w:t>
      </w:r>
      <w:bookmarkStart w:id="155" w:name="_Hlk106970850"/>
      <w:r w:rsidR="004D5D4D">
        <w:rPr>
          <w:rFonts w:ascii="Arial Narrow" w:hAnsi="Arial Narrow"/>
          <w:sz w:val="20"/>
          <w:szCs w:val="20"/>
        </w:rPr>
        <w:t>Toxicity reference values were based on literature values from the references below</w:t>
      </w:r>
      <w:bookmarkEnd w:id="155"/>
      <w:r w:rsidRPr="0042789F">
        <w:rPr>
          <w:rFonts w:ascii="Arial Narrow" w:hAnsi="Arial Narrow"/>
          <w:sz w:val="20"/>
          <w:szCs w:val="20"/>
        </w:rPr>
        <w:t>.</w:t>
      </w:r>
    </w:p>
    <w:p w14:paraId="7215B065" w14:textId="23FD8435" w:rsidR="00762984" w:rsidRPr="0042789F" w:rsidRDefault="00762984" w:rsidP="00762984">
      <w:pPr>
        <w:pStyle w:val="BlockText"/>
        <w:spacing w:before="0" w:after="0" w:line="240" w:lineRule="auto"/>
        <w:rPr>
          <w:rFonts w:ascii="Arial Narrow" w:hAnsi="Arial Narrow"/>
          <w:sz w:val="20"/>
          <w:szCs w:val="20"/>
        </w:rPr>
      </w:pPr>
      <w:r w:rsidRPr="0042789F">
        <w:rPr>
          <w:rFonts w:ascii="Arial Narrow" w:hAnsi="Arial Narrow"/>
          <w:sz w:val="20"/>
          <w:szCs w:val="20"/>
          <w:vertAlign w:val="superscript"/>
        </w:rPr>
        <w:t>2</w:t>
      </w:r>
      <w:r w:rsidRPr="0042789F">
        <w:rPr>
          <w:rFonts w:ascii="Arial Narrow" w:hAnsi="Arial Narrow"/>
          <w:sz w:val="20"/>
          <w:szCs w:val="20"/>
        </w:rPr>
        <w:t xml:space="preserve"> Toxicity reference value was based on pH, hardness, and dissolved organic carbon as specified in USEPA, 2018</w:t>
      </w:r>
      <w:r w:rsidR="004A4F53" w:rsidRPr="0042789F">
        <w:rPr>
          <w:rFonts w:ascii="Arial Narrow" w:hAnsi="Arial Narrow"/>
          <w:sz w:val="20"/>
          <w:szCs w:val="20"/>
        </w:rPr>
        <w:t>b</w:t>
      </w:r>
      <w:r w:rsidRPr="0042789F">
        <w:rPr>
          <w:rFonts w:ascii="Arial Narrow" w:hAnsi="Arial Narrow"/>
          <w:sz w:val="20"/>
          <w:szCs w:val="20"/>
        </w:rPr>
        <w:t>.</w:t>
      </w:r>
    </w:p>
    <w:p w14:paraId="73F2227C" w14:textId="77777777" w:rsidR="00762984" w:rsidRPr="0042789F" w:rsidRDefault="00762984" w:rsidP="00762984">
      <w:pPr>
        <w:pStyle w:val="BlockText"/>
        <w:spacing w:before="0" w:after="0" w:line="240" w:lineRule="auto"/>
        <w:rPr>
          <w:rFonts w:ascii="Arial Narrow" w:hAnsi="Arial Narrow"/>
          <w:sz w:val="20"/>
          <w:szCs w:val="20"/>
        </w:rPr>
      </w:pPr>
      <w:r w:rsidRPr="0042789F">
        <w:rPr>
          <w:rFonts w:ascii="Arial Narrow" w:hAnsi="Arial Narrow"/>
          <w:sz w:val="20"/>
          <w:szCs w:val="20"/>
          <w:vertAlign w:val="superscript"/>
        </w:rPr>
        <w:t>3</w:t>
      </w:r>
      <w:r w:rsidRPr="0042789F">
        <w:rPr>
          <w:rFonts w:ascii="Arial Narrow" w:hAnsi="Arial Narrow"/>
          <w:sz w:val="20"/>
          <w:szCs w:val="20"/>
        </w:rPr>
        <w:t xml:space="preserve"> Toxicity reference value from USEPA, 1987.</w:t>
      </w:r>
    </w:p>
    <w:p w14:paraId="0DDCF8CC" w14:textId="08C08047" w:rsidR="00762984" w:rsidRPr="0042789F" w:rsidRDefault="00762984" w:rsidP="00762984">
      <w:pPr>
        <w:pStyle w:val="BlockText"/>
        <w:spacing w:before="0" w:after="0" w:line="240" w:lineRule="auto"/>
        <w:rPr>
          <w:rFonts w:ascii="Arial Narrow" w:hAnsi="Arial Narrow"/>
          <w:sz w:val="20"/>
          <w:szCs w:val="20"/>
        </w:rPr>
      </w:pPr>
      <w:r w:rsidRPr="0042789F">
        <w:rPr>
          <w:rFonts w:ascii="Arial Narrow" w:hAnsi="Arial Narrow"/>
          <w:sz w:val="20"/>
          <w:szCs w:val="20"/>
          <w:vertAlign w:val="superscript"/>
        </w:rPr>
        <w:t>4</w:t>
      </w:r>
      <w:r w:rsidRPr="0042789F">
        <w:rPr>
          <w:rFonts w:ascii="Arial Narrow" w:hAnsi="Arial Narrow"/>
          <w:sz w:val="20"/>
          <w:szCs w:val="20"/>
        </w:rPr>
        <w:t xml:space="preserve"> Toxicity reference value from Golding et al</w:t>
      </w:r>
      <w:r w:rsidR="008377A2" w:rsidRPr="0042789F">
        <w:rPr>
          <w:rFonts w:ascii="Arial Narrow" w:hAnsi="Arial Narrow"/>
          <w:sz w:val="20"/>
          <w:szCs w:val="20"/>
        </w:rPr>
        <w:t>.</w:t>
      </w:r>
      <w:r w:rsidRPr="0042789F">
        <w:rPr>
          <w:rFonts w:ascii="Arial Narrow" w:hAnsi="Arial Narrow"/>
          <w:sz w:val="20"/>
          <w:szCs w:val="20"/>
        </w:rPr>
        <w:t>, 2018.</w:t>
      </w:r>
    </w:p>
    <w:p w14:paraId="5875319E" w14:textId="56DBBEF9" w:rsidR="001E71CA" w:rsidRPr="0042789F" w:rsidRDefault="00762984" w:rsidP="00580C74">
      <w:pPr>
        <w:pStyle w:val="BlockText"/>
        <w:spacing w:before="0" w:after="0" w:line="240" w:lineRule="auto"/>
      </w:pPr>
      <w:r w:rsidRPr="0042789F">
        <w:rPr>
          <w:rFonts w:ascii="Arial Narrow" w:hAnsi="Arial Narrow"/>
          <w:sz w:val="20"/>
          <w:szCs w:val="20"/>
          <w:vertAlign w:val="superscript"/>
        </w:rPr>
        <w:t>5</w:t>
      </w:r>
      <w:r w:rsidRPr="0042789F">
        <w:rPr>
          <w:rFonts w:ascii="Arial Narrow" w:hAnsi="Arial Narrow"/>
          <w:sz w:val="20"/>
          <w:szCs w:val="20"/>
        </w:rPr>
        <w:t xml:space="preserve"> Toxicity reference value from USEPA, 1980.</w:t>
      </w:r>
    </w:p>
    <w:p w14:paraId="135D5DD7" w14:textId="77777777" w:rsidR="005076EF" w:rsidRPr="0042789F" w:rsidRDefault="005076EF" w:rsidP="001E035C">
      <w:pPr>
        <w:pStyle w:val="BlockText"/>
      </w:pPr>
    </w:p>
    <w:p w14:paraId="4DFB1F19" w14:textId="6BD2F430" w:rsidR="005654F8" w:rsidRPr="0042789F" w:rsidRDefault="005654F8" w:rsidP="005654F8">
      <w:pPr>
        <w:pStyle w:val="Caption"/>
      </w:pPr>
      <w:bookmarkStart w:id="156" w:name="_Ref42794945"/>
      <w:bookmarkStart w:id="157" w:name="_Toc162948280"/>
      <w:r w:rsidRPr="0042789F">
        <w:t xml:space="preserve">Table </w:t>
      </w:r>
      <w:r w:rsidR="00170652" w:rsidRPr="0042789F">
        <w:rPr>
          <w:noProof/>
        </w:rPr>
        <w:fldChar w:fldCharType="begin"/>
      </w:r>
      <w:r w:rsidR="00170652" w:rsidRPr="0042789F">
        <w:rPr>
          <w:noProof/>
        </w:rPr>
        <w:instrText xml:space="preserve"> SEQ Table \* ARABIC </w:instrText>
      </w:r>
      <w:r w:rsidR="00170652" w:rsidRPr="0042789F">
        <w:rPr>
          <w:noProof/>
        </w:rPr>
        <w:fldChar w:fldCharType="separate"/>
      </w:r>
      <w:r w:rsidR="004A78BF">
        <w:rPr>
          <w:noProof/>
        </w:rPr>
        <w:t>13</w:t>
      </w:r>
      <w:r w:rsidR="00170652" w:rsidRPr="0042789F">
        <w:rPr>
          <w:noProof/>
        </w:rPr>
        <w:fldChar w:fldCharType="end"/>
      </w:r>
      <w:bookmarkEnd w:id="156"/>
      <w:r w:rsidRPr="0042789F">
        <w:t xml:space="preserve">. Cumulative criterion units and toxicity reference value index scores for dissolved metals in </w:t>
      </w:r>
      <w:r w:rsidR="00C9297B">
        <w:t>Roanoke River Project streams and tributaries.</w:t>
      </w:r>
      <w:bookmarkEnd w:id="157"/>
    </w:p>
    <w:tbl>
      <w:tblPr>
        <w:tblW w:w="9393"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1"/>
        <w:gridCol w:w="1871"/>
        <w:gridCol w:w="1871"/>
        <w:gridCol w:w="1260"/>
        <w:gridCol w:w="1260"/>
        <w:gridCol w:w="1260"/>
      </w:tblGrid>
      <w:tr w:rsidR="00C9297B" w:rsidRPr="00C9297B" w14:paraId="640B6B79" w14:textId="77777777" w:rsidTr="004922CA">
        <w:trPr>
          <w:trHeight w:val="732"/>
        </w:trPr>
        <w:tc>
          <w:tcPr>
            <w:tcW w:w="1871" w:type="dxa"/>
            <w:shd w:val="clear" w:color="auto" w:fill="D9D9D9" w:themeFill="background1" w:themeFillShade="D9"/>
            <w:vAlign w:val="center"/>
          </w:tcPr>
          <w:p w14:paraId="13E39A66" w14:textId="40B6BF93" w:rsidR="00C9297B" w:rsidRPr="00C9297B" w:rsidRDefault="00C9297B" w:rsidP="00C9297B">
            <w:pPr>
              <w:autoSpaceDE w:val="0"/>
              <w:autoSpaceDN w:val="0"/>
              <w:adjustRightInd w:val="0"/>
              <w:jc w:val="center"/>
              <w:rPr>
                <w:rFonts w:ascii="Arial Narrow" w:hAnsi="Arial Narrow" w:cs="Calibri"/>
                <w:b/>
                <w:bCs/>
                <w:color w:val="000000"/>
                <w:sz w:val="20"/>
                <w:szCs w:val="20"/>
              </w:rPr>
            </w:pPr>
            <w:r w:rsidRPr="00C9297B">
              <w:rPr>
                <w:rFonts w:ascii="Arial Narrow" w:hAnsi="Arial Narrow" w:cs="Calibri"/>
                <w:b/>
                <w:bCs/>
                <w:color w:val="000000"/>
                <w:sz w:val="20"/>
                <w:szCs w:val="20"/>
              </w:rPr>
              <w:t>Watershed</w:t>
            </w:r>
          </w:p>
        </w:tc>
        <w:tc>
          <w:tcPr>
            <w:tcW w:w="1871" w:type="dxa"/>
            <w:shd w:val="clear" w:color="auto" w:fill="D9D9D9" w:themeFill="background1" w:themeFillShade="D9"/>
            <w:vAlign w:val="center"/>
          </w:tcPr>
          <w:p w14:paraId="0F5A95C0" w14:textId="1ED77C00" w:rsidR="00C9297B" w:rsidRPr="00C9297B" w:rsidRDefault="00C9297B" w:rsidP="00C9297B">
            <w:pPr>
              <w:autoSpaceDE w:val="0"/>
              <w:autoSpaceDN w:val="0"/>
              <w:adjustRightInd w:val="0"/>
              <w:jc w:val="center"/>
              <w:rPr>
                <w:rFonts w:ascii="Arial Narrow" w:hAnsi="Arial Narrow" w:cs="Calibri"/>
                <w:b/>
                <w:bCs/>
                <w:color w:val="000000"/>
                <w:sz w:val="20"/>
                <w:szCs w:val="20"/>
              </w:rPr>
            </w:pPr>
            <w:r w:rsidRPr="00C9297B">
              <w:rPr>
                <w:rFonts w:ascii="Arial Narrow" w:hAnsi="Arial Narrow" w:cs="Calibri"/>
                <w:b/>
                <w:bCs/>
                <w:color w:val="000000"/>
                <w:sz w:val="20"/>
                <w:szCs w:val="20"/>
              </w:rPr>
              <w:t>Stream</w:t>
            </w:r>
          </w:p>
        </w:tc>
        <w:tc>
          <w:tcPr>
            <w:tcW w:w="1871" w:type="dxa"/>
            <w:shd w:val="clear" w:color="auto" w:fill="D9D9D9" w:themeFill="background1" w:themeFillShade="D9"/>
            <w:vAlign w:val="center"/>
          </w:tcPr>
          <w:p w14:paraId="1DA70469" w14:textId="27E17537" w:rsidR="00C9297B" w:rsidRPr="00C9297B" w:rsidRDefault="00C9297B" w:rsidP="00C9297B">
            <w:pPr>
              <w:autoSpaceDE w:val="0"/>
              <w:autoSpaceDN w:val="0"/>
              <w:adjustRightInd w:val="0"/>
              <w:jc w:val="center"/>
              <w:rPr>
                <w:rFonts w:ascii="Arial Narrow" w:hAnsi="Arial Narrow" w:cs="Calibri"/>
                <w:b/>
                <w:bCs/>
                <w:color w:val="000000"/>
                <w:sz w:val="20"/>
                <w:szCs w:val="20"/>
              </w:rPr>
            </w:pPr>
            <w:r w:rsidRPr="00C9297B">
              <w:rPr>
                <w:rFonts w:ascii="Arial Narrow" w:hAnsi="Arial Narrow" w:cs="Calibri"/>
                <w:b/>
                <w:bCs/>
                <w:color w:val="000000"/>
                <w:sz w:val="20"/>
                <w:szCs w:val="20"/>
              </w:rPr>
              <w:t>Station</w:t>
            </w:r>
          </w:p>
        </w:tc>
        <w:tc>
          <w:tcPr>
            <w:tcW w:w="1260" w:type="dxa"/>
            <w:shd w:val="clear" w:color="auto" w:fill="D9D9D9" w:themeFill="background1" w:themeFillShade="D9"/>
            <w:vAlign w:val="center"/>
          </w:tcPr>
          <w:p w14:paraId="2B610351" w14:textId="77777777" w:rsidR="00C9297B" w:rsidRPr="00C9297B" w:rsidRDefault="00C9297B" w:rsidP="00C9297B">
            <w:pPr>
              <w:autoSpaceDE w:val="0"/>
              <w:autoSpaceDN w:val="0"/>
              <w:adjustRightInd w:val="0"/>
              <w:jc w:val="center"/>
              <w:rPr>
                <w:rFonts w:ascii="Arial Narrow" w:hAnsi="Arial Narrow" w:cs="Calibri"/>
                <w:b/>
                <w:bCs/>
                <w:color w:val="000000"/>
                <w:sz w:val="20"/>
                <w:szCs w:val="20"/>
              </w:rPr>
            </w:pPr>
            <w:r w:rsidRPr="00C9297B">
              <w:rPr>
                <w:rFonts w:ascii="Arial Narrow" w:hAnsi="Arial Narrow" w:cs="Calibri"/>
                <w:b/>
                <w:bCs/>
                <w:color w:val="000000"/>
                <w:sz w:val="20"/>
                <w:szCs w:val="20"/>
              </w:rPr>
              <w:t>Date</w:t>
            </w:r>
          </w:p>
        </w:tc>
        <w:tc>
          <w:tcPr>
            <w:tcW w:w="1260" w:type="dxa"/>
            <w:shd w:val="clear" w:color="auto" w:fill="D9D9D9" w:themeFill="background1" w:themeFillShade="D9"/>
            <w:vAlign w:val="center"/>
          </w:tcPr>
          <w:p w14:paraId="43C905BB" w14:textId="77777777" w:rsidR="00C9297B" w:rsidRPr="00C9297B" w:rsidRDefault="00C9297B" w:rsidP="00C9297B">
            <w:pPr>
              <w:autoSpaceDE w:val="0"/>
              <w:autoSpaceDN w:val="0"/>
              <w:adjustRightInd w:val="0"/>
              <w:jc w:val="center"/>
              <w:rPr>
                <w:rFonts w:ascii="Arial Narrow" w:hAnsi="Arial Narrow" w:cs="Calibri"/>
                <w:b/>
                <w:bCs/>
                <w:color w:val="000000"/>
                <w:sz w:val="20"/>
                <w:szCs w:val="20"/>
              </w:rPr>
            </w:pPr>
            <w:r w:rsidRPr="00C9297B">
              <w:rPr>
                <w:rFonts w:ascii="Arial Narrow" w:hAnsi="Arial Narrow" w:cs="Calibri"/>
                <w:b/>
                <w:bCs/>
                <w:color w:val="000000"/>
                <w:sz w:val="20"/>
                <w:szCs w:val="20"/>
              </w:rPr>
              <w:t>CCU</w:t>
            </w:r>
            <w:r w:rsidRPr="00C9297B">
              <w:rPr>
                <w:rFonts w:ascii="Arial Narrow" w:hAnsi="Arial Narrow" w:cs="Calibri"/>
                <w:b/>
                <w:bCs/>
                <w:color w:val="000000"/>
                <w:sz w:val="20"/>
                <w:szCs w:val="20"/>
                <w:vertAlign w:val="superscript"/>
              </w:rPr>
              <w:t>1</w:t>
            </w:r>
          </w:p>
        </w:tc>
        <w:tc>
          <w:tcPr>
            <w:tcW w:w="1260" w:type="dxa"/>
            <w:shd w:val="clear" w:color="auto" w:fill="D9D9D9" w:themeFill="background1" w:themeFillShade="D9"/>
            <w:vAlign w:val="center"/>
          </w:tcPr>
          <w:p w14:paraId="11ED9F78" w14:textId="77777777" w:rsidR="00C9297B" w:rsidRPr="00C9297B" w:rsidRDefault="00C9297B" w:rsidP="00C9297B">
            <w:pPr>
              <w:autoSpaceDE w:val="0"/>
              <w:autoSpaceDN w:val="0"/>
              <w:adjustRightInd w:val="0"/>
              <w:jc w:val="center"/>
              <w:rPr>
                <w:rFonts w:ascii="Arial Narrow" w:hAnsi="Arial Narrow" w:cs="Calibri"/>
                <w:b/>
                <w:bCs/>
                <w:color w:val="000000"/>
                <w:sz w:val="20"/>
                <w:szCs w:val="20"/>
              </w:rPr>
            </w:pPr>
            <w:r w:rsidRPr="00C9297B">
              <w:rPr>
                <w:rFonts w:ascii="Arial Narrow" w:hAnsi="Arial Narrow" w:cs="Calibri"/>
                <w:b/>
                <w:bCs/>
                <w:color w:val="000000"/>
                <w:sz w:val="20"/>
                <w:szCs w:val="20"/>
              </w:rPr>
              <w:t>TRV Index</w:t>
            </w:r>
            <w:r w:rsidRPr="00C9297B">
              <w:rPr>
                <w:rFonts w:ascii="Arial Narrow" w:hAnsi="Arial Narrow" w:cs="Calibri"/>
                <w:b/>
                <w:bCs/>
                <w:color w:val="000000"/>
                <w:sz w:val="20"/>
                <w:szCs w:val="20"/>
                <w:vertAlign w:val="superscript"/>
              </w:rPr>
              <w:t>2</w:t>
            </w:r>
          </w:p>
        </w:tc>
      </w:tr>
      <w:tr w:rsidR="00C9297B" w:rsidRPr="00C9297B" w14:paraId="09DA9E49" w14:textId="77777777" w:rsidTr="004922CA">
        <w:trPr>
          <w:trHeight w:val="290"/>
        </w:trPr>
        <w:tc>
          <w:tcPr>
            <w:tcW w:w="1871" w:type="dxa"/>
            <w:vAlign w:val="bottom"/>
          </w:tcPr>
          <w:p w14:paraId="2526F998" w14:textId="506E0601" w:rsidR="00C9297B" w:rsidRPr="00C9297B" w:rsidRDefault="00C9297B" w:rsidP="00C9297B">
            <w:pPr>
              <w:autoSpaceDE w:val="0"/>
              <w:autoSpaceDN w:val="0"/>
              <w:adjustRightInd w:val="0"/>
              <w:jc w:val="center"/>
              <w:rPr>
                <w:rFonts w:ascii="Arial Narrow" w:hAnsi="Arial Narrow" w:cs="Calibri"/>
                <w:color w:val="000000"/>
                <w:sz w:val="20"/>
                <w:szCs w:val="20"/>
              </w:rPr>
            </w:pPr>
            <w:r w:rsidRPr="00C9297B">
              <w:rPr>
                <w:rFonts w:ascii="Arial Narrow" w:hAnsi="Arial Narrow" w:cs="Calibri"/>
                <w:color w:val="000000"/>
                <w:sz w:val="20"/>
                <w:szCs w:val="20"/>
              </w:rPr>
              <w:t>Wolf Creek</w:t>
            </w:r>
          </w:p>
        </w:tc>
        <w:tc>
          <w:tcPr>
            <w:tcW w:w="1871" w:type="dxa"/>
            <w:vAlign w:val="bottom"/>
          </w:tcPr>
          <w:p w14:paraId="3C309E3D" w14:textId="27E94176"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Wolf Creek</w:t>
            </w:r>
          </w:p>
        </w:tc>
        <w:tc>
          <w:tcPr>
            <w:tcW w:w="1871" w:type="dxa"/>
            <w:vAlign w:val="bottom"/>
          </w:tcPr>
          <w:p w14:paraId="634200A0" w14:textId="0482859B" w:rsidR="00C9297B" w:rsidRPr="00C9297B" w:rsidRDefault="00C9297B" w:rsidP="00C9297B">
            <w:pPr>
              <w:autoSpaceDE w:val="0"/>
              <w:autoSpaceDN w:val="0"/>
              <w:adjustRightInd w:val="0"/>
              <w:jc w:val="center"/>
              <w:rPr>
                <w:rFonts w:ascii="Arial Narrow" w:hAnsi="Arial Narrow" w:cs="Calibri"/>
                <w:color w:val="000000"/>
                <w:sz w:val="20"/>
                <w:szCs w:val="20"/>
              </w:rPr>
            </w:pPr>
            <w:r w:rsidRPr="00C9297B">
              <w:rPr>
                <w:rFonts w:ascii="Arial Narrow" w:hAnsi="Arial Narrow" w:cs="Calibri"/>
                <w:color w:val="000000"/>
                <w:sz w:val="20"/>
                <w:szCs w:val="20"/>
              </w:rPr>
              <w:t>4AWOR000.34</w:t>
            </w:r>
          </w:p>
        </w:tc>
        <w:tc>
          <w:tcPr>
            <w:tcW w:w="1260" w:type="dxa"/>
            <w:vAlign w:val="bottom"/>
          </w:tcPr>
          <w:p w14:paraId="761EF41B" w14:textId="6F4228FB" w:rsidR="00C9297B" w:rsidRPr="00C9297B" w:rsidRDefault="00C9297B" w:rsidP="00C9297B">
            <w:pPr>
              <w:autoSpaceDE w:val="0"/>
              <w:autoSpaceDN w:val="0"/>
              <w:adjustRightInd w:val="0"/>
              <w:jc w:val="center"/>
              <w:rPr>
                <w:rFonts w:ascii="Arial Narrow" w:hAnsi="Arial Narrow" w:cs="Calibri"/>
                <w:color w:val="000000"/>
                <w:sz w:val="20"/>
                <w:szCs w:val="20"/>
              </w:rPr>
            </w:pPr>
            <w:r w:rsidRPr="00C9297B">
              <w:rPr>
                <w:rFonts w:ascii="Arial Narrow" w:hAnsi="Arial Narrow" w:cs="Calibri"/>
                <w:color w:val="000000"/>
                <w:sz w:val="20"/>
                <w:szCs w:val="20"/>
              </w:rPr>
              <w:t>5/9/2017</w:t>
            </w:r>
          </w:p>
        </w:tc>
        <w:tc>
          <w:tcPr>
            <w:tcW w:w="1260" w:type="dxa"/>
            <w:shd w:val="clear" w:color="auto" w:fill="C2D3EA"/>
            <w:vAlign w:val="bottom"/>
          </w:tcPr>
          <w:p w14:paraId="1C87A4ED" w14:textId="07FBB319" w:rsidR="00C9297B" w:rsidRPr="00C9297B" w:rsidRDefault="00C9297B" w:rsidP="00C9297B">
            <w:pPr>
              <w:autoSpaceDE w:val="0"/>
              <w:autoSpaceDN w:val="0"/>
              <w:adjustRightInd w:val="0"/>
              <w:jc w:val="center"/>
              <w:rPr>
                <w:rFonts w:ascii="Arial Narrow" w:hAnsi="Arial Narrow" w:cs="Calibri"/>
                <w:color w:val="000000"/>
                <w:sz w:val="20"/>
                <w:szCs w:val="20"/>
              </w:rPr>
            </w:pPr>
            <w:r w:rsidRPr="00C9297B">
              <w:rPr>
                <w:rFonts w:ascii="Arial Narrow" w:hAnsi="Arial Narrow" w:cs="Calibri"/>
                <w:color w:val="000000"/>
                <w:sz w:val="20"/>
                <w:szCs w:val="20"/>
              </w:rPr>
              <w:t>0.22</w:t>
            </w:r>
          </w:p>
        </w:tc>
        <w:tc>
          <w:tcPr>
            <w:tcW w:w="1260" w:type="dxa"/>
            <w:shd w:val="clear" w:color="auto" w:fill="auto"/>
            <w:vAlign w:val="bottom"/>
          </w:tcPr>
          <w:p w14:paraId="1ACEC7FB" w14:textId="0649CF10" w:rsidR="00C9297B" w:rsidRPr="00C9297B" w:rsidRDefault="00C9297B" w:rsidP="00C9297B">
            <w:pPr>
              <w:autoSpaceDE w:val="0"/>
              <w:autoSpaceDN w:val="0"/>
              <w:adjustRightInd w:val="0"/>
              <w:jc w:val="center"/>
              <w:rPr>
                <w:rFonts w:ascii="Arial Narrow" w:hAnsi="Arial Narrow" w:cs="Calibri"/>
                <w:color w:val="000000"/>
                <w:sz w:val="20"/>
                <w:szCs w:val="20"/>
              </w:rPr>
            </w:pPr>
            <w:r w:rsidRPr="00C9297B">
              <w:rPr>
                <w:rFonts w:ascii="Arial Narrow" w:hAnsi="Arial Narrow" w:cs="Calibri"/>
                <w:color w:val="000000"/>
                <w:sz w:val="20"/>
                <w:szCs w:val="20"/>
              </w:rPr>
              <w:t>0.13</w:t>
            </w:r>
          </w:p>
        </w:tc>
      </w:tr>
      <w:tr w:rsidR="00C9297B" w:rsidRPr="00C9297B" w14:paraId="0D921AEC" w14:textId="77777777" w:rsidTr="004922CA">
        <w:trPr>
          <w:trHeight w:val="290"/>
        </w:trPr>
        <w:tc>
          <w:tcPr>
            <w:tcW w:w="1871" w:type="dxa"/>
            <w:vAlign w:val="bottom"/>
          </w:tcPr>
          <w:p w14:paraId="22F70F8B" w14:textId="0E2FCC1E" w:rsidR="00C9297B" w:rsidRPr="00C9297B" w:rsidRDefault="00C9297B" w:rsidP="00C9297B">
            <w:pPr>
              <w:autoSpaceDE w:val="0"/>
              <w:autoSpaceDN w:val="0"/>
              <w:adjustRightInd w:val="0"/>
              <w:jc w:val="center"/>
              <w:rPr>
                <w:rFonts w:ascii="Arial Narrow" w:hAnsi="Arial Narrow" w:cs="Calibri"/>
                <w:color w:val="000000"/>
                <w:sz w:val="20"/>
                <w:szCs w:val="20"/>
              </w:rPr>
            </w:pPr>
            <w:r w:rsidRPr="00C9297B">
              <w:rPr>
                <w:rFonts w:ascii="Arial Narrow" w:hAnsi="Arial Narrow" w:cs="Calibri"/>
                <w:color w:val="000000"/>
                <w:sz w:val="20"/>
                <w:szCs w:val="20"/>
              </w:rPr>
              <w:t>Tinker Creek</w:t>
            </w:r>
          </w:p>
        </w:tc>
        <w:tc>
          <w:tcPr>
            <w:tcW w:w="1871" w:type="dxa"/>
            <w:vAlign w:val="bottom"/>
          </w:tcPr>
          <w:p w14:paraId="40451204" w14:textId="5AB6424F"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Tinker Creek</w:t>
            </w:r>
          </w:p>
        </w:tc>
        <w:tc>
          <w:tcPr>
            <w:tcW w:w="1871" w:type="dxa"/>
            <w:vAlign w:val="bottom"/>
          </w:tcPr>
          <w:p w14:paraId="7B1C03BC" w14:textId="262C5DDB" w:rsidR="00C9297B" w:rsidRPr="00C9297B" w:rsidRDefault="00C9297B" w:rsidP="00C9297B">
            <w:pPr>
              <w:autoSpaceDE w:val="0"/>
              <w:autoSpaceDN w:val="0"/>
              <w:adjustRightInd w:val="0"/>
              <w:jc w:val="center"/>
              <w:rPr>
                <w:rFonts w:ascii="Arial Narrow" w:hAnsi="Arial Narrow" w:cs="Arial Narrow"/>
                <w:color w:val="000000"/>
                <w:sz w:val="20"/>
                <w:szCs w:val="20"/>
              </w:rPr>
            </w:pPr>
            <w:r w:rsidRPr="00C9297B">
              <w:rPr>
                <w:rFonts w:ascii="Arial Narrow" w:hAnsi="Arial Narrow" w:cs="Calibri"/>
                <w:color w:val="000000"/>
                <w:sz w:val="20"/>
                <w:szCs w:val="20"/>
              </w:rPr>
              <w:t>4ATKR009.30</w:t>
            </w:r>
          </w:p>
        </w:tc>
        <w:tc>
          <w:tcPr>
            <w:tcW w:w="1260" w:type="dxa"/>
            <w:vAlign w:val="bottom"/>
          </w:tcPr>
          <w:p w14:paraId="7CC844FF" w14:textId="598B78AA" w:rsidR="00C9297B" w:rsidRPr="00C9297B" w:rsidRDefault="00C9297B" w:rsidP="00C9297B">
            <w:pPr>
              <w:autoSpaceDE w:val="0"/>
              <w:autoSpaceDN w:val="0"/>
              <w:adjustRightInd w:val="0"/>
              <w:jc w:val="center"/>
              <w:rPr>
                <w:rFonts w:ascii="Arial Narrow" w:hAnsi="Arial Narrow" w:cs="Arial Narrow"/>
                <w:color w:val="000000"/>
                <w:sz w:val="20"/>
                <w:szCs w:val="20"/>
              </w:rPr>
            </w:pPr>
            <w:r w:rsidRPr="00C9297B">
              <w:rPr>
                <w:rFonts w:ascii="Arial Narrow" w:hAnsi="Arial Narrow" w:cs="Calibri"/>
                <w:color w:val="000000"/>
                <w:sz w:val="20"/>
                <w:szCs w:val="20"/>
              </w:rPr>
              <w:t>5/3/2018</w:t>
            </w:r>
          </w:p>
        </w:tc>
        <w:tc>
          <w:tcPr>
            <w:tcW w:w="1260" w:type="dxa"/>
            <w:shd w:val="clear" w:color="auto" w:fill="C2D3EA"/>
            <w:vAlign w:val="bottom"/>
          </w:tcPr>
          <w:p w14:paraId="2A0BD4A9" w14:textId="7721D6C0" w:rsidR="00C9297B" w:rsidRPr="00C9297B" w:rsidRDefault="00C9297B" w:rsidP="00C9297B">
            <w:pPr>
              <w:autoSpaceDE w:val="0"/>
              <w:autoSpaceDN w:val="0"/>
              <w:adjustRightInd w:val="0"/>
              <w:jc w:val="center"/>
              <w:rPr>
                <w:rFonts w:ascii="Arial Narrow" w:hAnsi="Arial Narrow" w:cs="Arial Narrow"/>
                <w:color w:val="000000"/>
                <w:sz w:val="20"/>
                <w:szCs w:val="20"/>
              </w:rPr>
            </w:pPr>
            <w:r w:rsidRPr="00C9297B">
              <w:rPr>
                <w:rFonts w:ascii="Arial Narrow" w:hAnsi="Arial Narrow" w:cs="Calibri"/>
                <w:color w:val="000000"/>
                <w:sz w:val="20"/>
                <w:szCs w:val="20"/>
              </w:rPr>
              <w:t>0.09</w:t>
            </w:r>
          </w:p>
        </w:tc>
        <w:tc>
          <w:tcPr>
            <w:tcW w:w="1260" w:type="dxa"/>
            <w:shd w:val="clear" w:color="auto" w:fill="auto"/>
            <w:vAlign w:val="bottom"/>
          </w:tcPr>
          <w:p w14:paraId="22EA3223" w14:textId="59C6896C" w:rsidR="00C9297B" w:rsidRPr="00C9297B" w:rsidRDefault="00C9297B" w:rsidP="00C9297B">
            <w:pPr>
              <w:autoSpaceDE w:val="0"/>
              <w:autoSpaceDN w:val="0"/>
              <w:adjustRightInd w:val="0"/>
              <w:jc w:val="center"/>
              <w:rPr>
                <w:rFonts w:ascii="Arial Narrow" w:hAnsi="Arial Narrow" w:cs="Calibri"/>
                <w:color w:val="000000"/>
                <w:sz w:val="20"/>
                <w:szCs w:val="20"/>
              </w:rPr>
            </w:pPr>
            <w:r w:rsidRPr="00C9297B">
              <w:rPr>
                <w:rFonts w:ascii="Arial Narrow" w:hAnsi="Arial Narrow" w:cs="Calibri"/>
                <w:color w:val="000000"/>
                <w:sz w:val="20"/>
                <w:szCs w:val="20"/>
              </w:rPr>
              <w:t>0.13</w:t>
            </w:r>
          </w:p>
        </w:tc>
      </w:tr>
      <w:tr w:rsidR="00C9297B" w:rsidRPr="00C9297B" w14:paraId="3B13D668" w14:textId="77777777" w:rsidTr="004922CA">
        <w:trPr>
          <w:trHeight w:val="290"/>
        </w:trPr>
        <w:tc>
          <w:tcPr>
            <w:tcW w:w="1871" w:type="dxa"/>
            <w:vAlign w:val="bottom"/>
          </w:tcPr>
          <w:p w14:paraId="391F77AC" w14:textId="3092E0E2" w:rsidR="00C9297B" w:rsidRPr="00C9297B" w:rsidRDefault="00C9297B" w:rsidP="00C9297B">
            <w:pPr>
              <w:autoSpaceDE w:val="0"/>
              <w:autoSpaceDN w:val="0"/>
              <w:adjustRightInd w:val="0"/>
              <w:jc w:val="center"/>
              <w:rPr>
                <w:rFonts w:ascii="Arial Narrow" w:hAnsi="Arial Narrow" w:cs="Arial Narrow"/>
                <w:color w:val="000000"/>
                <w:sz w:val="20"/>
                <w:szCs w:val="20"/>
              </w:rPr>
            </w:pPr>
          </w:p>
        </w:tc>
        <w:tc>
          <w:tcPr>
            <w:tcW w:w="1871" w:type="dxa"/>
            <w:vAlign w:val="bottom"/>
          </w:tcPr>
          <w:p w14:paraId="4E9DCE6C" w14:textId="7F282C8F" w:rsidR="00C9297B" w:rsidRPr="00C9297B" w:rsidRDefault="00C9297B" w:rsidP="00C9297B">
            <w:pPr>
              <w:autoSpaceDE w:val="0"/>
              <w:autoSpaceDN w:val="0"/>
              <w:adjustRightInd w:val="0"/>
              <w:jc w:val="center"/>
              <w:rPr>
                <w:rFonts w:ascii="Arial Narrow" w:hAnsi="Arial Narrow" w:cs="Arial"/>
                <w:sz w:val="20"/>
                <w:szCs w:val="20"/>
              </w:rPr>
            </w:pPr>
          </w:p>
        </w:tc>
        <w:tc>
          <w:tcPr>
            <w:tcW w:w="1871" w:type="dxa"/>
            <w:vAlign w:val="bottom"/>
          </w:tcPr>
          <w:p w14:paraId="073ED436" w14:textId="7385BCDD" w:rsidR="00C9297B" w:rsidRPr="00C9297B" w:rsidRDefault="00C9297B" w:rsidP="00C9297B">
            <w:pPr>
              <w:autoSpaceDE w:val="0"/>
              <w:autoSpaceDN w:val="0"/>
              <w:adjustRightInd w:val="0"/>
              <w:jc w:val="center"/>
              <w:rPr>
                <w:rFonts w:ascii="Arial Narrow" w:hAnsi="Arial Narrow" w:cs="Arial Narrow"/>
                <w:color w:val="000000"/>
                <w:sz w:val="20"/>
                <w:szCs w:val="20"/>
              </w:rPr>
            </w:pPr>
            <w:r w:rsidRPr="00C9297B">
              <w:rPr>
                <w:rFonts w:ascii="Arial Narrow" w:hAnsi="Arial Narrow" w:cs="Calibri"/>
                <w:color w:val="000000"/>
                <w:sz w:val="20"/>
                <w:szCs w:val="20"/>
              </w:rPr>
              <w:t>4ATKR009.30</w:t>
            </w:r>
          </w:p>
        </w:tc>
        <w:tc>
          <w:tcPr>
            <w:tcW w:w="1260" w:type="dxa"/>
            <w:vAlign w:val="bottom"/>
          </w:tcPr>
          <w:p w14:paraId="105FBD1D" w14:textId="04C84A44" w:rsidR="00C9297B" w:rsidRPr="00C9297B" w:rsidRDefault="00C9297B" w:rsidP="00C9297B">
            <w:pPr>
              <w:autoSpaceDE w:val="0"/>
              <w:autoSpaceDN w:val="0"/>
              <w:adjustRightInd w:val="0"/>
              <w:jc w:val="center"/>
              <w:rPr>
                <w:rFonts w:ascii="Arial Narrow" w:hAnsi="Arial Narrow" w:cs="Arial Narrow"/>
                <w:color w:val="000000"/>
                <w:sz w:val="20"/>
                <w:szCs w:val="20"/>
              </w:rPr>
            </w:pPr>
            <w:r w:rsidRPr="00C9297B">
              <w:rPr>
                <w:rFonts w:ascii="Arial Narrow" w:hAnsi="Arial Narrow" w:cs="Calibri"/>
                <w:color w:val="000000"/>
                <w:sz w:val="20"/>
                <w:szCs w:val="20"/>
              </w:rPr>
              <w:t>4/8/2019</w:t>
            </w:r>
          </w:p>
        </w:tc>
        <w:tc>
          <w:tcPr>
            <w:tcW w:w="1260" w:type="dxa"/>
            <w:shd w:val="clear" w:color="auto" w:fill="C2D3EA"/>
            <w:vAlign w:val="bottom"/>
          </w:tcPr>
          <w:p w14:paraId="43E6BC6E" w14:textId="2D013151" w:rsidR="00C9297B" w:rsidRPr="00C9297B" w:rsidRDefault="00C9297B" w:rsidP="00C9297B">
            <w:pPr>
              <w:autoSpaceDE w:val="0"/>
              <w:autoSpaceDN w:val="0"/>
              <w:adjustRightInd w:val="0"/>
              <w:jc w:val="center"/>
              <w:rPr>
                <w:rFonts w:ascii="Arial Narrow" w:hAnsi="Arial Narrow" w:cs="Arial Narrow"/>
                <w:color w:val="000000"/>
                <w:sz w:val="20"/>
                <w:szCs w:val="20"/>
              </w:rPr>
            </w:pPr>
            <w:r w:rsidRPr="00C9297B">
              <w:rPr>
                <w:rFonts w:ascii="Arial Narrow" w:hAnsi="Arial Narrow" w:cs="Calibri"/>
                <w:color w:val="000000"/>
                <w:sz w:val="20"/>
                <w:szCs w:val="20"/>
              </w:rPr>
              <w:t>0.11</w:t>
            </w:r>
          </w:p>
        </w:tc>
        <w:tc>
          <w:tcPr>
            <w:tcW w:w="1260" w:type="dxa"/>
            <w:shd w:val="clear" w:color="auto" w:fill="auto"/>
            <w:vAlign w:val="bottom"/>
          </w:tcPr>
          <w:p w14:paraId="05D798F6" w14:textId="6D48B638" w:rsidR="00C9297B" w:rsidRPr="00C9297B" w:rsidRDefault="00C9297B" w:rsidP="00C9297B">
            <w:pPr>
              <w:autoSpaceDE w:val="0"/>
              <w:autoSpaceDN w:val="0"/>
              <w:adjustRightInd w:val="0"/>
              <w:jc w:val="center"/>
              <w:rPr>
                <w:rFonts w:ascii="Arial Narrow" w:hAnsi="Arial Narrow" w:cs="Calibri"/>
                <w:color w:val="000000"/>
                <w:sz w:val="20"/>
                <w:szCs w:val="20"/>
              </w:rPr>
            </w:pPr>
            <w:r w:rsidRPr="00C9297B">
              <w:rPr>
                <w:rFonts w:ascii="Arial Narrow" w:hAnsi="Arial Narrow" w:cs="Calibri"/>
                <w:color w:val="000000"/>
                <w:sz w:val="20"/>
                <w:szCs w:val="20"/>
              </w:rPr>
              <w:t>0.13</w:t>
            </w:r>
          </w:p>
        </w:tc>
      </w:tr>
      <w:tr w:rsidR="00C9297B" w:rsidRPr="00C9297B" w14:paraId="07C3D8D6" w14:textId="77777777" w:rsidTr="004922CA">
        <w:trPr>
          <w:trHeight w:val="290"/>
        </w:trPr>
        <w:tc>
          <w:tcPr>
            <w:tcW w:w="1871" w:type="dxa"/>
            <w:vAlign w:val="bottom"/>
          </w:tcPr>
          <w:p w14:paraId="5A8A424C" w14:textId="77777777" w:rsidR="00C9297B" w:rsidRPr="00C9297B" w:rsidRDefault="00C9297B" w:rsidP="00C9297B">
            <w:pPr>
              <w:autoSpaceDE w:val="0"/>
              <w:autoSpaceDN w:val="0"/>
              <w:adjustRightInd w:val="0"/>
              <w:jc w:val="center"/>
              <w:rPr>
                <w:rFonts w:ascii="Arial Narrow" w:hAnsi="Arial Narrow" w:cs="Arial"/>
                <w:sz w:val="20"/>
                <w:szCs w:val="20"/>
              </w:rPr>
            </w:pPr>
          </w:p>
        </w:tc>
        <w:tc>
          <w:tcPr>
            <w:tcW w:w="1871" w:type="dxa"/>
            <w:vAlign w:val="bottom"/>
          </w:tcPr>
          <w:p w14:paraId="2F1742C9" w14:textId="43426A4D" w:rsidR="00C9297B" w:rsidRPr="00C9297B" w:rsidRDefault="00C9297B" w:rsidP="00C9297B">
            <w:pPr>
              <w:autoSpaceDE w:val="0"/>
              <w:autoSpaceDN w:val="0"/>
              <w:adjustRightInd w:val="0"/>
              <w:jc w:val="center"/>
              <w:rPr>
                <w:rFonts w:ascii="Arial Narrow" w:hAnsi="Arial Narrow" w:cs="Arial"/>
                <w:sz w:val="20"/>
                <w:szCs w:val="20"/>
              </w:rPr>
            </w:pPr>
          </w:p>
        </w:tc>
        <w:tc>
          <w:tcPr>
            <w:tcW w:w="1871" w:type="dxa"/>
            <w:vAlign w:val="bottom"/>
          </w:tcPr>
          <w:p w14:paraId="051E3C2C" w14:textId="64201305"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4ATKR010.54</w:t>
            </w:r>
          </w:p>
        </w:tc>
        <w:tc>
          <w:tcPr>
            <w:tcW w:w="1260" w:type="dxa"/>
            <w:vAlign w:val="bottom"/>
          </w:tcPr>
          <w:p w14:paraId="73F7204C" w14:textId="3D86932A"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4/23/2007</w:t>
            </w:r>
          </w:p>
        </w:tc>
        <w:tc>
          <w:tcPr>
            <w:tcW w:w="1260" w:type="dxa"/>
            <w:shd w:val="clear" w:color="auto" w:fill="C2D3EA"/>
            <w:vAlign w:val="bottom"/>
          </w:tcPr>
          <w:p w14:paraId="6A9F0C47" w14:textId="6EC87EC2"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0.14</w:t>
            </w:r>
          </w:p>
        </w:tc>
        <w:tc>
          <w:tcPr>
            <w:tcW w:w="1260" w:type="dxa"/>
            <w:shd w:val="clear" w:color="auto" w:fill="auto"/>
            <w:vAlign w:val="bottom"/>
          </w:tcPr>
          <w:p w14:paraId="72A6E59E" w14:textId="1CB3C3C7"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0.47</w:t>
            </w:r>
          </w:p>
        </w:tc>
      </w:tr>
      <w:tr w:rsidR="00C9297B" w:rsidRPr="00C9297B" w14:paraId="72F26A47" w14:textId="77777777" w:rsidTr="004922CA">
        <w:trPr>
          <w:trHeight w:val="290"/>
        </w:trPr>
        <w:tc>
          <w:tcPr>
            <w:tcW w:w="1871" w:type="dxa"/>
            <w:vAlign w:val="bottom"/>
          </w:tcPr>
          <w:p w14:paraId="7140A97F" w14:textId="77777777" w:rsidR="00C9297B" w:rsidRPr="00C9297B" w:rsidRDefault="00C9297B" w:rsidP="00C9297B">
            <w:pPr>
              <w:autoSpaceDE w:val="0"/>
              <w:autoSpaceDN w:val="0"/>
              <w:adjustRightInd w:val="0"/>
              <w:jc w:val="center"/>
              <w:rPr>
                <w:rFonts w:ascii="Arial Narrow" w:hAnsi="Arial Narrow" w:cs="Arial"/>
                <w:sz w:val="20"/>
                <w:szCs w:val="20"/>
              </w:rPr>
            </w:pPr>
          </w:p>
        </w:tc>
        <w:tc>
          <w:tcPr>
            <w:tcW w:w="1871" w:type="dxa"/>
            <w:vAlign w:val="bottom"/>
          </w:tcPr>
          <w:p w14:paraId="3B520DB8" w14:textId="65F4EBA7" w:rsidR="00C9297B" w:rsidRPr="00C9297B" w:rsidRDefault="00C9297B" w:rsidP="00C9297B">
            <w:pPr>
              <w:autoSpaceDE w:val="0"/>
              <w:autoSpaceDN w:val="0"/>
              <w:adjustRightInd w:val="0"/>
              <w:jc w:val="center"/>
              <w:rPr>
                <w:rFonts w:ascii="Arial Narrow" w:hAnsi="Arial Narrow" w:cs="Arial"/>
                <w:sz w:val="20"/>
                <w:szCs w:val="20"/>
              </w:rPr>
            </w:pPr>
          </w:p>
        </w:tc>
        <w:tc>
          <w:tcPr>
            <w:tcW w:w="1871" w:type="dxa"/>
            <w:vAlign w:val="bottom"/>
          </w:tcPr>
          <w:p w14:paraId="58B37248" w14:textId="0716BC00"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4ATKR010.54</w:t>
            </w:r>
          </w:p>
        </w:tc>
        <w:tc>
          <w:tcPr>
            <w:tcW w:w="1260" w:type="dxa"/>
            <w:vAlign w:val="bottom"/>
          </w:tcPr>
          <w:p w14:paraId="77342BD0" w14:textId="0E36FE6E"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4/24/2008</w:t>
            </w:r>
          </w:p>
        </w:tc>
        <w:tc>
          <w:tcPr>
            <w:tcW w:w="1260" w:type="dxa"/>
            <w:shd w:val="clear" w:color="auto" w:fill="C2D3EA"/>
            <w:vAlign w:val="bottom"/>
          </w:tcPr>
          <w:p w14:paraId="2781CDD7" w14:textId="6ECB7ECD"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0.13</w:t>
            </w:r>
          </w:p>
        </w:tc>
        <w:tc>
          <w:tcPr>
            <w:tcW w:w="1260" w:type="dxa"/>
            <w:shd w:val="clear" w:color="auto" w:fill="auto"/>
            <w:vAlign w:val="bottom"/>
          </w:tcPr>
          <w:p w14:paraId="39C26D93" w14:textId="0FCC6B32"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0.48</w:t>
            </w:r>
          </w:p>
        </w:tc>
      </w:tr>
      <w:tr w:rsidR="00C9297B" w:rsidRPr="00C9297B" w14:paraId="007C4533" w14:textId="77777777" w:rsidTr="004922CA">
        <w:trPr>
          <w:trHeight w:val="290"/>
        </w:trPr>
        <w:tc>
          <w:tcPr>
            <w:tcW w:w="1871" w:type="dxa"/>
            <w:vAlign w:val="bottom"/>
          </w:tcPr>
          <w:p w14:paraId="71692EA3" w14:textId="77777777" w:rsidR="00C9297B" w:rsidRPr="00C9297B" w:rsidRDefault="00C9297B" w:rsidP="00C9297B">
            <w:pPr>
              <w:autoSpaceDE w:val="0"/>
              <w:autoSpaceDN w:val="0"/>
              <w:adjustRightInd w:val="0"/>
              <w:jc w:val="center"/>
              <w:rPr>
                <w:rFonts w:ascii="Arial Narrow" w:hAnsi="Arial Narrow" w:cs="Arial"/>
                <w:sz w:val="20"/>
                <w:szCs w:val="20"/>
              </w:rPr>
            </w:pPr>
          </w:p>
        </w:tc>
        <w:tc>
          <w:tcPr>
            <w:tcW w:w="1871" w:type="dxa"/>
            <w:vAlign w:val="bottom"/>
          </w:tcPr>
          <w:p w14:paraId="511790F0" w14:textId="00016427" w:rsidR="00C9297B" w:rsidRPr="00C9297B" w:rsidRDefault="00C9297B" w:rsidP="00C9297B">
            <w:pPr>
              <w:autoSpaceDE w:val="0"/>
              <w:autoSpaceDN w:val="0"/>
              <w:adjustRightInd w:val="0"/>
              <w:jc w:val="center"/>
              <w:rPr>
                <w:rFonts w:ascii="Arial Narrow" w:hAnsi="Arial Narrow" w:cs="Arial"/>
                <w:sz w:val="20"/>
                <w:szCs w:val="20"/>
              </w:rPr>
            </w:pPr>
          </w:p>
        </w:tc>
        <w:tc>
          <w:tcPr>
            <w:tcW w:w="1871" w:type="dxa"/>
            <w:vAlign w:val="bottom"/>
          </w:tcPr>
          <w:p w14:paraId="6B2F22D1" w14:textId="1B7C1002"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4ATKR015.40</w:t>
            </w:r>
          </w:p>
        </w:tc>
        <w:tc>
          <w:tcPr>
            <w:tcW w:w="1260" w:type="dxa"/>
            <w:vAlign w:val="bottom"/>
          </w:tcPr>
          <w:p w14:paraId="0A5792A8" w14:textId="017ED228"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4/19/2007</w:t>
            </w:r>
          </w:p>
        </w:tc>
        <w:tc>
          <w:tcPr>
            <w:tcW w:w="1260" w:type="dxa"/>
            <w:shd w:val="clear" w:color="auto" w:fill="C2D3EA"/>
            <w:vAlign w:val="bottom"/>
          </w:tcPr>
          <w:p w14:paraId="5CA1EBB4" w14:textId="7950E932"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0.13</w:t>
            </w:r>
          </w:p>
        </w:tc>
        <w:tc>
          <w:tcPr>
            <w:tcW w:w="1260" w:type="dxa"/>
            <w:shd w:val="clear" w:color="auto" w:fill="auto"/>
            <w:vAlign w:val="bottom"/>
          </w:tcPr>
          <w:p w14:paraId="4ADC4CD4" w14:textId="300F2ADD"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0.47</w:t>
            </w:r>
          </w:p>
        </w:tc>
      </w:tr>
      <w:tr w:rsidR="00C9297B" w:rsidRPr="00C9297B" w14:paraId="4987F308" w14:textId="77777777" w:rsidTr="004922CA">
        <w:trPr>
          <w:trHeight w:val="290"/>
        </w:trPr>
        <w:tc>
          <w:tcPr>
            <w:tcW w:w="1871" w:type="dxa"/>
            <w:vAlign w:val="bottom"/>
          </w:tcPr>
          <w:p w14:paraId="115EFBB7" w14:textId="77777777" w:rsidR="00C9297B" w:rsidRPr="00C9297B" w:rsidRDefault="00C9297B" w:rsidP="00C9297B">
            <w:pPr>
              <w:autoSpaceDE w:val="0"/>
              <w:autoSpaceDN w:val="0"/>
              <w:adjustRightInd w:val="0"/>
              <w:jc w:val="center"/>
              <w:rPr>
                <w:rFonts w:ascii="Arial Narrow" w:hAnsi="Arial Narrow" w:cs="Arial"/>
                <w:sz w:val="20"/>
                <w:szCs w:val="20"/>
              </w:rPr>
            </w:pPr>
          </w:p>
        </w:tc>
        <w:tc>
          <w:tcPr>
            <w:tcW w:w="1871" w:type="dxa"/>
            <w:vAlign w:val="bottom"/>
          </w:tcPr>
          <w:p w14:paraId="3CA28F93" w14:textId="50EC1D80" w:rsidR="00C9297B" w:rsidRPr="00C9297B" w:rsidRDefault="00C9297B" w:rsidP="00C9297B">
            <w:pPr>
              <w:autoSpaceDE w:val="0"/>
              <w:autoSpaceDN w:val="0"/>
              <w:adjustRightInd w:val="0"/>
              <w:jc w:val="center"/>
              <w:rPr>
                <w:rFonts w:ascii="Arial Narrow" w:hAnsi="Arial Narrow" w:cs="Arial"/>
                <w:sz w:val="20"/>
                <w:szCs w:val="20"/>
              </w:rPr>
            </w:pPr>
            <w:proofErr w:type="spellStart"/>
            <w:r w:rsidRPr="00C9297B">
              <w:rPr>
                <w:rFonts w:ascii="Arial Narrow" w:hAnsi="Arial Narrow" w:cs="Calibri"/>
                <w:color w:val="000000"/>
                <w:sz w:val="20"/>
                <w:szCs w:val="20"/>
              </w:rPr>
              <w:t>Carvin</w:t>
            </w:r>
            <w:proofErr w:type="spellEnd"/>
            <w:r w:rsidRPr="00C9297B">
              <w:rPr>
                <w:rFonts w:ascii="Arial Narrow" w:hAnsi="Arial Narrow" w:cs="Calibri"/>
                <w:color w:val="000000"/>
                <w:sz w:val="20"/>
                <w:szCs w:val="20"/>
              </w:rPr>
              <w:t xml:space="preserve"> Creek</w:t>
            </w:r>
          </w:p>
        </w:tc>
        <w:tc>
          <w:tcPr>
            <w:tcW w:w="1871" w:type="dxa"/>
            <w:vAlign w:val="bottom"/>
          </w:tcPr>
          <w:p w14:paraId="03EB5900" w14:textId="0D34A0B4"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4ACRV005.10</w:t>
            </w:r>
          </w:p>
        </w:tc>
        <w:tc>
          <w:tcPr>
            <w:tcW w:w="1260" w:type="dxa"/>
            <w:vAlign w:val="bottom"/>
          </w:tcPr>
          <w:p w14:paraId="76C20D58" w14:textId="3705CDC4"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4/29/2015</w:t>
            </w:r>
          </w:p>
        </w:tc>
        <w:tc>
          <w:tcPr>
            <w:tcW w:w="1260" w:type="dxa"/>
            <w:shd w:val="clear" w:color="auto" w:fill="C2D3EA"/>
            <w:vAlign w:val="bottom"/>
          </w:tcPr>
          <w:p w14:paraId="0D86D997" w14:textId="74B3B0C4"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0.28</w:t>
            </w:r>
          </w:p>
        </w:tc>
        <w:tc>
          <w:tcPr>
            <w:tcW w:w="1260" w:type="dxa"/>
            <w:shd w:val="clear" w:color="auto" w:fill="auto"/>
            <w:vAlign w:val="bottom"/>
          </w:tcPr>
          <w:p w14:paraId="095629A2" w14:textId="2C9143DE"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0.11</w:t>
            </w:r>
          </w:p>
        </w:tc>
      </w:tr>
      <w:tr w:rsidR="00C9297B" w:rsidRPr="00C9297B" w14:paraId="2AD40DDC" w14:textId="77777777" w:rsidTr="004922CA">
        <w:trPr>
          <w:trHeight w:val="290"/>
        </w:trPr>
        <w:tc>
          <w:tcPr>
            <w:tcW w:w="1871" w:type="dxa"/>
            <w:vAlign w:val="bottom"/>
          </w:tcPr>
          <w:p w14:paraId="16C7E9F7" w14:textId="5BE56E71"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Roanoke River</w:t>
            </w:r>
          </w:p>
        </w:tc>
        <w:tc>
          <w:tcPr>
            <w:tcW w:w="1871" w:type="dxa"/>
            <w:vAlign w:val="bottom"/>
          </w:tcPr>
          <w:p w14:paraId="76348AFC" w14:textId="0BCADA3E"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Roanoke River</w:t>
            </w:r>
          </w:p>
        </w:tc>
        <w:tc>
          <w:tcPr>
            <w:tcW w:w="1871" w:type="dxa"/>
            <w:vAlign w:val="bottom"/>
          </w:tcPr>
          <w:p w14:paraId="0E676247" w14:textId="0023334D"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4AROA198.08</w:t>
            </w:r>
          </w:p>
        </w:tc>
        <w:tc>
          <w:tcPr>
            <w:tcW w:w="1260" w:type="dxa"/>
            <w:vAlign w:val="bottom"/>
          </w:tcPr>
          <w:p w14:paraId="2F320474" w14:textId="6173BBFB"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11/8/2021</w:t>
            </w:r>
          </w:p>
        </w:tc>
        <w:tc>
          <w:tcPr>
            <w:tcW w:w="1260" w:type="dxa"/>
            <w:shd w:val="clear" w:color="auto" w:fill="C2D3EA"/>
            <w:vAlign w:val="bottom"/>
          </w:tcPr>
          <w:p w14:paraId="2CE194A2" w14:textId="2FFF7011"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0.17</w:t>
            </w:r>
          </w:p>
        </w:tc>
        <w:tc>
          <w:tcPr>
            <w:tcW w:w="1260" w:type="dxa"/>
            <w:shd w:val="clear" w:color="auto" w:fill="auto"/>
            <w:vAlign w:val="bottom"/>
          </w:tcPr>
          <w:p w14:paraId="650FD10F" w14:textId="757B02E8"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0.07</w:t>
            </w:r>
          </w:p>
        </w:tc>
      </w:tr>
      <w:tr w:rsidR="00C9297B" w:rsidRPr="00C9297B" w14:paraId="2E5D3F4B" w14:textId="77777777" w:rsidTr="004922CA">
        <w:trPr>
          <w:trHeight w:val="290"/>
        </w:trPr>
        <w:tc>
          <w:tcPr>
            <w:tcW w:w="1871" w:type="dxa"/>
            <w:vAlign w:val="bottom"/>
          </w:tcPr>
          <w:p w14:paraId="6B459512" w14:textId="77777777" w:rsidR="00C9297B" w:rsidRPr="00C9297B" w:rsidRDefault="00C9297B" w:rsidP="00C9297B">
            <w:pPr>
              <w:autoSpaceDE w:val="0"/>
              <w:autoSpaceDN w:val="0"/>
              <w:adjustRightInd w:val="0"/>
              <w:jc w:val="center"/>
              <w:rPr>
                <w:rFonts w:ascii="Arial Narrow" w:hAnsi="Arial Narrow" w:cs="Arial"/>
                <w:sz w:val="20"/>
                <w:szCs w:val="20"/>
              </w:rPr>
            </w:pPr>
          </w:p>
        </w:tc>
        <w:tc>
          <w:tcPr>
            <w:tcW w:w="1871" w:type="dxa"/>
            <w:vAlign w:val="bottom"/>
          </w:tcPr>
          <w:p w14:paraId="11113225" w14:textId="506BD0A8" w:rsidR="00C9297B" w:rsidRPr="00C9297B" w:rsidRDefault="00C9297B" w:rsidP="00C9297B">
            <w:pPr>
              <w:autoSpaceDE w:val="0"/>
              <w:autoSpaceDN w:val="0"/>
              <w:adjustRightInd w:val="0"/>
              <w:jc w:val="center"/>
              <w:rPr>
                <w:rFonts w:ascii="Arial Narrow" w:hAnsi="Arial Narrow" w:cs="Arial"/>
                <w:sz w:val="20"/>
                <w:szCs w:val="20"/>
              </w:rPr>
            </w:pPr>
          </w:p>
        </w:tc>
        <w:tc>
          <w:tcPr>
            <w:tcW w:w="1871" w:type="dxa"/>
            <w:vAlign w:val="bottom"/>
          </w:tcPr>
          <w:p w14:paraId="6774C0B5" w14:textId="1B924FF9"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4AROA198.08</w:t>
            </w:r>
          </w:p>
        </w:tc>
        <w:tc>
          <w:tcPr>
            <w:tcW w:w="1260" w:type="dxa"/>
            <w:vAlign w:val="bottom"/>
          </w:tcPr>
          <w:p w14:paraId="0511D29F" w14:textId="5712C5D8"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11/11/2022</w:t>
            </w:r>
          </w:p>
        </w:tc>
        <w:tc>
          <w:tcPr>
            <w:tcW w:w="1260" w:type="dxa"/>
            <w:shd w:val="clear" w:color="auto" w:fill="C2D3EA"/>
            <w:vAlign w:val="bottom"/>
          </w:tcPr>
          <w:p w14:paraId="17C9E2B3" w14:textId="063CC6C4"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0.28</w:t>
            </w:r>
          </w:p>
        </w:tc>
        <w:tc>
          <w:tcPr>
            <w:tcW w:w="1260" w:type="dxa"/>
            <w:shd w:val="clear" w:color="auto" w:fill="auto"/>
            <w:vAlign w:val="bottom"/>
          </w:tcPr>
          <w:p w14:paraId="370AA4B3" w14:textId="64A1F1C4"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0.12</w:t>
            </w:r>
          </w:p>
        </w:tc>
      </w:tr>
      <w:tr w:rsidR="00C9297B" w:rsidRPr="00C9297B" w14:paraId="3E3331FA" w14:textId="77777777" w:rsidTr="004922CA">
        <w:trPr>
          <w:trHeight w:val="290"/>
        </w:trPr>
        <w:tc>
          <w:tcPr>
            <w:tcW w:w="1871" w:type="dxa"/>
            <w:vAlign w:val="bottom"/>
          </w:tcPr>
          <w:p w14:paraId="7A44FAAE" w14:textId="77777777" w:rsidR="00C9297B" w:rsidRPr="00C9297B" w:rsidRDefault="00C9297B" w:rsidP="00C9297B">
            <w:pPr>
              <w:autoSpaceDE w:val="0"/>
              <w:autoSpaceDN w:val="0"/>
              <w:adjustRightInd w:val="0"/>
              <w:jc w:val="center"/>
              <w:rPr>
                <w:rFonts w:ascii="Arial Narrow" w:hAnsi="Arial Narrow" w:cs="Arial"/>
                <w:sz w:val="20"/>
                <w:szCs w:val="20"/>
              </w:rPr>
            </w:pPr>
          </w:p>
        </w:tc>
        <w:tc>
          <w:tcPr>
            <w:tcW w:w="1871" w:type="dxa"/>
            <w:vAlign w:val="bottom"/>
          </w:tcPr>
          <w:p w14:paraId="0B0D40F4" w14:textId="5330A87B" w:rsidR="00C9297B" w:rsidRPr="00C9297B" w:rsidRDefault="00C9297B" w:rsidP="00C9297B">
            <w:pPr>
              <w:autoSpaceDE w:val="0"/>
              <w:autoSpaceDN w:val="0"/>
              <w:adjustRightInd w:val="0"/>
              <w:jc w:val="center"/>
              <w:rPr>
                <w:rFonts w:ascii="Arial Narrow" w:hAnsi="Arial Narrow" w:cs="Arial"/>
                <w:sz w:val="20"/>
                <w:szCs w:val="20"/>
              </w:rPr>
            </w:pPr>
          </w:p>
        </w:tc>
        <w:tc>
          <w:tcPr>
            <w:tcW w:w="1871" w:type="dxa"/>
            <w:vAlign w:val="bottom"/>
          </w:tcPr>
          <w:p w14:paraId="4351D23B" w14:textId="229D3B40"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4AROA199.20</w:t>
            </w:r>
          </w:p>
        </w:tc>
        <w:tc>
          <w:tcPr>
            <w:tcW w:w="1260" w:type="dxa"/>
            <w:vAlign w:val="bottom"/>
          </w:tcPr>
          <w:p w14:paraId="34FB065D" w14:textId="04F6D6A7"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5/26/2021</w:t>
            </w:r>
          </w:p>
        </w:tc>
        <w:tc>
          <w:tcPr>
            <w:tcW w:w="1260" w:type="dxa"/>
            <w:shd w:val="clear" w:color="auto" w:fill="C2D3EA"/>
            <w:vAlign w:val="bottom"/>
          </w:tcPr>
          <w:p w14:paraId="1D2FEAF7" w14:textId="0C957453"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0.18</w:t>
            </w:r>
          </w:p>
        </w:tc>
        <w:tc>
          <w:tcPr>
            <w:tcW w:w="1260" w:type="dxa"/>
            <w:shd w:val="clear" w:color="auto" w:fill="auto"/>
            <w:vAlign w:val="bottom"/>
          </w:tcPr>
          <w:p w14:paraId="5255BCA7" w14:textId="5C9C5BB5"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0.07</w:t>
            </w:r>
          </w:p>
        </w:tc>
      </w:tr>
      <w:tr w:rsidR="00C9297B" w:rsidRPr="00C9297B" w14:paraId="5D39E709" w14:textId="77777777" w:rsidTr="004922CA">
        <w:trPr>
          <w:trHeight w:val="290"/>
        </w:trPr>
        <w:tc>
          <w:tcPr>
            <w:tcW w:w="1871" w:type="dxa"/>
            <w:vAlign w:val="bottom"/>
          </w:tcPr>
          <w:p w14:paraId="2370CC38" w14:textId="77777777" w:rsidR="00C9297B" w:rsidRPr="00C9297B" w:rsidRDefault="00C9297B" w:rsidP="00C9297B">
            <w:pPr>
              <w:autoSpaceDE w:val="0"/>
              <w:autoSpaceDN w:val="0"/>
              <w:adjustRightInd w:val="0"/>
              <w:jc w:val="center"/>
              <w:rPr>
                <w:rFonts w:ascii="Arial Narrow" w:hAnsi="Arial Narrow" w:cs="Arial"/>
                <w:sz w:val="20"/>
                <w:szCs w:val="20"/>
              </w:rPr>
            </w:pPr>
          </w:p>
        </w:tc>
        <w:tc>
          <w:tcPr>
            <w:tcW w:w="1871" w:type="dxa"/>
            <w:vAlign w:val="bottom"/>
          </w:tcPr>
          <w:p w14:paraId="02DE5741" w14:textId="0CBC4A28" w:rsidR="00C9297B" w:rsidRPr="00C9297B" w:rsidRDefault="00C9297B" w:rsidP="00C9297B">
            <w:pPr>
              <w:autoSpaceDE w:val="0"/>
              <w:autoSpaceDN w:val="0"/>
              <w:adjustRightInd w:val="0"/>
              <w:jc w:val="center"/>
              <w:rPr>
                <w:rFonts w:ascii="Arial Narrow" w:hAnsi="Arial Narrow" w:cs="Arial"/>
                <w:sz w:val="20"/>
                <w:szCs w:val="20"/>
              </w:rPr>
            </w:pPr>
          </w:p>
        </w:tc>
        <w:tc>
          <w:tcPr>
            <w:tcW w:w="1871" w:type="dxa"/>
            <w:vAlign w:val="bottom"/>
          </w:tcPr>
          <w:p w14:paraId="3957419B" w14:textId="754081FB"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4AROA202.20</w:t>
            </w:r>
          </w:p>
        </w:tc>
        <w:tc>
          <w:tcPr>
            <w:tcW w:w="1260" w:type="dxa"/>
            <w:vAlign w:val="bottom"/>
          </w:tcPr>
          <w:p w14:paraId="637CB92A" w14:textId="46C76029"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6/19/2001</w:t>
            </w:r>
          </w:p>
        </w:tc>
        <w:tc>
          <w:tcPr>
            <w:tcW w:w="1260" w:type="dxa"/>
            <w:shd w:val="clear" w:color="auto" w:fill="C2D3EA"/>
            <w:vAlign w:val="bottom"/>
          </w:tcPr>
          <w:p w14:paraId="42D862A4" w14:textId="69C0E6F9"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0.19</w:t>
            </w:r>
          </w:p>
        </w:tc>
        <w:tc>
          <w:tcPr>
            <w:tcW w:w="1260" w:type="dxa"/>
            <w:shd w:val="clear" w:color="auto" w:fill="auto"/>
            <w:vAlign w:val="bottom"/>
          </w:tcPr>
          <w:p w14:paraId="024CF404" w14:textId="2869D5BF"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0.43</w:t>
            </w:r>
          </w:p>
        </w:tc>
      </w:tr>
      <w:tr w:rsidR="00C9297B" w:rsidRPr="00C9297B" w14:paraId="14AA3822" w14:textId="77777777" w:rsidTr="004922CA">
        <w:trPr>
          <w:trHeight w:val="290"/>
        </w:trPr>
        <w:tc>
          <w:tcPr>
            <w:tcW w:w="1871" w:type="dxa"/>
            <w:vAlign w:val="bottom"/>
          </w:tcPr>
          <w:p w14:paraId="2A17E120" w14:textId="77777777" w:rsidR="00C9297B" w:rsidRPr="00C9297B" w:rsidRDefault="00C9297B" w:rsidP="00C9297B">
            <w:pPr>
              <w:autoSpaceDE w:val="0"/>
              <w:autoSpaceDN w:val="0"/>
              <w:adjustRightInd w:val="0"/>
              <w:jc w:val="center"/>
              <w:rPr>
                <w:rFonts w:ascii="Arial Narrow" w:hAnsi="Arial Narrow" w:cs="Arial"/>
                <w:sz w:val="20"/>
                <w:szCs w:val="20"/>
              </w:rPr>
            </w:pPr>
          </w:p>
        </w:tc>
        <w:tc>
          <w:tcPr>
            <w:tcW w:w="1871" w:type="dxa"/>
            <w:vAlign w:val="bottom"/>
          </w:tcPr>
          <w:p w14:paraId="165A8514" w14:textId="2E75A158" w:rsidR="00C9297B" w:rsidRPr="00C9297B" w:rsidRDefault="00C9297B" w:rsidP="00C9297B">
            <w:pPr>
              <w:autoSpaceDE w:val="0"/>
              <w:autoSpaceDN w:val="0"/>
              <w:adjustRightInd w:val="0"/>
              <w:jc w:val="center"/>
              <w:rPr>
                <w:rFonts w:ascii="Arial Narrow" w:hAnsi="Arial Narrow" w:cs="Arial"/>
                <w:sz w:val="20"/>
                <w:szCs w:val="20"/>
              </w:rPr>
            </w:pPr>
          </w:p>
        </w:tc>
        <w:tc>
          <w:tcPr>
            <w:tcW w:w="1871" w:type="dxa"/>
            <w:vAlign w:val="bottom"/>
          </w:tcPr>
          <w:p w14:paraId="71244923" w14:textId="64B2EB93"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4AROA202.20</w:t>
            </w:r>
          </w:p>
        </w:tc>
        <w:tc>
          <w:tcPr>
            <w:tcW w:w="1260" w:type="dxa"/>
            <w:vAlign w:val="bottom"/>
          </w:tcPr>
          <w:p w14:paraId="1816AC9E" w14:textId="3F0454EC"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11/8/2021</w:t>
            </w:r>
          </w:p>
        </w:tc>
        <w:tc>
          <w:tcPr>
            <w:tcW w:w="1260" w:type="dxa"/>
            <w:shd w:val="clear" w:color="auto" w:fill="C2D3EA"/>
            <w:vAlign w:val="bottom"/>
          </w:tcPr>
          <w:p w14:paraId="38E8E844" w14:textId="243AB881"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0.09</w:t>
            </w:r>
          </w:p>
        </w:tc>
        <w:tc>
          <w:tcPr>
            <w:tcW w:w="1260" w:type="dxa"/>
            <w:shd w:val="clear" w:color="auto" w:fill="auto"/>
            <w:vAlign w:val="bottom"/>
          </w:tcPr>
          <w:p w14:paraId="5A233B63" w14:textId="7BC4ED60"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0.07</w:t>
            </w:r>
          </w:p>
        </w:tc>
      </w:tr>
      <w:tr w:rsidR="00C9297B" w:rsidRPr="00C9297B" w14:paraId="16338E70" w14:textId="77777777" w:rsidTr="004922CA">
        <w:trPr>
          <w:trHeight w:val="290"/>
        </w:trPr>
        <w:tc>
          <w:tcPr>
            <w:tcW w:w="1871" w:type="dxa"/>
            <w:vAlign w:val="bottom"/>
          </w:tcPr>
          <w:p w14:paraId="13E31E92" w14:textId="77777777" w:rsidR="00C9297B" w:rsidRPr="00C9297B" w:rsidRDefault="00C9297B" w:rsidP="00C9297B">
            <w:pPr>
              <w:autoSpaceDE w:val="0"/>
              <w:autoSpaceDN w:val="0"/>
              <w:adjustRightInd w:val="0"/>
              <w:jc w:val="center"/>
              <w:rPr>
                <w:rFonts w:ascii="Arial Narrow" w:hAnsi="Arial Narrow" w:cs="Arial"/>
                <w:sz w:val="20"/>
                <w:szCs w:val="20"/>
              </w:rPr>
            </w:pPr>
          </w:p>
        </w:tc>
        <w:tc>
          <w:tcPr>
            <w:tcW w:w="1871" w:type="dxa"/>
            <w:vAlign w:val="bottom"/>
          </w:tcPr>
          <w:p w14:paraId="5F44B070" w14:textId="71BB8B60" w:rsidR="00C9297B" w:rsidRPr="00C9297B" w:rsidRDefault="00C9297B" w:rsidP="00C9297B">
            <w:pPr>
              <w:autoSpaceDE w:val="0"/>
              <w:autoSpaceDN w:val="0"/>
              <w:adjustRightInd w:val="0"/>
              <w:jc w:val="center"/>
              <w:rPr>
                <w:rFonts w:ascii="Arial Narrow" w:hAnsi="Arial Narrow" w:cs="Arial"/>
                <w:sz w:val="20"/>
                <w:szCs w:val="20"/>
              </w:rPr>
            </w:pPr>
          </w:p>
        </w:tc>
        <w:tc>
          <w:tcPr>
            <w:tcW w:w="1871" w:type="dxa"/>
            <w:vAlign w:val="bottom"/>
          </w:tcPr>
          <w:p w14:paraId="0B189651" w14:textId="64CDE528"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4AROA202.20</w:t>
            </w:r>
          </w:p>
        </w:tc>
        <w:tc>
          <w:tcPr>
            <w:tcW w:w="1260" w:type="dxa"/>
            <w:vAlign w:val="bottom"/>
          </w:tcPr>
          <w:p w14:paraId="494B5BA5" w14:textId="49DD1895"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11/11/2022</w:t>
            </w:r>
          </w:p>
        </w:tc>
        <w:tc>
          <w:tcPr>
            <w:tcW w:w="1260" w:type="dxa"/>
            <w:shd w:val="clear" w:color="auto" w:fill="C2D3EA"/>
            <w:vAlign w:val="bottom"/>
          </w:tcPr>
          <w:p w14:paraId="6B07A7F3" w14:textId="4204D8EE"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0.27</w:t>
            </w:r>
          </w:p>
        </w:tc>
        <w:tc>
          <w:tcPr>
            <w:tcW w:w="1260" w:type="dxa"/>
            <w:shd w:val="clear" w:color="auto" w:fill="auto"/>
            <w:vAlign w:val="bottom"/>
          </w:tcPr>
          <w:p w14:paraId="1FC2FB68" w14:textId="4F030345"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0.12</w:t>
            </w:r>
          </w:p>
        </w:tc>
      </w:tr>
      <w:tr w:rsidR="00C9297B" w:rsidRPr="00C9297B" w14:paraId="3B14374D" w14:textId="77777777" w:rsidTr="004922CA">
        <w:trPr>
          <w:trHeight w:val="290"/>
        </w:trPr>
        <w:tc>
          <w:tcPr>
            <w:tcW w:w="1871" w:type="dxa"/>
            <w:vAlign w:val="bottom"/>
          </w:tcPr>
          <w:p w14:paraId="0AD7AB7E" w14:textId="77777777" w:rsidR="00C9297B" w:rsidRPr="00C9297B" w:rsidRDefault="00C9297B" w:rsidP="00C9297B">
            <w:pPr>
              <w:autoSpaceDE w:val="0"/>
              <w:autoSpaceDN w:val="0"/>
              <w:adjustRightInd w:val="0"/>
              <w:jc w:val="center"/>
              <w:rPr>
                <w:rFonts w:ascii="Arial Narrow" w:hAnsi="Arial Narrow" w:cs="Arial"/>
                <w:sz w:val="20"/>
                <w:szCs w:val="20"/>
              </w:rPr>
            </w:pPr>
          </w:p>
        </w:tc>
        <w:tc>
          <w:tcPr>
            <w:tcW w:w="1871" w:type="dxa"/>
            <w:vAlign w:val="bottom"/>
          </w:tcPr>
          <w:p w14:paraId="2F280732" w14:textId="42DEDCFB" w:rsidR="00C9297B" w:rsidRPr="00C9297B" w:rsidRDefault="00C9297B" w:rsidP="00C9297B">
            <w:pPr>
              <w:autoSpaceDE w:val="0"/>
              <w:autoSpaceDN w:val="0"/>
              <w:adjustRightInd w:val="0"/>
              <w:jc w:val="center"/>
              <w:rPr>
                <w:rFonts w:ascii="Arial Narrow" w:hAnsi="Arial Narrow" w:cs="Arial"/>
                <w:sz w:val="20"/>
                <w:szCs w:val="20"/>
              </w:rPr>
            </w:pPr>
          </w:p>
        </w:tc>
        <w:tc>
          <w:tcPr>
            <w:tcW w:w="1871" w:type="dxa"/>
            <w:vAlign w:val="bottom"/>
          </w:tcPr>
          <w:p w14:paraId="0EDAB24E" w14:textId="6178F629"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4AROA202.32</w:t>
            </w:r>
          </w:p>
        </w:tc>
        <w:tc>
          <w:tcPr>
            <w:tcW w:w="1260" w:type="dxa"/>
            <w:vAlign w:val="bottom"/>
          </w:tcPr>
          <w:p w14:paraId="76F71048" w14:textId="788873F5"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5/3/2004</w:t>
            </w:r>
          </w:p>
        </w:tc>
        <w:tc>
          <w:tcPr>
            <w:tcW w:w="1260" w:type="dxa"/>
            <w:shd w:val="clear" w:color="auto" w:fill="C2D3EA"/>
            <w:vAlign w:val="bottom"/>
          </w:tcPr>
          <w:p w14:paraId="7F3891F7" w14:textId="25D581E1"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0.15</w:t>
            </w:r>
          </w:p>
        </w:tc>
        <w:tc>
          <w:tcPr>
            <w:tcW w:w="1260" w:type="dxa"/>
            <w:shd w:val="clear" w:color="auto" w:fill="auto"/>
            <w:vAlign w:val="bottom"/>
          </w:tcPr>
          <w:p w14:paraId="38449BA7" w14:textId="0AE46298"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0.46</w:t>
            </w:r>
          </w:p>
        </w:tc>
      </w:tr>
      <w:tr w:rsidR="00C9297B" w:rsidRPr="00C9297B" w14:paraId="42A1AA07" w14:textId="77777777" w:rsidTr="004922CA">
        <w:trPr>
          <w:trHeight w:val="290"/>
        </w:trPr>
        <w:tc>
          <w:tcPr>
            <w:tcW w:w="1871" w:type="dxa"/>
            <w:vAlign w:val="bottom"/>
          </w:tcPr>
          <w:p w14:paraId="1E5D5C02" w14:textId="77777777" w:rsidR="00C9297B" w:rsidRPr="00C9297B" w:rsidRDefault="00C9297B" w:rsidP="00C9297B">
            <w:pPr>
              <w:autoSpaceDE w:val="0"/>
              <w:autoSpaceDN w:val="0"/>
              <w:adjustRightInd w:val="0"/>
              <w:jc w:val="center"/>
              <w:rPr>
                <w:rFonts w:ascii="Arial Narrow" w:hAnsi="Arial Narrow" w:cs="Arial"/>
                <w:sz w:val="20"/>
                <w:szCs w:val="20"/>
              </w:rPr>
            </w:pPr>
          </w:p>
        </w:tc>
        <w:tc>
          <w:tcPr>
            <w:tcW w:w="1871" w:type="dxa"/>
            <w:vAlign w:val="bottom"/>
          </w:tcPr>
          <w:p w14:paraId="43A92892" w14:textId="7AD073CE" w:rsidR="00C9297B" w:rsidRPr="00C9297B" w:rsidRDefault="00C9297B" w:rsidP="00C9297B">
            <w:pPr>
              <w:autoSpaceDE w:val="0"/>
              <w:autoSpaceDN w:val="0"/>
              <w:adjustRightInd w:val="0"/>
              <w:jc w:val="center"/>
              <w:rPr>
                <w:rFonts w:ascii="Arial Narrow" w:hAnsi="Arial Narrow" w:cs="Arial"/>
                <w:sz w:val="20"/>
                <w:szCs w:val="20"/>
              </w:rPr>
            </w:pPr>
          </w:p>
        </w:tc>
        <w:tc>
          <w:tcPr>
            <w:tcW w:w="1871" w:type="dxa"/>
            <w:vAlign w:val="bottom"/>
          </w:tcPr>
          <w:p w14:paraId="7E9F7112" w14:textId="013C7493"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4AROA210.56</w:t>
            </w:r>
          </w:p>
        </w:tc>
        <w:tc>
          <w:tcPr>
            <w:tcW w:w="1260" w:type="dxa"/>
            <w:vAlign w:val="bottom"/>
          </w:tcPr>
          <w:p w14:paraId="45C1B028" w14:textId="0750E420"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3/25/2009</w:t>
            </w:r>
          </w:p>
        </w:tc>
        <w:tc>
          <w:tcPr>
            <w:tcW w:w="1260" w:type="dxa"/>
            <w:shd w:val="clear" w:color="auto" w:fill="C2D3EA"/>
            <w:vAlign w:val="bottom"/>
          </w:tcPr>
          <w:p w14:paraId="328FC8AC" w14:textId="454C665C"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0.21</w:t>
            </w:r>
          </w:p>
        </w:tc>
        <w:tc>
          <w:tcPr>
            <w:tcW w:w="1260" w:type="dxa"/>
            <w:shd w:val="clear" w:color="auto" w:fill="auto"/>
            <w:vAlign w:val="bottom"/>
          </w:tcPr>
          <w:p w14:paraId="511235AA" w14:textId="1EFFA862"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0.46</w:t>
            </w:r>
          </w:p>
        </w:tc>
      </w:tr>
      <w:tr w:rsidR="00C9297B" w:rsidRPr="00C9297B" w14:paraId="2D89F29F" w14:textId="77777777" w:rsidTr="004922CA">
        <w:trPr>
          <w:trHeight w:val="290"/>
        </w:trPr>
        <w:tc>
          <w:tcPr>
            <w:tcW w:w="1871" w:type="dxa"/>
            <w:vAlign w:val="bottom"/>
          </w:tcPr>
          <w:p w14:paraId="738F5B24" w14:textId="77777777" w:rsidR="00C9297B" w:rsidRPr="00C9297B" w:rsidRDefault="00C9297B" w:rsidP="00C9297B">
            <w:pPr>
              <w:autoSpaceDE w:val="0"/>
              <w:autoSpaceDN w:val="0"/>
              <w:adjustRightInd w:val="0"/>
              <w:jc w:val="center"/>
              <w:rPr>
                <w:rFonts w:ascii="Arial Narrow" w:hAnsi="Arial Narrow" w:cs="Arial"/>
                <w:sz w:val="20"/>
                <w:szCs w:val="20"/>
              </w:rPr>
            </w:pPr>
          </w:p>
        </w:tc>
        <w:tc>
          <w:tcPr>
            <w:tcW w:w="1871" w:type="dxa"/>
            <w:vAlign w:val="bottom"/>
          </w:tcPr>
          <w:p w14:paraId="768D1CC1" w14:textId="29F791E2" w:rsidR="00C9297B" w:rsidRPr="00C9297B" w:rsidRDefault="00C9297B" w:rsidP="00C9297B">
            <w:pPr>
              <w:autoSpaceDE w:val="0"/>
              <w:autoSpaceDN w:val="0"/>
              <w:adjustRightInd w:val="0"/>
              <w:jc w:val="center"/>
              <w:rPr>
                <w:rFonts w:ascii="Arial Narrow" w:hAnsi="Arial Narrow" w:cs="Arial"/>
                <w:sz w:val="20"/>
                <w:szCs w:val="20"/>
              </w:rPr>
            </w:pPr>
          </w:p>
        </w:tc>
        <w:tc>
          <w:tcPr>
            <w:tcW w:w="1871" w:type="dxa"/>
            <w:vAlign w:val="bottom"/>
          </w:tcPr>
          <w:p w14:paraId="5DA86571" w14:textId="76DB9D5E"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4AROA216.75</w:t>
            </w:r>
          </w:p>
        </w:tc>
        <w:tc>
          <w:tcPr>
            <w:tcW w:w="1260" w:type="dxa"/>
            <w:vAlign w:val="bottom"/>
          </w:tcPr>
          <w:p w14:paraId="20489983" w14:textId="62311ED3"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4/11/2017</w:t>
            </w:r>
          </w:p>
        </w:tc>
        <w:tc>
          <w:tcPr>
            <w:tcW w:w="1260" w:type="dxa"/>
            <w:shd w:val="clear" w:color="auto" w:fill="C2D3EA"/>
            <w:vAlign w:val="bottom"/>
          </w:tcPr>
          <w:p w14:paraId="1C35FAED" w14:textId="11787247"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0.16</w:t>
            </w:r>
          </w:p>
        </w:tc>
        <w:tc>
          <w:tcPr>
            <w:tcW w:w="1260" w:type="dxa"/>
            <w:shd w:val="clear" w:color="auto" w:fill="auto"/>
            <w:vAlign w:val="bottom"/>
          </w:tcPr>
          <w:p w14:paraId="5DE822BF" w14:textId="54C4B74D"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0.13</w:t>
            </w:r>
          </w:p>
        </w:tc>
      </w:tr>
      <w:tr w:rsidR="00C9297B" w:rsidRPr="00C9297B" w14:paraId="6949DD1A" w14:textId="77777777" w:rsidTr="004922CA">
        <w:trPr>
          <w:trHeight w:val="290"/>
        </w:trPr>
        <w:tc>
          <w:tcPr>
            <w:tcW w:w="1871" w:type="dxa"/>
            <w:vAlign w:val="bottom"/>
          </w:tcPr>
          <w:p w14:paraId="020049A2" w14:textId="77777777" w:rsidR="00C9297B" w:rsidRPr="00C9297B" w:rsidRDefault="00C9297B" w:rsidP="00C9297B">
            <w:pPr>
              <w:autoSpaceDE w:val="0"/>
              <w:autoSpaceDN w:val="0"/>
              <w:adjustRightInd w:val="0"/>
              <w:jc w:val="center"/>
              <w:rPr>
                <w:rFonts w:ascii="Arial Narrow" w:hAnsi="Arial Narrow" w:cs="Arial"/>
                <w:sz w:val="20"/>
                <w:szCs w:val="20"/>
              </w:rPr>
            </w:pPr>
          </w:p>
        </w:tc>
        <w:tc>
          <w:tcPr>
            <w:tcW w:w="1871" w:type="dxa"/>
            <w:vAlign w:val="bottom"/>
          </w:tcPr>
          <w:p w14:paraId="5911EA54" w14:textId="19A4623F" w:rsidR="00C9297B" w:rsidRPr="00C9297B" w:rsidRDefault="00C9297B" w:rsidP="00C9297B">
            <w:pPr>
              <w:autoSpaceDE w:val="0"/>
              <w:autoSpaceDN w:val="0"/>
              <w:adjustRightInd w:val="0"/>
              <w:jc w:val="center"/>
              <w:rPr>
                <w:rFonts w:ascii="Arial Narrow" w:hAnsi="Arial Narrow" w:cs="Arial"/>
                <w:sz w:val="20"/>
                <w:szCs w:val="20"/>
              </w:rPr>
            </w:pPr>
          </w:p>
        </w:tc>
        <w:tc>
          <w:tcPr>
            <w:tcW w:w="1871" w:type="dxa"/>
            <w:vAlign w:val="bottom"/>
          </w:tcPr>
          <w:p w14:paraId="60156DF1" w14:textId="67E63997"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4AROA216.75</w:t>
            </w:r>
          </w:p>
        </w:tc>
        <w:tc>
          <w:tcPr>
            <w:tcW w:w="1260" w:type="dxa"/>
            <w:vAlign w:val="bottom"/>
          </w:tcPr>
          <w:p w14:paraId="3127A932" w14:textId="063C3EFC"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5/10/2021</w:t>
            </w:r>
          </w:p>
        </w:tc>
        <w:tc>
          <w:tcPr>
            <w:tcW w:w="1260" w:type="dxa"/>
            <w:shd w:val="clear" w:color="auto" w:fill="C2D3EA"/>
            <w:vAlign w:val="bottom"/>
          </w:tcPr>
          <w:p w14:paraId="5992AA32" w14:textId="5048F6F4"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0.10</w:t>
            </w:r>
          </w:p>
        </w:tc>
        <w:tc>
          <w:tcPr>
            <w:tcW w:w="1260" w:type="dxa"/>
            <w:shd w:val="clear" w:color="auto" w:fill="auto"/>
            <w:vAlign w:val="bottom"/>
          </w:tcPr>
          <w:p w14:paraId="6A98217E" w14:textId="1A36CB54"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0.06</w:t>
            </w:r>
          </w:p>
        </w:tc>
      </w:tr>
      <w:tr w:rsidR="00C9297B" w:rsidRPr="00C9297B" w14:paraId="5FA2777F" w14:textId="77777777" w:rsidTr="004922CA">
        <w:trPr>
          <w:trHeight w:val="290"/>
        </w:trPr>
        <w:tc>
          <w:tcPr>
            <w:tcW w:w="1871" w:type="dxa"/>
            <w:vAlign w:val="bottom"/>
          </w:tcPr>
          <w:p w14:paraId="04102AE1" w14:textId="77777777" w:rsidR="00C9297B" w:rsidRPr="00C9297B" w:rsidRDefault="00C9297B" w:rsidP="00C9297B">
            <w:pPr>
              <w:autoSpaceDE w:val="0"/>
              <w:autoSpaceDN w:val="0"/>
              <w:adjustRightInd w:val="0"/>
              <w:jc w:val="center"/>
              <w:rPr>
                <w:rFonts w:ascii="Arial Narrow" w:hAnsi="Arial Narrow" w:cs="Arial"/>
                <w:sz w:val="20"/>
                <w:szCs w:val="20"/>
              </w:rPr>
            </w:pPr>
          </w:p>
        </w:tc>
        <w:tc>
          <w:tcPr>
            <w:tcW w:w="1871" w:type="dxa"/>
            <w:vAlign w:val="bottom"/>
          </w:tcPr>
          <w:p w14:paraId="77AE4B88" w14:textId="5259C7E1" w:rsidR="00C9297B" w:rsidRPr="00C9297B" w:rsidRDefault="00C9297B" w:rsidP="00C9297B">
            <w:pPr>
              <w:autoSpaceDE w:val="0"/>
              <w:autoSpaceDN w:val="0"/>
              <w:adjustRightInd w:val="0"/>
              <w:jc w:val="center"/>
              <w:rPr>
                <w:rFonts w:ascii="Arial Narrow" w:hAnsi="Arial Narrow" w:cs="Arial"/>
                <w:sz w:val="20"/>
                <w:szCs w:val="20"/>
              </w:rPr>
            </w:pPr>
          </w:p>
        </w:tc>
        <w:tc>
          <w:tcPr>
            <w:tcW w:w="1871" w:type="dxa"/>
            <w:vAlign w:val="bottom"/>
          </w:tcPr>
          <w:p w14:paraId="7B499AB4" w14:textId="36137C4B"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4AROA227.42</w:t>
            </w:r>
          </w:p>
        </w:tc>
        <w:tc>
          <w:tcPr>
            <w:tcW w:w="1260" w:type="dxa"/>
            <w:vAlign w:val="bottom"/>
          </w:tcPr>
          <w:p w14:paraId="51C0E898" w14:textId="249425B6"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6/19/2001</w:t>
            </w:r>
          </w:p>
        </w:tc>
        <w:tc>
          <w:tcPr>
            <w:tcW w:w="1260" w:type="dxa"/>
            <w:shd w:val="clear" w:color="auto" w:fill="C2D3EA"/>
            <w:vAlign w:val="bottom"/>
          </w:tcPr>
          <w:p w14:paraId="70A7FD23" w14:textId="62777023"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0.18</w:t>
            </w:r>
          </w:p>
        </w:tc>
        <w:tc>
          <w:tcPr>
            <w:tcW w:w="1260" w:type="dxa"/>
            <w:shd w:val="clear" w:color="auto" w:fill="auto"/>
            <w:vAlign w:val="bottom"/>
          </w:tcPr>
          <w:p w14:paraId="77A71375" w14:textId="1B15D153"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0.43</w:t>
            </w:r>
          </w:p>
        </w:tc>
      </w:tr>
      <w:tr w:rsidR="00C9297B" w:rsidRPr="00C9297B" w14:paraId="0B37C56C" w14:textId="77777777" w:rsidTr="004922CA">
        <w:trPr>
          <w:trHeight w:val="290"/>
        </w:trPr>
        <w:tc>
          <w:tcPr>
            <w:tcW w:w="1871" w:type="dxa"/>
            <w:vAlign w:val="bottom"/>
          </w:tcPr>
          <w:p w14:paraId="11EEB40B" w14:textId="77777777" w:rsidR="00C9297B" w:rsidRPr="00C9297B" w:rsidRDefault="00C9297B" w:rsidP="00C9297B">
            <w:pPr>
              <w:autoSpaceDE w:val="0"/>
              <w:autoSpaceDN w:val="0"/>
              <w:adjustRightInd w:val="0"/>
              <w:jc w:val="center"/>
              <w:rPr>
                <w:rFonts w:ascii="Arial Narrow" w:hAnsi="Arial Narrow" w:cs="Arial"/>
                <w:sz w:val="20"/>
                <w:szCs w:val="20"/>
              </w:rPr>
            </w:pPr>
          </w:p>
        </w:tc>
        <w:tc>
          <w:tcPr>
            <w:tcW w:w="1871" w:type="dxa"/>
            <w:vAlign w:val="bottom"/>
          </w:tcPr>
          <w:p w14:paraId="02B78B75" w14:textId="2F0C1221"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Gish Branch</w:t>
            </w:r>
          </w:p>
        </w:tc>
        <w:tc>
          <w:tcPr>
            <w:tcW w:w="1871" w:type="dxa"/>
            <w:vAlign w:val="bottom"/>
          </w:tcPr>
          <w:p w14:paraId="0D7DB4EF" w14:textId="7D203F92"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4AGSH001.28</w:t>
            </w:r>
          </w:p>
        </w:tc>
        <w:tc>
          <w:tcPr>
            <w:tcW w:w="1260" w:type="dxa"/>
            <w:vAlign w:val="bottom"/>
          </w:tcPr>
          <w:p w14:paraId="2A92EB60" w14:textId="5933BE19"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5/8/2012</w:t>
            </w:r>
          </w:p>
        </w:tc>
        <w:tc>
          <w:tcPr>
            <w:tcW w:w="1260" w:type="dxa"/>
            <w:shd w:val="clear" w:color="auto" w:fill="C2D3EA"/>
            <w:vAlign w:val="bottom"/>
          </w:tcPr>
          <w:p w14:paraId="615C7E57" w14:textId="31109AE0"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0.11</w:t>
            </w:r>
          </w:p>
        </w:tc>
        <w:tc>
          <w:tcPr>
            <w:tcW w:w="1260" w:type="dxa"/>
            <w:shd w:val="clear" w:color="auto" w:fill="auto"/>
            <w:vAlign w:val="bottom"/>
          </w:tcPr>
          <w:p w14:paraId="3467BFD9" w14:textId="65125C63"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0.16</w:t>
            </w:r>
          </w:p>
        </w:tc>
      </w:tr>
      <w:tr w:rsidR="00C9297B" w:rsidRPr="00C9297B" w14:paraId="29339D2F" w14:textId="77777777" w:rsidTr="004922CA">
        <w:trPr>
          <w:trHeight w:val="290"/>
        </w:trPr>
        <w:tc>
          <w:tcPr>
            <w:tcW w:w="1871" w:type="dxa"/>
            <w:vAlign w:val="bottom"/>
          </w:tcPr>
          <w:p w14:paraId="4D5C49B5" w14:textId="77777777" w:rsidR="00C9297B" w:rsidRPr="00C9297B" w:rsidRDefault="00C9297B" w:rsidP="00C9297B">
            <w:pPr>
              <w:autoSpaceDE w:val="0"/>
              <w:autoSpaceDN w:val="0"/>
              <w:adjustRightInd w:val="0"/>
              <w:jc w:val="center"/>
              <w:rPr>
                <w:rFonts w:ascii="Arial Narrow" w:hAnsi="Arial Narrow" w:cs="Arial"/>
                <w:sz w:val="20"/>
                <w:szCs w:val="20"/>
              </w:rPr>
            </w:pPr>
          </w:p>
        </w:tc>
        <w:tc>
          <w:tcPr>
            <w:tcW w:w="1871" w:type="dxa"/>
            <w:vAlign w:val="bottom"/>
          </w:tcPr>
          <w:p w14:paraId="4B297B2B" w14:textId="0C6F3A14"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Mud Lick Creek</w:t>
            </w:r>
          </w:p>
        </w:tc>
        <w:tc>
          <w:tcPr>
            <w:tcW w:w="1871" w:type="dxa"/>
            <w:vAlign w:val="bottom"/>
          </w:tcPr>
          <w:p w14:paraId="688495D2" w14:textId="2213CB43"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4AMDL002.93</w:t>
            </w:r>
          </w:p>
        </w:tc>
        <w:tc>
          <w:tcPr>
            <w:tcW w:w="1260" w:type="dxa"/>
            <w:vAlign w:val="bottom"/>
          </w:tcPr>
          <w:p w14:paraId="417476CD" w14:textId="6C699371"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4/19/2007</w:t>
            </w:r>
          </w:p>
        </w:tc>
        <w:tc>
          <w:tcPr>
            <w:tcW w:w="1260" w:type="dxa"/>
            <w:shd w:val="clear" w:color="auto" w:fill="C2D3EA"/>
            <w:vAlign w:val="bottom"/>
          </w:tcPr>
          <w:p w14:paraId="2BFE6453" w14:textId="294A488B"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0.18</w:t>
            </w:r>
          </w:p>
        </w:tc>
        <w:tc>
          <w:tcPr>
            <w:tcW w:w="1260" w:type="dxa"/>
            <w:shd w:val="clear" w:color="auto" w:fill="auto"/>
            <w:vAlign w:val="bottom"/>
          </w:tcPr>
          <w:p w14:paraId="595B936D" w14:textId="21CDC4F4"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0.46</w:t>
            </w:r>
          </w:p>
        </w:tc>
      </w:tr>
      <w:tr w:rsidR="00C9297B" w:rsidRPr="00C9297B" w14:paraId="049751F1" w14:textId="77777777" w:rsidTr="004922CA">
        <w:trPr>
          <w:trHeight w:val="290"/>
        </w:trPr>
        <w:tc>
          <w:tcPr>
            <w:tcW w:w="1871" w:type="dxa"/>
            <w:vAlign w:val="bottom"/>
          </w:tcPr>
          <w:p w14:paraId="26201ADE" w14:textId="77777777" w:rsidR="00C9297B" w:rsidRPr="00C9297B" w:rsidRDefault="00C9297B" w:rsidP="00C9297B">
            <w:pPr>
              <w:autoSpaceDE w:val="0"/>
              <w:autoSpaceDN w:val="0"/>
              <w:adjustRightInd w:val="0"/>
              <w:jc w:val="center"/>
              <w:rPr>
                <w:rFonts w:ascii="Arial Narrow" w:hAnsi="Arial Narrow" w:cs="Arial"/>
                <w:sz w:val="20"/>
                <w:szCs w:val="20"/>
              </w:rPr>
            </w:pPr>
          </w:p>
        </w:tc>
        <w:tc>
          <w:tcPr>
            <w:tcW w:w="1871" w:type="dxa"/>
            <w:vAlign w:val="bottom"/>
          </w:tcPr>
          <w:p w14:paraId="35D73BB9" w14:textId="6E0990EA"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Mason Creek UT</w:t>
            </w:r>
          </w:p>
        </w:tc>
        <w:tc>
          <w:tcPr>
            <w:tcW w:w="1871" w:type="dxa"/>
            <w:vAlign w:val="bottom"/>
          </w:tcPr>
          <w:p w14:paraId="38B38014" w14:textId="00095DC5"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4AXNB000.60</w:t>
            </w:r>
          </w:p>
        </w:tc>
        <w:tc>
          <w:tcPr>
            <w:tcW w:w="1260" w:type="dxa"/>
            <w:vAlign w:val="bottom"/>
          </w:tcPr>
          <w:p w14:paraId="59455967" w14:textId="025EEC51"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4/4/2006</w:t>
            </w:r>
          </w:p>
        </w:tc>
        <w:tc>
          <w:tcPr>
            <w:tcW w:w="1260" w:type="dxa"/>
            <w:shd w:val="clear" w:color="auto" w:fill="C2D3EA"/>
            <w:vAlign w:val="bottom"/>
          </w:tcPr>
          <w:p w14:paraId="5483B1F6" w14:textId="0E9C972D"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0.57</w:t>
            </w:r>
          </w:p>
        </w:tc>
        <w:tc>
          <w:tcPr>
            <w:tcW w:w="1260" w:type="dxa"/>
            <w:shd w:val="clear" w:color="auto" w:fill="auto"/>
            <w:vAlign w:val="bottom"/>
          </w:tcPr>
          <w:p w14:paraId="5B4F19A2" w14:textId="28605FE0"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0.48</w:t>
            </w:r>
          </w:p>
        </w:tc>
      </w:tr>
      <w:tr w:rsidR="00C9297B" w:rsidRPr="00C9297B" w14:paraId="5278169F" w14:textId="77777777" w:rsidTr="004922CA">
        <w:trPr>
          <w:trHeight w:val="290"/>
        </w:trPr>
        <w:tc>
          <w:tcPr>
            <w:tcW w:w="1871" w:type="dxa"/>
            <w:vAlign w:val="bottom"/>
          </w:tcPr>
          <w:p w14:paraId="1B045A86" w14:textId="77777777" w:rsidR="00C9297B" w:rsidRPr="00C9297B" w:rsidRDefault="00C9297B" w:rsidP="00C9297B">
            <w:pPr>
              <w:autoSpaceDE w:val="0"/>
              <w:autoSpaceDN w:val="0"/>
              <w:adjustRightInd w:val="0"/>
              <w:jc w:val="center"/>
              <w:rPr>
                <w:rFonts w:ascii="Arial Narrow" w:hAnsi="Arial Narrow" w:cs="Arial"/>
                <w:sz w:val="20"/>
                <w:szCs w:val="20"/>
              </w:rPr>
            </w:pPr>
          </w:p>
        </w:tc>
        <w:tc>
          <w:tcPr>
            <w:tcW w:w="1871" w:type="dxa"/>
            <w:vAlign w:val="bottom"/>
          </w:tcPr>
          <w:p w14:paraId="2DF41183" w14:textId="144AE372"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Ore Branch</w:t>
            </w:r>
          </w:p>
        </w:tc>
        <w:tc>
          <w:tcPr>
            <w:tcW w:w="1871" w:type="dxa"/>
            <w:vAlign w:val="bottom"/>
          </w:tcPr>
          <w:p w14:paraId="11119608" w14:textId="1804503A"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4AORE000.01</w:t>
            </w:r>
          </w:p>
        </w:tc>
        <w:tc>
          <w:tcPr>
            <w:tcW w:w="1260" w:type="dxa"/>
            <w:vAlign w:val="bottom"/>
          </w:tcPr>
          <w:p w14:paraId="6AB57217" w14:textId="7886834E"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5/26/2011</w:t>
            </w:r>
          </w:p>
        </w:tc>
        <w:tc>
          <w:tcPr>
            <w:tcW w:w="1260" w:type="dxa"/>
            <w:shd w:val="clear" w:color="auto" w:fill="C2D3EA"/>
            <w:vAlign w:val="bottom"/>
          </w:tcPr>
          <w:p w14:paraId="4DE6DD9B" w14:textId="5B68370D"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0.26</w:t>
            </w:r>
          </w:p>
        </w:tc>
        <w:tc>
          <w:tcPr>
            <w:tcW w:w="1260" w:type="dxa"/>
            <w:shd w:val="clear" w:color="auto" w:fill="auto"/>
            <w:vAlign w:val="bottom"/>
          </w:tcPr>
          <w:p w14:paraId="2CD069D0" w14:textId="4814E755" w:rsidR="00C9297B" w:rsidRPr="00C9297B" w:rsidRDefault="00C9297B" w:rsidP="00C9297B">
            <w:pPr>
              <w:autoSpaceDE w:val="0"/>
              <w:autoSpaceDN w:val="0"/>
              <w:adjustRightInd w:val="0"/>
              <w:jc w:val="center"/>
              <w:rPr>
                <w:rFonts w:ascii="Arial Narrow" w:hAnsi="Arial Narrow" w:cs="Arial"/>
                <w:sz w:val="20"/>
                <w:szCs w:val="20"/>
              </w:rPr>
            </w:pPr>
            <w:r w:rsidRPr="00C9297B">
              <w:rPr>
                <w:rFonts w:ascii="Arial Narrow" w:hAnsi="Arial Narrow" w:cs="Calibri"/>
                <w:color w:val="000000"/>
                <w:sz w:val="20"/>
                <w:szCs w:val="20"/>
              </w:rPr>
              <w:t>0.10</w:t>
            </w:r>
          </w:p>
        </w:tc>
      </w:tr>
    </w:tbl>
    <w:p w14:paraId="0D097B0F" w14:textId="7F6A381D" w:rsidR="001E71CA" w:rsidRPr="0042789F" w:rsidRDefault="001E71CA" w:rsidP="001E71CA">
      <w:pPr>
        <w:pStyle w:val="BlockText"/>
        <w:spacing w:before="0" w:after="0" w:line="240" w:lineRule="auto"/>
        <w:rPr>
          <w:rFonts w:ascii="Arial Narrow" w:hAnsi="Arial Narrow"/>
          <w:sz w:val="20"/>
          <w:szCs w:val="20"/>
        </w:rPr>
      </w:pPr>
      <w:r w:rsidRPr="0042789F">
        <w:rPr>
          <w:rFonts w:ascii="Arial Narrow" w:hAnsi="Arial Narrow"/>
          <w:sz w:val="20"/>
          <w:szCs w:val="20"/>
          <w:vertAlign w:val="superscript"/>
        </w:rPr>
        <w:t>1</w:t>
      </w:r>
      <w:r w:rsidRPr="0042789F">
        <w:rPr>
          <w:rFonts w:ascii="Arial Narrow" w:hAnsi="Arial Narrow"/>
          <w:sz w:val="20"/>
          <w:szCs w:val="20"/>
        </w:rPr>
        <w:t xml:space="preserve"> Cumulative criterion unit (CCU) is the sum of the dissolved metal concentration to water quality standard ratio for each metal. </w:t>
      </w:r>
      <w:r w:rsidR="008377A2" w:rsidRPr="0042789F">
        <w:rPr>
          <w:rFonts w:ascii="Arial Narrow" w:hAnsi="Arial Narrow"/>
          <w:sz w:val="20"/>
          <w:szCs w:val="20"/>
        </w:rPr>
        <w:t xml:space="preserve">Values in blue are in the no probability range </w:t>
      </w:r>
      <w:r w:rsidR="00B82AB9">
        <w:rPr>
          <w:rFonts w:ascii="Arial Narrow" w:hAnsi="Arial Narrow"/>
          <w:sz w:val="20"/>
          <w:szCs w:val="20"/>
        </w:rPr>
        <w:t>for</w:t>
      </w:r>
      <w:r w:rsidR="008377A2" w:rsidRPr="0042789F">
        <w:rPr>
          <w:rFonts w:ascii="Arial Narrow" w:hAnsi="Arial Narrow"/>
          <w:sz w:val="20"/>
          <w:szCs w:val="20"/>
        </w:rPr>
        <w:t xml:space="preserve"> stressor effects</w:t>
      </w:r>
      <w:r w:rsidR="00FB6F21" w:rsidRPr="0042789F">
        <w:rPr>
          <w:rFonts w:ascii="Arial Narrow" w:hAnsi="Arial Narrow"/>
          <w:sz w:val="20"/>
          <w:szCs w:val="20"/>
        </w:rPr>
        <w:t>.</w:t>
      </w:r>
    </w:p>
    <w:p w14:paraId="3FC2B93A" w14:textId="01030F80" w:rsidR="001E71CA" w:rsidRDefault="001E71CA" w:rsidP="001E71CA">
      <w:pPr>
        <w:pStyle w:val="BlockText"/>
        <w:spacing w:before="0" w:after="0" w:line="240" w:lineRule="auto"/>
        <w:rPr>
          <w:rFonts w:ascii="Arial Narrow" w:hAnsi="Arial Narrow"/>
          <w:sz w:val="20"/>
          <w:szCs w:val="20"/>
        </w:rPr>
      </w:pPr>
      <w:r w:rsidRPr="0042789F">
        <w:rPr>
          <w:rFonts w:ascii="Arial Narrow" w:hAnsi="Arial Narrow"/>
          <w:sz w:val="20"/>
          <w:szCs w:val="20"/>
          <w:vertAlign w:val="superscript"/>
        </w:rPr>
        <w:t>2</w:t>
      </w:r>
      <w:r w:rsidRPr="0042789F">
        <w:rPr>
          <w:rFonts w:ascii="Arial Narrow" w:hAnsi="Arial Narrow"/>
          <w:sz w:val="20"/>
          <w:szCs w:val="20"/>
        </w:rPr>
        <w:t xml:space="preserve"> Toxicity reference value (TRV) index is the sum of the dissolved metal concentration to toxic threshold value ratio for each metal. </w:t>
      </w:r>
    </w:p>
    <w:p w14:paraId="6D764264" w14:textId="581E4E3A" w:rsidR="006129D5" w:rsidRDefault="006129D5" w:rsidP="001E71CA">
      <w:pPr>
        <w:pStyle w:val="BlockText"/>
        <w:spacing w:before="0" w:after="0" w:line="240" w:lineRule="auto"/>
        <w:rPr>
          <w:rFonts w:ascii="Arial Narrow" w:hAnsi="Arial Narrow"/>
          <w:sz w:val="20"/>
          <w:szCs w:val="20"/>
        </w:rPr>
      </w:pPr>
    </w:p>
    <w:p w14:paraId="663098B1" w14:textId="669830CC" w:rsidR="005B548F" w:rsidRPr="00207827" w:rsidRDefault="005B548F" w:rsidP="005B548F">
      <w:pPr>
        <w:pStyle w:val="Heading3"/>
      </w:pPr>
      <w:bookmarkStart w:id="158" w:name="_Ref158039094"/>
      <w:bookmarkStart w:id="159" w:name="_Toc162948176"/>
      <w:r>
        <w:t>Water Column Toxics</w:t>
      </w:r>
      <w:bookmarkEnd w:id="158"/>
      <w:bookmarkEnd w:id="159"/>
    </w:p>
    <w:p w14:paraId="1DABE302" w14:textId="30D7C7E8" w:rsidR="005B548F" w:rsidRDefault="005B548F" w:rsidP="005B548F">
      <w:pPr>
        <w:pStyle w:val="BlockText"/>
      </w:pPr>
      <w:r>
        <w:t xml:space="preserve">To evaluate the possibility of toxic substances in </w:t>
      </w:r>
      <w:r w:rsidR="00AC292E">
        <w:t xml:space="preserve">the Roanoke River, </w:t>
      </w:r>
      <w:r>
        <w:t xml:space="preserve">the Western Virginia Water Authority </w:t>
      </w:r>
      <w:r w:rsidR="00F475E4">
        <w:t xml:space="preserve">performed </w:t>
      </w:r>
      <w:r w:rsidR="00763134">
        <w:t xml:space="preserve">whole effluent toxicity (WET) tests </w:t>
      </w:r>
      <w:r w:rsidR="00F475E4">
        <w:t xml:space="preserve">on Roanoke River receiving water on several occasions. In November 2021, WET testing was conducted on Roanoke River receiving water directly upstream of the </w:t>
      </w:r>
      <w:r w:rsidR="00143C1C">
        <w:t>Western Virginia Water Authority Water Pollution Control Plant</w:t>
      </w:r>
      <w:r w:rsidR="00F475E4">
        <w:t xml:space="preserve"> discharge (pre-outfall) and directly downstream of the discharge (post-outfall). </w:t>
      </w:r>
      <w:r w:rsidR="00763134">
        <w:t>Roanoke River water from 4AROA202.20 and 4AROA198.08 were monitored for toxicity on three occasions (November 2022, February 2023, and May 2023). All samples were tested using</w:t>
      </w:r>
      <w:r w:rsidR="00FA5004">
        <w:t xml:space="preserve"> EPA Test Method 1000.0 (</w:t>
      </w:r>
      <w:r w:rsidR="00FA5004" w:rsidRPr="00FA5004">
        <w:t xml:space="preserve">Fathead minnow, </w:t>
      </w:r>
      <w:proofErr w:type="spellStart"/>
      <w:r w:rsidR="00FA5004" w:rsidRPr="00FA5004">
        <w:rPr>
          <w:i/>
        </w:rPr>
        <w:t>Pimephales</w:t>
      </w:r>
      <w:proofErr w:type="spellEnd"/>
      <w:r w:rsidR="00FA5004" w:rsidRPr="00FA5004">
        <w:rPr>
          <w:i/>
        </w:rPr>
        <w:t xml:space="preserve"> </w:t>
      </w:r>
      <w:proofErr w:type="spellStart"/>
      <w:r w:rsidR="00FA5004" w:rsidRPr="00FA5004">
        <w:rPr>
          <w:i/>
        </w:rPr>
        <w:t>promelas</w:t>
      </w:r>
      <w:proofErr w:type="spellEnd"/>
      <w:r w:rsidR="00FA5004" w:rsidRPr="00FA5004">
        <w:t>, larval survival and growth</w:t>
      </w:r>
      <w:r w:rsidR="00FA5004">
        <w:t xml:space="preserve"> test) and EPA Test Method 1002.0 (</w:t>
      </w:r>
      <w:r w:rsidR="00FA5004" w:rsidRPr="00FA5004">
        <w:t xml:space="preserve">Daphnia, </w:t>
      </w:r>
      <w:r w:rsidR="00FA5004" w:rsidRPr="00FA5004">
        <w:rPr>
          <w:i/>
        </w:rPr>
        <w:t xml:space="preserve">Ceriodaphnia </w:t>
      </w:r>
      <w:proofErr w:type="spellStart"/>
      <w:r w:rsidR="00FA5004" w:rsidRPr="00FA5004">
        <w:rPr>
          <w:i/>
        </w:rPr>
        <w:t>dubia</w:t>
      </w:r>
      <w:proofErr w:type="spellEnd"/>
      <w:r w:rsidR="00FA5004" w:rsidRPr="00FA5004">
        <w:t>, survival and reproduction</w:t>
      </w:r>
      <w:r w:rsidR="00FA5004">
        <w:t>)</w:t>
      </w:r>
      <w:r w:rsidR="00937123">
        <w:t xml:space="preserve"> (USEPA, 2002)</w:t>
      </w:r>
      <w:r w:rsidR="00FA5004">
        <w:t>.</w:t>
      </w:r>
    </w:p>
    <w:p w14:paraId="2653730A" w14:textId="6D0C4078" w:rsidR="00937123" w:rsidRDefault="00937123" w:rsidP="005B548F">
      <w:pPr>
        <w:pStyle w:val="BlockText"/>
      </w:pPr>
      <w:r>
        <w:fldChar w:fldCharType="begin"/>
      </w:r>
      <w:r>
        <w:instrText xml:space="preserve"> REF _Ref137720563 \h </w:instrText>
      </w:r>
      <w:r>
        <w:fldChar w:fldCharType="separate"/>
      </w:r>
      <w:r w:rsidR="004A78BF">
        <w:t xml:space="preserve">Table </w:t>
      </w:r>
      <w:r w:rsidR="004A78BF">
        <w:rPr>
          <w:noProof/>
        </w:rPr>
        <w:t>14</w:t>
      </w:r>
      <w:r>
        <w:fldChar w:fldCharType="end"/>
      </w:r>
      <w:r>
        <w:t xml:space="preserve"> shows the WET test results for </w:t>
      </w:r>
      <w:r w:rsidR="00F475E4">
        <w:t xml:space="preserve">Roanoke River receiving water monitored directly upstream and downstream from the </w:t>
      </w:r>
      <w:r w:rsidR="00143C1C">
        <w:t>Western Virginia Water Authority Water Pollution Control Plant</w:t>
      </w:r>
      <w:r w:rsidR="00F475E4">
        <w:t xml:space="preserve"> discharge</w:t>
      </w:r>
      <w:r>
        <w:t xml:space="preserve">. Both </w:t>
      </w:r>
      <w:r w:rsidR="00F475E4">
        <w:t>upstream and downstream</w:t>
      </w:r>
      <w:r>
        <w:t xml:space="preserve"> samples did not show any toxicity to either of the </w:t>
      </w:r>
      <w:proofErr w:type="gramStart"/>
      <w:r>
        <w:t>two test</w:t>
      </w:r>
      <w:proofErr w:type="gramEnd"/>
      <w:r>
        <w:t xml:space="preserve"> species. All LC50 </w:t>
      </w:r>
      <w:r w:rsidR="00C12B60">
        <w:t xml:space="preserve">(50% lethal concentration) </w:t>
      </w:r>
      <w:r>
        <w:t>and IC25</w:t>
      </w:r>
      <w:r w:rsidR="00C12B60">
        <w:t xml:space="preserve"> (25% inhibition concentration)</w:t>
      </w:r>
      <w:r>
        <w:t xml:space="preserve"> results were &gt;100%, meaning that the full-strength </w:t>
      </w:r>
      <w:r w:rsidR="00C12B60">
        <w:t>effluent</w:t>
      </w:r>
      <w:r>
        <w:t xml:space="preserve"> did not show survival effects of &gt;50% or growth and reproduction effects of &gt;25%. All NOEC </w:t>
      </w:r>
      <w:r w:rsidR="00C12B60">
        <w:t xml:space="preserve">(No Observable Effect Concentration) </w:t>
      </w:r>
      <w:r>
        <w:t xml:space="preserve">results were 100, meaning that the full-strength </w:t>
      </w:r>
      <w:r w:rsidR="00C12B60">
        <w:t>effluent</w:t>
      </w:r>
      <w:r>
        <w:t xml:space="preserve"> </w:t>
      </w:r>
      <w:r w:rsidR="00C12B60">
        <w:t>did not show statistically significant decreases in survival, growth, or reproduction.</w:t>
      </w:r>
    </w:p>
    <w:p w14:paraId="304FA0CD" w14:textId="0BF3A227" w:rsidR="00C12B60" w:rsidRDefault="00C12B60" w:rsidP="005B548F">
      <w:pPr>
        <w:pStyle w:val="BlockText"/>
      </w:pPr>
      <w:r>
        <w:fldChar w:fldCharType="begin"/>
      </w:r>
      <w:r>
        <w:instrText xml:space="preserve"> REF _Ref137720883 \h </w:instrText>
      </w:r>
      <w:r>
        <w:fldChar w:fldCharType="separate"/>
      </w:r>
      <w:r w:rsidR="004A78BF">
        <w:t xml:space="preserve">Table </w:t>
      </w:r>
      <w:r w:rsidR="004A78BF">
        <w:rPr>
          <w:noProof/>
        </w:rPr>
        <w:t>15</w:t>
      </w:r>
      <w:r>
        <w:fldChar w:fldCharType="end"/>
      </w:r>
      <w:r>
        <w:t xml:space="preserve"> shows the WET test results for </w:t>
      </w:r>
      <w:r w:rsidR="00F475E4">
        <w:t xml:space="preserve">Roanoke River </w:t>
      </w:r>
      <w:r>
        <w:t xml:space="preserve">samples </w:t>
      </w:r>
      <w:r w:rsidR="00F475E4">
        <w:t>collected from benthic monitoring stations (4AROA202.20 and 4AROA198.08).</w:t>
      </w:r>
      <w:r>
        <w:t xml:space="preserve"> All LC50 and IC25 results were &gt;100%, meaning that the full-strength Roanoke River water did not show survival effects of &gt;50% or growth and reproduction effects of &gt;25%. Several NOEC values, however, were less than 100%, indicating possible toxicity. </w:t>
      </w:r>
      <w:r w:rsidR="00E65485">
        <w:t xml:space="preserve">The </w:t>
      </w:r>
      <w:r w:rsidR="00E65485" w:rsidRPr="00E65485">
        <w:rPr>
          <w:i/>
        </w:rPr>
        <w:t xml:space="preserve">P. </w:t>
      </w:r>
      <w:proofErr w:type="spellStart"/>
      <w:r w:rsidR="00E65485" w:rsidRPr="00E65485">
        <w:rPr>
          <w:i/>
        </w:rPr>
        <w:t>promelas</w:t>
      </w:r>
      <w:proofErr w:type="spellEnd"/>
      <w:r w:rsidR="00E65485">
        <w:t xml:space="preserve"> survival NOEC from 4AROA202.20 on 11/11/21-11/15/23, the </w:t>
      </w:r>
      <w:r w:rsidR="00E65485" w:rsidRPr="00E65485">
        <w:rPr>
          <w:i/>
        </w:rPr>
        <w:t xml:space="preserve">P. </w:t>
      </w:r>
      <w:proofErr w:type="spellStart"/>
      <w:r w:rsidR="00E65485" w:rsidRPr="00E65485">
        <w:rPr>
          <w:i/>
        </w:rPr>
        <w:t>promelas</w:t>
      </w:r>
      <w:proofErr w:type="spellEnd"/>
      <w:r w:rsidR="00E65485">
        <w:t xml:space="preserve"> survival and biomass NOECs from 4AROA198.08 on 11/11/21</w:t>
      </w:r>
      <w:r w:rsidR="0066679E">
        <w:t>-</w:t>
      </w:r>
      <w:r w:rsidR="00E65485">
        <w:t xml:space="preserve">11/15/23, and the </w:t>
      </w:r>
      <w:r w:rsidR="00E65485" w:rsidRPr="00E65485">
        <w:rPr>
          <w:i/>
        </w:rPr>
        <w:t xml:space="preserve">P. </w:t>
      </w:r>
      <w:proofErr w:type="spellStart"/>
      <w:r w:rsidR="00E65485" w:rsidRPr="00E65485">
        <w:rPr>
          <w:i/>
        </w:rPr>
        <w:t>promelas</w:t>
      </w:r>
      <w:proofErr w:type="spellEnd"/>
      <w:r w:rsidR="00E65485">
        <w:t xml:space="preserve"> survival NOEC from 4AROA198.08 on 5/1/23-5/5/23 ranged from 12.5% to 50%. </w:t>
      </w:r>
      <w:r w:rsidR="00F52CC1">
        <w:t xml:space="preserve">While these results could indicate possible toxicity, they could also simply reflect limitations of hypothesis testing endpoints like the </w:t>
      </w:r>
      <w:r>
        <w:t>NOEC</w:t>
      </w:r>
      <w:r w:rsidR="00F52CC1">
        <w:t>.</w:t>
      </w:r>
      <w:r>
        <w:t xml:space="preserve"> </w:t>
      </w:r>
      <w:r w:rsidR="00F52CC1">
        <w:t xml:space="preserve">NOEC </w:t>
      </w:r>
      <w:r>
        <w:t>values</w:t>
      </w:r>
      <w:r w:rsidR="007E27D4">
        <w:t xml:space="preserve"> </w:t>
      </w:r>
      <w:r w:rsidR="00E65485">
        <w:t xml:space="preserve">are hypothesis testing endpoints, and while they are commonly used for regulatory compliance, EPA recommends the use of point estimate endpoints (such as the IC25) for quantifying toxicity. </w:t>
      </w:r>
      <w:r w:rsidR="00F52CC1">
        <w:t>Based on EPA’s WET method guidance on dose-response curves (USEPA, 2000</w:t>
      </w:r>
      <w:r w:rsidR="006C0654">
        <w:t>c</w:t>
      </w:r>
      <w:r w:rsidR="00F52CC1">
        <w:t xml:space="preserve">), </w:t>
      </w:r>
      <w:r w:rsidR="00E65485">
        <w:t>t</w:t>
      </w:r>
      <w:r w:rsidR="00730073">
        <w:t>wo</w:t>
      </w:r>
      <w:r w:rsidR="00E65485">
        <w:t xml:space="preserve"> of the </w:t>
      </w:r>
      <w:r w:rsidR="00F52CC1">
        <w:t>four NOEC values that were originally reported as less than 100% in this study should be identified as anomalous and the NOEC reported as 100%.</w:t>
      </w:r>
      <w:r>
        <w:t xml:space="preserve"> </w:t>
      </w:r>
      <w:r w:rsidR="00F52CC1">
        <w:t xml:space="preserve">After this quality check on the data, the only remaining observed NOEC less than 100% is </w:t>
      </w:r>
      <w:r w:rsidR="00730073">
        <w:t>the</w:t>
      </w:r>
      <w:r w:rsidR="00F52CC1">
        <w:t xml:space="preserve"> NOEC of 50% for </w:t>
      </w:r>
      <w:r w:rsidR="00F52CC1" w:rsidRPr="00F52CC1">
        <w:rPr>
          <w:i/>
        </w:rPr>
        <w:t xml:space="preserve">P. </w:t>
      </w:r>
      <w:proofErr w:type="spellStart"/>
      <w:r w:rsidR="00F52CC1" w:rsidRPr="00F52CC1">
        <w:rPr>
          <w:i/>
        </w:rPr>
        <w:t>promelas</w:t>
      </w:r>
      <w:proofErr w:type="spellEnd"/>
      <w:r w:rsidR="00F52CC1">
        <w:t xml:space="preserve"> survival from 4AROA198.08 on 11/11/21</w:t>
      </w:r>
      <w:r w:rsidR="00B47721">
        <w:t>-</w:t>
      </w:r>
      <w:r w:rsidR="00F52CC1">
        <w:t>11/15/23</w:t>
      </w:r>
      <w:r w:rsidR="00730073">
        <w:t xml:space="preserve"> and the NOEC of 12.5% for </w:t>
      </w:r>
      <w:r w:rsidR="00730073" w:rsidRPr="00F52CC1">
        <w:rPr>
          <w:i/>
        </w:rPr>
        <w:t xml:space="preserve">P. </w:t>
      </w:r>
      <w:proofErr w:type="spellStart"/>
      <w:r w:rsidR="00730073" w:rsidRPr="00F52CC1">
        <w:rPr>
          <w:i/>
        </w:rPr>
        <w:t>promelas</w:t>
      </w:r>
      <w:proofErr w:type="spellEnd"/>
      <w:r w:rsidR="00730073">
        <w:t xml:space="preserve"> survival from 4AROA198.08 on 5/1/23-5/5/23</w:t>
      </w:r>
      <w:r w:rsidR="00F52CC1">
        <w:t xml:space="preserve">. </w:t>
      </w:r>
      <w:r w:rsidR="00730073">
        <w:t xml:space="preserve">It should be noted that in both of these cases, the biomass endpoint did not exhibit toxicity, with NOEC values of 100% and IC25 values of &gt;100%. </w:t>
      </w:r>
      <w:r w:rsidR="003950CE">
        <w:t xml:space="preserve">Since toxicity was only observed in NOEC results of </w:t>
      </w:r>
      <w:r w:rsidR="003950CE" w:rsidRPr="003950CE">
        <w:rPr>
          <w:i/>
        </w:rPr>
        <w:t xml:space="preserve">P. </w:t>
      </w:r>
      <w:proofErr w:type="spellStart"/>
      <w:r w:rsidR="003950CE" w:rsidRPr="003950CE">
        <w:rPr>
          <w:i/>
        </w:rPr>
        <w:t>promelas</w:t>
      </w:r>
      <w:proofErr w:type="spellEnd"/>
      <w:r w:rsidR="003950CE">
        <w:t xml:space="preserve"> survival in the receiving stream, it is possible that observed toxicity could be related to pathogen interference in the test. Pathogen interference can reduce survival sporadically in test treatments without exhibiting a dose-response relationship</w:t>
      </w:r>
      <w:r w:rsidR="00730073">
        <w:t>.</w:t>
      </w:r>
      <w:r w:rsidR="003950CE">
        <w:t xml:space="preserve"> In summary, whole effluent toxicity testing was inconclusive in </w:t>
      </w:r>
      <w:r w:rsidR="00A77D08">
        <w:t>determining the presence of toxicity in Roanoke River receiving water.</w:t>
      </w:r>
    </w:p>
    <w:p w14:paraId="79A1FFAA" w14:textId="56DA1132" w:rsidR="00FA5004" w:rsidRDefault="00FA5004" w:rsidP="005E4B50">
      <w:pPr>
        <w:pStyle w:val="BlockText"/>
        <w:spacing w:before="0" w:after="0" w:line="240" w:lineRule="auto"/>
        <w:rPr>
          <w:rFonts w:ascii="Arial Narrow" w:hAnsi="Arial Narrow"/>
          <w:sz w:val="20"/>
          <w:szCs w:val="20"/>
        </w:rPr>
      </w:pPr>
    </w:p>
    <w:p w14:paraId="2B597AAC" w14:textId="4B4DA6B3" w:rsidR="00C56DE0" w:rsidRDefault="00C56DE0" w:rsidP="00C56DE0">
      <w:pPr>
        <w:pStyle w:val="Caption"/>
      </w:pPr>
      <w:bookmarkStart w:id="160" w:name="_Ref137720563"/>
      <w:bookmarkStart w:id="161" w:name="_Toc162948281"/>
      <w:r>
        <w:t xml:space="preserve">Table </w:t>
      </w:r>
      <w:r w:rsidR="008C06B8">
        <w:rPr>
          <w:noProof/>
        </w:rPr>
        <w:fldChar w:fldCharType="begin"/>
      </w:r>
      <w:r w:rsidR="008C06B8">
        <w:rPr>
          <w:noProof/>
        </w:rPr>
        <w:instrText xml:space="preserve"> SEQ Table \* ARABIC </w:instrText>
      </w:r>
      <w:r w:rsidR="008C06B8">
        <w:rPr>
          <w:noProof/>
        </w:rPr>
        <w:fldChar w:fldCharType="separate"/>
      </w:r>
      <w:r w:rsidR="004A78BF">
        <w:rPr>
          <w:noProof/>
        </w:rPr>
        <w:t>14</w:t>
      </w:r>
      <w:r w:rsidR="008C06B8">
        <w:rPr>
          <w:noProof/>
        </w:rPr>
        <w:fldChar w:fldCharType="end"/>
      </w:r>
      <w:bookmarkEnd w:id="160"/>
      <w:r>
        <w:t xml:space="preserve">. Whole effluent toxicity test results </w:t>
      </w:r>
      <w:r w:rsidR="00F475E4">
        <w:t xml:space="preserve">directly upstream and downstream of the </w:t>
      </w:r>
      <w:r>
        <w:t xml:space="preserve">Western Virginia Water Authority </w:t>
      </w:r>
      <w:r w:rsidR="00143C1C">
        <w:t xml:space="preserve">Water Pollution Control Plant </w:t>
      </w:r>
      <w:r w:rsidR="00F475E4">
        <w:t>discharge</w:t>
      </w:r>
      <w:r>
        <w:t>.</w:t>
      </w:r>
      <w:bookmarkEnd w:id="161"/>
    </w:p>
    <w:tbl>
      <w:tblPr>
        <w:tblW w:w="9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
        <w:gridCol w:w="1620"/>
        <w:gridCol w:w="1710"/>
        <w:gridCol w:w="1260"/>
        <w:gridCol w:w="1440"/>
        <w:gridCol w:w="1260"/>
        <w:gridCol w:w="1208"/>
      </w:tblGrid>
      <w:tr w:rsidR="00FA5004" w:rsidRPr="00867C44" w14:paraId="7CF72969" w14:textId="77777777" w:rsidTr="004B6268">
        <w:trPr>
          <w:trHeight w:val="732"/>
          <w:jc w:val="center"/>
        </w:trPr>
        <w:tc>
          <w:tcPr>
            <w:tcW w:w="985" w:type="dxa"/>
            <w:tcBorders>
              <w:bottom w:val="single" w:sz="4" w:space="0" w:color="auto"/>
            </w:tcBorders>
            <w:shd w:val="clear" w:color="auto" w:fill="D9D9D9" w:themeFill="background1" w:themeFillShade="D9"/>
            <w:vAlign w:val="center"/>
          </w:tcPr>
          <w:p w14:paraId="255DC5F5" w14:textId="5D220868" w:rsidR="00FA5004" w:rsidRPr="00867C44" w:rsidRDefault="00FA5004" w:rsidP="004B6268">
            <w:pPr>
              <w:autoSpaceDE w:val="0"/>
              <w:autoSpaceDN w:val="0"/>
              <w:adjustRightInd w:val="0"/>
              <w:jc w:val="center"/>
              <w:rPr>
                <w:rFonts w:ascii="Arial Narrow" w:hAnsi="Arial Narrow" w:cs="Arial"/>
                <w:b/>
                <w:sz w:val="20"/>
                <w:szCs w:val="20"/>
              </w:rPr>
            </w:pPr>
            <w:r>
              <w:rPr>
                <w:rFonts w:ascii="Arial Narrow" w:hAnsi="Arial Narrow" w:cs="Arial"/>
                <w:b/>
                <w:sz w:val="20"/>
                <w:szCs w:val="20"/>
              </w:rPr>
              <w:t>Source</w:t>
            </w:r>
          </w:p>
        </w:tc>
        <w:tc>
          <w:tcPr>
            <w:tcW w:w="1620" w:type="dxa"/>
            <w:tcBorders>
              <w:bottom w:val="single" w:sz="4" w:space="0" w:color="auto"/>
            </w:tcBorders>
            <w:shd w:val="clear" w:color="auto" w:fill="D9D9D9" w:themeFill="background1" w:themeFillShade="D9"/>
            <w:vAlign w:val="center"/>
          </w:tcPr>
          <w:p w14:paraId="63968D87" w14:textId="07003DF2" w:rsidR="00FA5004" w:rsidRPr="00867C44" w:rsidRDefault="004B6268" w:rsidP="004B6268">
            <w:pPr>
              <w:autoSpaceDE w:val="0"/>
              <w:autoSpaceDN w:val="0"/>
              <w:adjustRightInd w:val="0"/>
              <w:jc w:val="center"/>
              <w:rPr>
                <w:rFonts w:ascii="Arial Narrow" w:hAnsi="Arial Narrow" w:cs="Arial"/>
                <w:b/>
                <w:sz w:val="20"/>
                <w:szCs w:val="20"/>
              </w:rPr>
            </w:pPr>
            <w:r>
              <w:rPr>
                <w:rFonts w:ascii="Arial Narrow" w:hAnsi="Arial Narrow" w:cs="Arial"/>
                <w:b/>
                <w:sz w:val="20"/>
                <w:szCs w:val="20"/>
              </w:rPr>
              <w:t>Date</w:t>
            </w:r>
          </w:p>
        </w:tc>
        <w:tc>
          <w:tcPr>
            <w:tcW w:w="1710" w:type="dxa"/>
            <w:tcBorders>
              <w:bottom w:val="single" w:sz="4" w:space="0" w:color="auto"/>
            </w:tcBorders>
            <w:shd w:val="clear" w:color="auto" w:fill="D9D9D9" w:themeFill="background1" w:themeFillShade="D9"/>
            <w:vAlign w:val="center"/>
          </w:tcPr>
          <w:p w14:paraId="6B41B435" w14:textId="2DAB11BA" w:rsidR="00FA5004" w:rsidRPr="00867C44" w:rsidRDefault="004B6268" w:rsidP="004B6268">
            <w:pPr>
              <w:autoSpaceDE w:val="0"/>
              <w:autoSpaceDN w:val="0"/>
              <w:adjustRightInd w:val="0"/>
              <w:jc w:val="center"/>
              <w:rPr>
                <w:rFonts w:ascii="Arial Narrow" w:hAnsi="Arial Narrow" w:cs="Arial"/>
                <w:b/>
                <w:sz w:val="20"/>
                <w:szCs w:val="20"/>
              </w:rPr>
            </w:pPr>
            <w:r>
              <w:rPr>
                <w:rFonts w:ascii="Arial Narrow" w:hAnsi="Arial Narrow" w:cs="Arial"/>
                <w:b/>
                <w:sz w:val="20"/>
                <w:szCs w:val="20"/>
              </w:rPr>
              <w:t>Sample</w:t>
            </w:r>
          </w:p>
        </w:tc>
        <w:tc>
          <w:tcPr>
            <w:tcW w:w="1260" w:type="dxa"/>
            <w:tcBorders>
              <w:bottom w:val="single" w:sz="4" w:space="0" w:color="auto"/>
            </w:tcBorders>
            <w:shd w:val="clear" w:color="auto" w:fill="D9D9D9" w:themeFill="background1" w:themeFillShade="D9"/>
            <w:vAlign w:val="center"/>
          </w:tcPr>
          <w:p w14:paraId="180FD1EC" w14:textId="5D5B636B" w:rsidR="00FA5004" w:rsidRDefault="00FA5004" w:rsidP="004B6268">
            <w:pPr>
              <w:autoSpaceDE w:val="0"/>
              <w:autoSpaceDN w:val="0"/>
              <w:adjustRightInd w:val="0"/>
              <w:jc w:val="center"/>
              <w:rPr>
                <w:rFonts w:ascii="Arial Narrow" w:hAnsi="Arial Narrow" w:cs="Arial"/>
                <w:b/>
                <w:sz w:val="20"/>
                <w:szCs w:val="20"/>
              </w:rPr>
            </w:pPr>
            <w:r>
              <w:rPr>
                <w:rFonts w:ascii="Arial Narrow" w:hAnsi="Arial Narrow" w:cs="Arial"/>
                <w:b/>
                <w:sz w:val="20"/>
                <w:szCs w:val="20"/>
              </w:rPr>
              <w:t>Species</w:t>
            </w:r>
          </w:p>
        </w:tc>
        <w:tc>
          <w:tcPr>
            <w:tcW w:w="1440" w:type="dxa"/>
            <w:shd w:val="clear" w:color="auto" w:fill="D9D9D9" w:themeFill="background1" w:themeFillShade="D9"/>
            <w:vAlign w:val="center"/>
          </w:tcPr>
          <w:p w14:paraId="65C7EA9E" w14:textId="2EFC1A62" w:rsidR="00FA5004" w:rsidRDefault="00FA5004" w:rsidP="004B6268">
            <w:pPr>
              <w:autoSpaceDE w:val="0"/>
              <w:autoSpaceDN w:val="0"/>
              <w:adjustRightInd w:val="0"/>
              <w:jc w:val="center"/>
              <w:rPr>
                <w:rFonts w:ascii="Arial Narrow" w:hAnsi="Arial Narrow" w:cs="Arial"/>
                <w:b/>
                <w:sz w:val="20"/>
                <w:szCs w:val="20"/>
              </w:rPr>
            </w:pPr>
            <w:r>
              <w:rPr>
                <w:rFonts w:ascii="Arial Narrow" w:hAnsi="Arial Narrow" w:cs="Arial"/>
                <w:b/>
                <w:sz w:val="20"/>
                <w:szCs w:val="20"/>
              </w:rPr>
              <w:t>Endpoint</w:t>
            </w:r>
          </w:p>
        </w:tc>
        <w:tc>
          <w:tcPr>
            <w:tcW w:w="1260" w:type="dxa"/>
            <w:shd w:val="clear" w:color="auto" w:fill="D9D9D9" w:themeFill="background1" w:themeFillShade="D9"/>
            <w:vAlign w:val="center"/>
          </w:tcPr>
          <w:p w14:paraId="08CF95E1" w14:textId="5707142B" w:rsidR="00FA5004" w:rsidRPr="00867C44" w:rsidRDefault="004B6268" w:rsidP="004B6268">
            <w:pPr>
              <w:autoSpaceDE w:val="0"/>
              <w:autoSpaceDN w:val="0"/>
              <w:adjustRightInd w:val="0"/>
              <w:jc w:val="center"/>
              <w:rPr>
                <w:rFonts w:ascii="Arial Narrow" w:hAnsi="Arial Narrow" w:cs="Arial"/>
                <w:b/>
                <w:sz w:val="20"/>
                <w:szCs w:val="20"/>
              </w:rPr>
            </w:pPr>
            <w:r>
              <w:rPr>
                <w:rFonts w:ascii="Arial Narrow" w:hAnsi="Arial Narrow" w:cs="Arial"/>
                <w:b/>
                <w:sz w:val="20"/>
                <w:szCs w:val="20"/>
              </w:rPr>
              <w:t>LC50/</w:t>
            </w:r>
            <w:r w:rsidR="00FA5004">
              <w:rPr>
                <w:rFonts w:ascii="Arial Narrow" w:hAnsi="Arial Narrow" w:cs="Arial"/>
                <w:b/>
                <w:sz w:val="20"/>
                <w:szCs w:val="20"/>
              </w:rPr>
              <w:t>IC25</w:t>
            </w:r>
            <w:r w:rsidRPr="004B6268">
              <w:rPr>
                <w:rFonts w:ascii="Arial Narrow" w:hAnsi="Arial Narrow" w:cs="Arial"/>
                <w:b/>
                <w:sz w:val="20"/>
                <w:szCs w:val="20"/>
                <w:vertAlign w:val="superscript"/>
              </w:rPr>
              <w:t>1</w:t>
            </w:r>
          </w:p>
        </w:tc>
        <w:tc>
          <w:tcPr>
            <w:tcW w:w="1208" w:type="dxa"/>
            <w:shd w:val="clear" w:color="auto" w:fill="D9D9D9" w:themeFill="background1" w:themeFillShade="D9"/>
            <w:vAlign w:val="center"/>
          </w:tcPr>
          <w:p w14:paraId="387BB5B8" w14:textId="7650CD47" w:rsidR="00FA5004" w:rsidRPr="00867C44" w:rsidRDefault="00FA5004" w:rsidP="004B6268">
            <w:pPr>
              <w:autoSpaceDE w:val="0"/>
              <w:autoSpaceDN w:val="0"/>
              <w:adjustRightInd w:val="0"/>
              <w:jc w:val="center"/>
              <w:rPr>
                <w:rFonts w:ascii="Arial Narrow" w:hAnsi="Arial Narrow" w:cs="Arial"/>
                <w:b/>
                <w:sz w:val="20"/>
                <w:szCs w:val="20"/>
              </w:rPr>
            </w:pPr>
            <w:r>
              <w:rPr>
                <w:rFonts w:ascii="Arial Narrow" w:hAnsi="Arial Narrow" w:cs="Arial"/>
                <w:b/>
                <w:sz w:val="20"/>
                <w:szCs w:val="20"/>
              </w:rPr>
              <w:t>NOEC</w:t>
            </w:r>
          </w:p>
        </w:tc>
      </w:tr>
      <w:tr w:rsidR="004B6268" w:rsidRPr="00867C44" w14:paraId="0401D3E6" w14:textId="77777777" w:rsidTr="004B6268">
        <w:trPr>
          <w:trHeight w:val="290"/>
          <w:jc w:val="center"/>
        </w:trPr>
        <w:tc>
          <w:tcPr>
            <w:tcW w:w="985" w:type="dxa"/>
            <w:tcBorders>
              <w:bottom w:val="nil"/>
            </w:tcBorders>
            <w:vAlign w:val="center"/>
          </w:tcPr>
          <w:p w14:paraId="30FC8B9E" w14:textId="04F4A343" w:rsidR="004B6268" w:rsidRPr="00867C44" w:rsidRDefault="00143C1C" w:rsidP="004B6268">
            <w:pPr>
              <w:autoSpaceDE w:val="0"/>
              <w:autoSpaceDN w:val="0"/>
              <w:adjustRightInd w:val="0"/>
              <w:jc w:val="center"/>
              <w:rPr>
                <w:rFonts w:ascii="Arial Narrow" w:hAnsi="Arial Narrow" w:cs="Arial"/>
                <w:sz w:val="20"/>
                <w:szCs w:val="20"/>
              </w:rPr>
            </w:pPr>
            <w:r>
              <w:rPr>
                <w:rFonts w:ascii="Arial Narrow" w:hAnsi="Arial Narrow" w:cs="Arial"/>
                <w:sz w:val="20"/>
                <w:szCs w:val="20"/>
              </w:rPr>
              <w:t>Roanoke River</w:t>
            </w:r>
          </w:p>
        </w:tc>
        <w:tc>
          <w:tcPr>
            <w:tcW w:w="1620" w:type="dxa"/>
            <w:tcBorders>
              <w:bottom w:val="nil"/>
            </w:tcBorders>
            <w:vAlign w:val="center"/>
          </w:tcPr>
          <w:p w14:paraId="63850A95" w14:textId="448D37FF" w:rsidR="004B6268" w:rsidRPr="00867C44" w:rsidRDefault="004B6268" w:rsidP="004B6268">
            <w:pPr>
              <w:autoSpaceDE w:val="0"/>
              <w:autoSpaceDN w:val="0"/>
              <w:adjustRightInd w:val="0"/>
              <w:jc w:val="center"/>
              <w:rPr>
                <w:rFonts w:ascii="Arial Narrow" w:hAnsi="Arial Narrow" w:cs="Arial"/>
                <w:sz w:val="20"/>
                <w:szCs w:val="20"/>
              </w:rPr>
            </w:pPr>
            <w:r>
              <w:rPr>
                <w:rFonts w:ascii="Arial Narrow" w:hAnsi="Arial Narrow" w:cs="Arial"/>
                <w:sz w:val="20"/>
                <w:szCs w:val="20"/>
              </w:rPr>
              <w:t>11/15/21-11/18/21</w:t>
            </w:r>
          </w:p>
        </w:tc>
        <w:tc>
          <w:tcPr>
            <w:tcW w:w="1710" w:type="dxa"/>
            <w:tcBorders>
              <w:bottom w:val="nil"/>
            </w:tcBorders>
            <w:vAlign w:val="center"/>
          </w:tcPr>
          <w:p w14:paraId="01F3DC56" w14:textId="769E0B8B" w:rsidR="004B6268" w:rsidRPr="00867C44" w:rsidRDefault="00AC292E" w:rsidP="004B6268">
            <w:pPr>
              <w:autoSpaceDE w:val="0"/>
              <w:autoSpaceDN w:val="0"/>
              <w:adjustRightInd w:val="0"/>
              <w:jc w:val="center"/>
              <w:rPr>
                <w:rFonts w:ascii="Arial Narrow" w:hAnsi="Arial Narrow" w:cs="Arial"/>
                <w:sz w:val="20"/>
                <w:szCs w:val="20"/>
              </w:rPr>
            </w:pPr>
            <w:r>
              <w:rPr>
                <w:rFonts w:ascii="Arial Narrow" w:hAnsi="Arial Narrow" w:cs="Arial"/>
                <w:sz w:val="20"/>
                <w:szCs w:val="20"/>
              </w:rPr>
              <w:t>Roanoke River upstream of outfall</w:t>
            </w:r>
          </w:p>
        </w:tc>
        <w:tc>
          <w:tcPr>
            <w:tcW w:w="1260" w:type="dxa"/>
            <w:tcBorders>
              <w:bottom w:val="nil"/>
            </w:tcBorders>
            <w:vAlign w:val="center"/>
          </w:tcPr>
          <w:p w14:paraId="22444733" w14:textId="459F5F3A" w:rsidR="004B6268" w:rsidRPr="004B6268" w:rsidRDefault="004B6268" w:rsidP="004B6268">
            <w:pPr>
              <w:autoSpaceDE w:val="0"/>
              <w:autoSpaceDN w:val="0"/>
              <w:adjustRightInd w:val="0"/>
              <w:jc w:val="center"/>
              <w:rPr>
                <w:rFonts w:ascii="Arial Narrow" w:hAnsi="Arial Narrow" w:cs="Calibri"/>
                <w:i/>
                <w:color w:val="000000"/>
                <w:sz w:val="20"/>
                <w:szCs w:val="20"/>
              </w:rPr>
            </w:pPr>
            <w:r w:rsidRPr="004B6268">
              <w:rPr>
                <w:rFonts w:ascii="Arial Narrow" w:hAnsi="Arial Narrow" w:cs="Calibri"/>
                <w:i/>
                <w:color w:val="000000"/>
                <w:sz w:val="20"/>
                <w:szCs w:val="20"/>
              </w:rPr>
              <w:t xml:space="preserve">P. </w:t>
            </w:r>
            <w:proofErr w:type="spellStart"/>
            <w:r w:rsidRPr="004B6268">
              <w:rPr>
                <w:rFonts w:ascii="Arial Narrow" w:hAnsi="Arial Narrow" w:cs="Calibri"/>
                <w:i/>
                <w:color w:val="000000"/>
                <w:sz w:val="20"/>
                <w:szCs w:val="20"/>
              </w:rPr>
              <w:t>promelas</w:t>
            </w:r>
            <w:proofErr w:type="spellEnd"/>
          </w:p>
        </w:tc>
        <w:tc>
          <w:tcPr>
            <w:tcW w:w="1440" w:type="dxa"/>
            <w:vAlign w:val="center"/>
          </w:tcPr>
          <w:p w14:paraId="7FCC64E6" w14:textId="4C6CD36C" w:rsidR="004B6268" w:rsidRPr="00D374CF" w:rsidRDefault="004B6268" w:rsidP="004B6268">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Survival</w:t>
            </w:r>
          </w:p>
        </w:tc>
        <w:tc>
          <w:tcPr>
            <w:tcW w:w="1260" w:type="dxa"/>
            <w:vAlign w:val="center"/>
          </w:tcPr>
          <w:p w14:paraId="0358796E" w14:textId="150931F0" w:rsidR="004B6268" w:rsidRPr="00D374CF" w:rsidRDefault="004B6268" w:rsidP="004B6268">
            <w:pPr>
              <w:autoSpaceDE w:val="0"/>
              <w:autoSpaceDN w:val="0"/>
              <w:adjustRightInd w:val="0"/>
              <w:jc w:val="center"/>
              <w:rPr>
                <w:rFonts w:ascii="Arial Narrow" w:hAnsi="Arial Narrow" w:cs="Arial"/>
                <w:sz w:val="20"/>
                <w:szCs w:val="20"/>
              </w:rPr>
            </w:pPr>
            <w:r>
              <w:rPr>
                <w:rFonts w:ascii="Arial Narrow" w:hAnsi="Arial Narrow" w:cs="Arial"/>
                <w:sz w:val="20"/>
                <w:szCs w:val="20"/>
              </w:rPr>
              <w:t>&gt;100%</w:t>
            </w:r>
          </w:p>
        </w:tc>
        <w:tc>
          <w:tcPr>
            <w:tcW w:w="1208" w:type="dxa"/>
            <w:shd w:val="clear" w:color="auto" w:fill="auto"/>
            <w:vAlign w:val="center"/>
          </w:tcPr>
          <w:p w14:paraId="74372E8D" w14:textId="3AD0D4FB" w:rsidR="004B6268" w:rsidRPr="00D374CF" w:rsidRDefault="004B6268" w:rsidP="004B6268">
            <w:pPr>
              <w:autoSpaceDE w:val="0"/>
              <w:autoSpaceDN w:val="0"/>
              <w:adjustRightInd w:val="0"/>
              <w:jc w:val="center"/>
              <w:rPr>
                <w:rFonts w:ascii="Arial Narrow" w:hAnsi="Arial Narrow" w:cs="Arial"/>
                <w:sz w:val="20"/>
                <w:szCs w:val="20"/>
              </w:rPr>
            </w:pPr>
            <w:r>
              <w:rPr>
                <w:rFonts w:ascii="Arial Narrow" w:hAnsi="Arial Narrow" w:cs="Arial"/>
                <w:sz w:val="20"/>
                <w:szCs w:val="20"/>
              </w:rPr>
              <w:t>100%</w:t>
            </w:r>
          </w:p>
        </w:tc>
      </w:tr>
      <w:tr w:rsidR="004B6268" w:rsidRPr="00867C44" w14:paraId="041EEF6A" w14:textId="77777777" w:rsidTr="004B6268">
        <w:trPr>
          <w:trHeight w:val="290"/>
          <w:jc w:val="center"/>
        </w:trPr>
        <w:tc>
          <w:tcPr>
            <w:tcW w:w="985" w:type="dxa"/>
            <w:tcBorders>
              <w:top w:val="nil"/>
              <w:bottom w:val="nil"/>
            </w:tcBorders>
            <w:vAlign w:val="center"/>
          </w:tcPr>
          <w:p w14:paraId="552ACC7C" w14:textId="2705BEE9" w:rsidR="004B6268" w:rsidRPr="00867C44" w:rsidRDefault="004B6268" w:rsidP="004B6268">
            <w:pPr>
              <w:autoSpaceDE w:val="0"/>
              <w:autoSpaceDN w:val="0"/>
              <w:adjustRightInd w:val="0"/>
              <w:jc w:val="center"/>
              <w:rPr>
                <w:rFonts w:ascii="Arial Narrow" w:hAnsi="Arial Narrow" w:cs="Arial"/>
                <w:sz w:val="20"/>
                <w:szCs w:val="20"/>
              </w:rPr>
            </w:pPr>
          </w:p>
        </w:tc>
        <w:tc>
          <w:tcPr>
            <w:tcW w:w="1620" w:type="dxa"/>
            <w:tcBorders>
              <w:top w:val="nil"/>
              <w:bottom w:val="nil"/>
            </w:tcBorders>
            <w:vAlign w:val="center"/>
          </w:tcPr>
          <w:p w14:paraId="65F39825" w14:textId="7FE35737" w:rsidR="004B6268" w:rsidRPr="00867C44" w:rsidRDefault="004B6268" w:rsidP="004B6268">
            <w:pPr>
              <w:autoSpaceDE w:val="0"/>
              <w:autoSpaceDN w:val="0"/>
              <w:adjustRightInd w:val="0"/>
              <w:jc w:val="center"/>
              <w:rPr>
                <w:rFonts w:ascii="Arial Narrow" w:hAnsi="Arial Narrow" w:cs="Arial"/>
                <w:sz w:val="20"/>
                <w:szCs w:val="20"/>
              </w:rPr>
            </w:pPr>
          </w:p>
        </w:tc>
        <w:tc>
          <w:tcPr>
            <w:tcW w:w="1710" w:type="dxa"/>
            <w:tcBorders>
              <w:top w:val="nil"/>
              <w:bottom w:val="nil"/>
            </w:tcBorders>
            <w:vAlign w:val="center"/>
          </w:tcPr>
          <w:p w14:paraId="4D20C13F" w14:textId="7B302C35" w:rsidR="004B6268" w:rsidRPr="00867C44" w:rsidRDefault="004B6268" w:rsidP="004B6268">
            <w:pPr>
              <w:autoSpaceDE w:val="0"/>
              <w:autoSpaceDN w:val="0"/>
              <w:adjustRightInd w:val="0"/>
              <w:jc w:val="center"/>
              <w:rPr>
                <w:rFonts w:ascii="Arial Narrow" w:hAnsi="Arial Narrow" w:cs="Arial"/>
                <w:sz w:val="20"/>
                <w:szCs w:val="20"/>
              </w:rPr>
            </w:pPr>
          </w:p>
        </w:tc>
        <w:tc>
          <w:tcPr>
            <w:tcW w:w="1260" w:type="dxa"/>
            <w:tcBorders>
              <w:top w:val="nil"/>
              <w:bottom w:val="single" w:sz="4" w:space="0" w:color="auto"/>
            </w:tcBorders>
            <w:vAlign w:val="center"/>
          </w:tcPr>
          <w:p w14:paraId="437B8183" w14:textId="1C6BE980" w:rsidR="004B6268" w:rsidRPr="00D374CF" w:rsidRDefault="004B6268" w:rsidP="004B6268">
            <w:pPr>
              <w:autoSpaceDE w:val="0"/>
              <w:autoSpaceDN w:val="0"/>
              <w:adjustRightInd w:val="0"/>
              <w:jc w:val="center"/>
              <w:rPr>
                <w:rFonts w:ascii="Arial Narrow" w:hAnsi="Arial Narrow" w:cs="Calibri"/>
                <w:color w:val="000000"/>
                <w:sz w:val="20"/>
                <w:szCs w:val="20"/>
              </w:rPr>
            </w:pPr>
          </w:p>
        </w:tc>
        <w:tc>
          <w:tcPr>
            <w:tcW w:w="1440" w:type="dxa"/>
            <w:vAlign w:val="center"/>
          </w:tcPr>
          <w:p w14:paraId="617D367E" w14:textId="759D2E60" w:rsidR="004B6268" w:rsidRPr="00D374CF" w:rsidRDefault="004B6268" w:rsidP="004B6268">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Biomass</w:t>
            </w:r>
          </w:p>
        </w:tc>
        <w:tc>
          <w:tcPr>
            <w:tcW w:w="1260" w:type="dxa"/>
            <w:vAlign w:val="center"/>
          </w:tcPr>
          <w:p w14:paraId="7CA266C0" w14:textId="30FCB640" w:rsidR="004B6268" w:rsidRPr="00D374CF" w:rsidRDefault="004B6268" w:rsidP="004B6268">
            <w:pPr>
              <w:autoSpaceDE w:val="0"/>
              <w:autoSpaceDN w:val="0"/>
              <w:adjustRightInd w:val="0"/>
              <w:jc w:val="center"/>
              <w:rPr>
                <w:rFonts w:ascii="Arial Narrow" w:hAnsi="Arial Narrow" w:cs="Arial"/>
                <w:sz w:val="20"/>
                <w:szCs w:val="20"/>
              </w:rPr>
            </w:pPr>
            <w:r>
              <w:rPr>
                <w:rFonts w:ascii="Arial Narrow" w:hAnsi="Arial Narrow" w:cs="Arial"/>
                <w:sz w:val="20"/>
                <w:szCs w:val="20"/>
              </w:rPr>
              <w:t>&gt;100%</w:t>
            </w:r>
          </w:p>
        </w:tc>
        <w:tc>
          <w:tcPr>
            <w:tcW w:w="1208" w:type="dxa"/>
            <w:shd w:val="clear" w:color="auto" w:fill="auto"/>
            <w:vAlign w:val="center"/>
          </w:tcPr>
          <w:p w14:paraId="7D4CBDEC" w14:textId="69E88C3D" w:rsidR="004B6268" w:rsidRPr="00D374CF" w:rsidRDefault="004B6268" w:rsidP="004B6268">
            <w:pPr>
              <w:autoSpaceDE w:val="0"/>
              <w:autoSpaceDN w:val="0"/>
              <w:adjustRightInd w:val="0"/>
              <w:jc w:val="center"/>
              <w:rPr>
                <w:rFonts w:ascii="Arial Narrow" w:hAnsi="Arial Narrow" w:cs="Arial"/>
                <w:sz w:val="20"/>
                <w:szCs w:val="20"/>
              </w:rPr>
            </w:pPr>
            <w:r>
              <w:rPr>
                <w:rFonts w:ascii="Arial Narrow" w:hAnsi="Arial Narrow" w:cs="Arial"/>
                <w:sz w:val="20"/>
                <w:szCs w:val="20"/>
              </w:rPr>
              <w:t>100%</w:t>
            </w:r>
          </w:p>
        </w:tc>
      </w:tr>
      <w:tr w:rsidR="004B6268" w:rsidRPr="00867C44" w14:paraId="74205F17" w14:textId="77777777" w:rsidTr="004B6268">
        <w:trPr>
          <w:trHeight w:val="290"/>
          <w:jc w:val="center"/>
        </w:trPr>
        <w:tc>
          <w:tcPr>
            <w:tcW w:w="985" w:type="dxa"/>
            <w:tcBorders>
              <w:top w:val="nil"/>
              <w:bottom w:val="nil"/>
            </w:tcBorders>
            <w:vAlign w:val="center"/>
          </w:tcPr>
          <w:p w14:paraId="31D35F8B" w14:textId="7A5E08AE" w:rsidR="004B6268" w:rsidRPr="00867C44" w:rsidRDefault="004B6268" w:rsidP="004B6268">
            <w:pPr>
              <w:autoSpaceDE w:val="0"/>
              <w:autoSpaceDN w:val="0"/>
              <w:adjustRightInd w:val="0"/>
              <w:jc w:val="center"/>
              <w:rPr>
                <w:rFonts w:ascii="Arial Narrow" w:hAnsi="Arial Narrow" w:cs="Arial"/>
                <w:sz w:val="20"/>
                <w:szCs w:val="20"/>
              </w:rPr>
            </w:pPr>
          </w:p>
        </w:tc>
        <w:tc>
          <w:tcPr>
            <w:tcW w:w="1620" w:type="dxa"/>
            <w:tcBorders>
              <w:top w:val="nil"/>
              <w:bottom w:val="nil"/>
            </w:tcBorders>
            <w:vAlign w:val="center"/>
          </w:tcPr>
          <w:p w14:paraId="15052D84" w14:textId="79F83E38" w:rsidR="004B6268" w:rsidRPr="00867C44" w:rsidRDefault="004B6268" w:rsidP="004B6268">
            <w:pPr>
              <w:autoSpaceDE w:val="0"/>
              <w:autoSpaceDN w:val="0"/>
              <w:adjustRightInd w:val="0"/>
              <w:jc w:val="center"/>
              <w:rPr>
                <w:rFonts w:ascii="Arial Narrow" w:hAnsi="Arial Narrow" w:cs="Arial"/>
                <w:sz w:val="20"/>
                <w:szCs w:val="20"/>
              </w:rPr>
            </w:pPr>
          </w:p>
        </w:tc>
        <w:tc>
          <w:tcPr>
            <w:tcW w:w="1710" w:type="dxa"/>
            <w:tcBorders>
              <w:top w:val="nil"/>
              <w:bottom w:val="nil"/>
            </w:tcBorders>
            <w:vAlign w:val="center"/>
          </w:tcPr>
          <w:p w14:paraId="02AFE884" w14:textId="2EEBD392" w:rsidR="004B6268" w:rsidRPr="00867C44" w:rsidRDefault="004B6268" w:rsidP="004B6268">
            <w:pPr>
              <w:autoSpaceDE w:val="0"/>
              <w:autoSpaceDN w:val="0"/>
              <w:adjustRightInd w:val="0"/>
              <w:jc w:val="center"/>
              <w:rPr>
                <w:rFonts w:ascii="Arial Narrow" w:hAnsi="Arial Narrow" w:cs="Arial"/>
                <w:sz w:val="20"/>
                <w:szCs w:val="20"/>
              </w:rPr>
            </w:pPr>
          </w:p>
        </w:tc>
        <w:tc>
          <w:tcPr>
            <w:tcW w:w="1260" w:type="dxa"/>
            <w:tcBorders>
              <w:bottom w:val="nil"/>
            </w:tcBorders>
            <w:vAlign w:val="center"/>
          </w:tcPr>
          <w:p w14:paraId="3263F9FF" w14:textId="4EACC24C" w:rsidR="004B6268" w:rsidRPr="004B6268" w:rsidRDefault="004B6268" w:rsidP="004B6268">
            <w:pPr>
              <w:autoSpaceDE w:val="0"/>
              <w:autoSpaceDN w:val="0"/>
              <w:adjustRightInd w:val="0"/>
              <w:jc w:val="center"/>
              <w:rPr>
                <w:rFonts w:ascii="Arial Narrow" w:hAnsi="Arial Narrow" w:cs="Calibri"/>
                <w:i/>
                <w:color w:val="000000"/>
                <w:sz w:val="20"/>
                <w:szCs w:val="20"/>
              </w:rPr>
            </w:pPr>
            <w:r w:rsidRPr="004B6268">
              <w:rPr>
                <w:rFonts w:ascii="Arial Narrow" w:hAnsi="Arial Narrow" w:cs="Calibri"/>
                <w:i/>
                <w:color w:val="000000"/>
                <w:sz w:val="20"/>
                <w:szCs w:val="20"/>
              </w:rPr>
              <w:t xml:space="preserve">C. </w:t>
            </w:r>
            <w:proofErr w:type="spellStart"/>
            <w:r w:rsidRPr="004B6268">
              <w:rPr>
                <w:rFonts w:ascii="Arial Narrow" w:hAnsi="Arial Narrow" w:cs="Calibri"/>
                <w:i/>
                <w:color w:val="000000"/>
                <w:sz w:val="20"/>
                <w:szCs w:val="20"/>
              </w:rPr>
              <w:t>dubia</w:t>
            </w:r>
            <w:proofErr w:type="spellEnd"/>
          </w:p>
        </w:tc>
        <w:tc>
          <w:tcPr>
            <w:tcW w:w="1440" w:type="dxa"/>
            <w:vAlign w:val="center"/>
          </w:tcPr>
          <w:p w14:paraId="75B99E3E" w14:textId="0B64FFF6" w:rsidR="004B6268" w:rsidRPr="00D374CF" w:rsidRDefault="004B6268" w:rsidP="004B6268">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Survival</w:t>
            </w:r>
          </w:p>
        </w:tc>
        <w:tc>
          <w:tcPr>
            <w:tcW w:w="1260" w:type="dxa"/>
            <w:vAlign w:val="center"/>
          </w:tcPr>
          <w:p w14:paraId="3177AEFA" w14:textId="1958FBF2" w:rsidR="004B6268" w:rsidRPr="00D374CF" w:rsidRDefault="004B6268" w:rsidP="004B6268">
            <w:pPr>
              <w:autoSpaceDE w:val="0"/>
              <w:autoSpaceDN w:val="0"/>
              <w:adjustRightInd w:val="0"/>
              <w:jc w:val="center"/>
              <w:rPr>
                <w:rFonts w:ascii="Arial Narrow" w:hAnsi="Arial Narrow" w:cs="Arial"/>
                <w:sz w:val="20"/>
                <w:szCs w:val="20"/>
              </w:rPr>
            </w:pPr>
            <w:r>
              <w:rPr>
                <w:rFonts w:ascii="Arial Narrow" w:hAnsi="Arial Narrow" w:cs="Arial"/>
                <w:sz w:val="20"/>
                <w:szCs w:val="20"/>
              </w:rPr>
              <w:t>&gt;100%</w:t>
            </w:r>
          </w:p>
        </w:tc>
        <w:tc>
          <w:tcPr>
            <w:tcW w:w="1208" w:type="dxa"/>
            <w:shd w:val="clear" w:color="auto" w:fill="auto"/>
            <w:vAlign w:val="center"/>
          </w:tcPr>
          <w:p w14:paraId="578067F1" w14:textId="05C62917" w:rsidR="004B6268" w:rsidRPr="00D374CF" w:rsidRDefault="004B6268" w:rsidP="004B6268">
            <w:pPr>
              <w:autoSpaceDE w:val="0"/>
              <w:autoSpaceDN w:val="0"/>
              <w:adjustRightInd w:val="0"/>
              <w:jc w:val="center"/>
              <w:rPr>
                <w:rFonts w:ascii="Arial Narrow" w:hAnsi="Arial Narrow" w:cs="Arial"/>
                <w:sz w:val="20"/>
                <w:szCs w:val="20"/>
              </w:rPr>
            </w:pPr>
            <w:r>
              <w:rPr>
                <w:rFonts w:ascii="Arial Narrow" w:hAnsi="Arial Narrow" w:cs="Arial"/>
                <w:sz w:val="20"/>
                <w:szCs w:val="20"/>
              </w:rPr>
              <w:t>100%</w:t>
            </w:r>
          </w:p>
        </w:tc>
      </w:tr>
      <w:tr w:rsidR="004B6268" w:rsidRPr="00867C44" w14:paraId="06928BF5" w14:textId="77777777" w:rsidTr="004B6268">
        <w:trPr>
          <w:trHeight w:val="290"/>
          <w:jc w:val="center"/>
        </w:trPr>
        <w:tc>
          <w:tcPr>
            <w:tcW w:w="985" w:type="dxa"/>
            <w:tcBorders>
              <w:top w:val="nil"/>
              <w:bottom w:val="nil"/>
            </w:tcBorders>
            <w:vAlign w:val="center"/>
          </w:tcPr>
          <w:p w14:paraId="18ECEDB1" w14:textId="23ED7E4A" w:rsidR="004B6268" w:rsidRPr="00867C44" w:rsidRDefault="004B6268" w:rsidP="004B6268">
            <w:pPr>
              <w:autoSpaceDE w:val="0"/>
              <w:autoSpaceDN w:val="0"/>
              <w:adjustRightInd w:val="0"/>
              <w:jc w:val="center"/>
              <w:rPr>
                <w:rFonts w:ascii="Arial Narrow" w:hAnsi="Arial Narrow" w:cs="Arial"/>
                <w:sz w:val="20"/>
                <w:szCs w:val="20"/>
              </w:rPr>
            </w:pPr>
          </w:p>
        </w:tc>
        <w:tc>
          <w:tcPr>
            <w:tcW w:w="1620" w:type="dxa"/>
            <w:tcBorders>
              <w:top w:val="nil"/>
              <w:bottom w:val="nil"/>
            </w:tcBorders>
            <w:vAlign w:val="center"/>
          </w:tcPr>
          <w:p w14:paraId="54676E59" w14:textId="014A8C1A" w:rsidR="004B6268" w:rsidRPr="00867C44" w:rsidRDefault="004B6268" w:rsidP="004B6268">
            <w:pPr>
              <w:autoSpaceDE w:val="0"/>
              <w:autoSpaceDN w:val="0"/>
              <w:adjustRightInd w:val="0"/>
              <w:jc w:val="center"/>
              <w:rPr>
                <w:rFonts w:ascii="Arial Narrow" w:hAnsi="Arial Narrow" w:cs="Arial"/>
                <w:sz w:val="20"/>
                <w:szCs w:val="20"/>
              </w:rPr>
            </w:pPr>
          </w:p>
        </w:tc>
        <w:tc>
          <w:tcPr>
            <w:tcW w:w="1710" w:type="dxa"/>
            <w:tcBorders>
              <w:top w:val="nil"/>
              <w:bottom w:val="single" w:sz="4" w:space="0" w:color="auto"/>
            </w:tcBorders>
            <w:vAlign w:val="center"/>
          </w:tcPr>
          <w:p w14:paraId="1F013E60" w14:textId="5246CD9B" w:rsidR="004B6268" w:rsidRPr="00867C44" w:rsidRDefault="004B6268" w:rsidP="004B6268">
            <w:pPr>
              <w:autoSpaceDE w:val="0"/>
              <w:autoSpaceDN w:val="0"/>
              <w:adjustRightInd w:val="0"/>
              <w:jc w:val="center"/>
              <w:rPr>
                <w:rFonts w:ascii="Arial Narrow" w:hAnsi="Arial Narrow" w:cs="Arial"/>
                <w:sz w:val="20"/>
                <w:szCs w:val="20"/>
              </w:rPr>
            </w:pPr>
          </w:p>
        </w:tc>
        <w:tc>
          <w:tcPr>
            <w:tcW w:w="1260" w:type="dxa"/>
            <w:tcBorders>
              <w:top w:val="nil"/>
              <w:bottom w:val="single" w:sz="4" w:space="0" w:color="auto"/>
            </w:tcBorders>
            <w:vAlign w:val="center"/>
          </w:tcPr>
          <w:p w14:paraId="33771800" w14:textId="72E9A23F" w:rsidR="004B6268" w:rsidRPr="00D374CF" w:rsidRDefault="004B6268" w:rsidP="004B6268">
            <w:pPr>
              <w:autoSpaceDE w:val="0"/>
              <w:autoSpaceDN w:val="0"/>
              <w:adjustRightInd w:val="0"/>
              <w:jc w:val="center"/>
              <w:rPr>
                <w:rFonts w:ascii="Arial Narrow" w:hAnsi="Arial Narrow" w:cs="Calibri"/>
                <w:color w:val="000000"/>
                <w:sz w:val="20"/>
                <w:szCs w:val="20"/>
              </w:rPr>
            </w:pPr>
          </w:p>
        </w:tc>
        <w:tc>
          <w:tcPr>
            <w:tcW w:w="1440" w:type="dxa"/>
            <w:vAlign w:val="center"/>
          </w:tcPr>
          <w:p w14:paraId="191F9E16" w14:textId="51D756B4" w:rsidR="004B6268" w:rsidRPr="00D374CF" w:rsidRDefault="004B6268" w:rsidP="004B6268">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Reproduction</w:t>
            </w:r>
          </w:p>
        </w:tc>
        <w:tc>
          <w:tcPr>
            <w:tcW w:w="1260" w:type="dxa"/>
            <w:vAlign w:val="center"/>
          </w:tcPr>
          <w:p w14:paraId="0DC2ADE3" w14:textId="1E231759" w:rsidR="004B6268" w:rsidRPr="00D374CF" w:rsidRDefault="004B6268" w:rsidP="004B6268">
            <w:pPr>
              <w:autoSpaceDE w:val="0"/>
              <w:autoSpaceDN w:val="0"/>
              <w:adjustRightInd w:val="0"/>
              <w:jc w:val="center"/>
              <w:rPr>
                <w:rFonts w:ascii="Arial Narrow" w:hAnsi="Arial Narrow" w:cs="Arial"/>
                <w:sz w:val="20"/>
                <w:szCs w:val="20"/>
              </w:rPr>
            </w:pPr>
            <w:r>
              <w:rPr>
                <w:rFonts w:ascii="Arial Narrow" w:hAnsi="Arial Narrow" w:cs="Arial"/>
                <w:sz w:val="20"/>
                <w:szCs w:val="20"/>
              </w:rPr>
              <w:t>&gt;100%</w:t>
            </w:r>
          </w:p>
        </w:tc>
        <w:tc>
          <w:tcPr>
            <w:tcW w:w="1208" w:type="dxa"/>
            <w:shd w:val="clear" w:color="auto" w:fill="auto"/>
            <w:vAlign w:val="center"/>
          </w:tcPr>
          <w:p w14:paraId="00959C1C" w14:textId="43436974" w:rsidR="004B6268" w:rsidRPr="00D374CF" w:rsidRDefault="004B6268" w:rsidP="004B6268">
            <w:pPr>
              <w:autoSpaceDE w:val="0"/>
              <w:autoSpaceDN w:val="0"/>
              <w:adjustRightInd w:val="0"/>
              <w:jc w:val="center"/>
              <w:rPr>
                <w:rFonts w:ascii="Arial Narrow" w:hAnsi="Arial Narrow" w:cs="Arial"/>
                <w:sz w:val="20"/>
                <w:szCs w:val="20"/>
              </w:rPr>
            </w:pPr>
            <w:r>
              <w:rPr>
                <w:rFonts w:ascii="Arial Narrow" w:hAnsi="Arial Narrow" w:cs="Arial"/>
                <w:sz w:val="20"/>
                <w:szCs w:val="20"/>
              </w:rPr>
              <w:t>100%</w:t>
            </w:r>
          </w:p>
        </w:tc>
      </w:tr>
      <w:tr w:rsidR="004B6268" w:rsidRPr="00867C44" w14:paraId="219E0477" w14:textId="77777777" w:rsidTr="004B6268">
        <w:trPr>
          <w:trHeight w:val="290"/>
          <w:jc w:val="center"/>
        </w:trPr>
        <w:tc>
          <w:tcPr>
            <w:tcW w:w="985" w:type="dxa"/>
            <w:tcBorders>
              <w:top w:val="nil"/>
              <w:bottom w:val="nil"/>
            </w:tcBorders>
            <w:vAlign w:val="center"/>
          </w:tcPr>
          <w:p w14:paraId="3F0FE8CF" w14:textId="438410F9" w:rsidR="004B6268" w:rsidRPr="00867C44" w:rsidRDefault="004B6268" w:rsidP="004B6268">
            <w:pPr>
              <w:autoSpaceDE w:val="0"/>
              <w:autoSpaceDN w:val="0"/>
              <w:adjustRightInd w:val="0"/>
              <w:jc w:val="center"/>
              <w:rPr>
                <w:rFonts w:ascii="Arial Narrow" w:hAnsi="Arial Narrow" w:cs="Arial"/>
                <w:sz w:val="20"/>
                <w:szCs w:val="20"/>
              </w:rPr>
            </w:pPr>
          </w:p>
        </w:tc>
        <w:tc>
          <w:tcPr>
            <w:tcW w:w="1620" w:type="dxa"/>
            <w:tcBorders>
              <w:top w:val="nil"/>
              <w:bottom w:val="nil"/>
            </w:tcBorders>
            <w:vAlign w:val="center"/>
          </w:tcPr>
          <w:p w14:paraId="60631204" w14:textId="49074E0E" w:rsidR="004B6268" w:rsidRPr="00867C44" w:rsidRDefault="004B6268" w:rsidP="004B6268">
            <w:pPr>
              <w:autoSpaceDE w:val="0"/>
              <w:autoSpaceDN w:val="0"/>
              <w:adjustRightInd w:val="0"/>
              <w:jc w:val="center"/>
              <w:rPr>
                <w:rFonts w:ascii="Arial Narrow" w:hAnsi="Arial Narrow" w:cs="Arial"/>
                <w:sz w:val="20"/>
                <w:szCs w:val="20"/>
              </w:rPr>
            </w:pPr>
          </w:p>
        </w:tc>
        <w:tc>
          <w:tcPr>
            <w:tcW w:w="1710" w:type="dxa"/>
            <w:tcBorders>
              <w:bottom w:val="nil"/>
            </w:tcBorders>
            <w:vAlign w:val="center"/>
          </w:tcPr>
          <w:p w14:paraId="53B7029C" w14:textId="0A3B1815" w:rsidR="004B6268" w:rsidRPr="00867C44" w:rsidRDefault="00AC292E" w:rsidP="004B6268">
            <w:pPr>
              <w:autoSpaceDE w:val="0"/>
              <w:autoSpaceDN w:val="0"/>
              <w:adjustRightInd w:val="0"/>
              <w:jc w:val="center"/>
              <w:rPr>
                <w:rFonts w:ascii="Arial Narrow" w:hAnsi="Arial Narrow" w:cs="Arial"/>
                <w:sz w:val="20"/>
                <w:szCs w:val="20"/>
              </w:rPr>
            </w:pPr>
            <w:r>
              <w:rPr>
                <w:rFonts w:ascii="Arial Narrow" w:hAnsi="Arial Narrow" w:cs="Arial"/>
                <w:sz w:val="20"/>
                <w:szCs w:val="20"/>
              </w:rPr>
              <w:t>Roanoke River downstream of outfall</w:t>
            </w:r>
          </w:p>
        </w:tc>
        <w:tc>
          <w:tcPr>
            <w:tcW w:w="1260" w:type="dxa"/>
            <w:tcBorders>
              <w:bottom w:val="nil"/>
            </w:tcBorders>
            <w:vAlign w:val="center"/>
          </w:tcPr>
          <w:p w14:paraId="10AA206C" w14:textId="72297300" w:rsidR="004B6268" w:rsidRPr="00D374CF" w:rsidRDefault="004B6268" w:rsidP="004B6268">
            <w:pPr>
              <w:autoSpaceDE w:val="0"/>
              <w:autoSpaceDN w:val="0"/>
              <w:adjustRightInd w:val="0"/>
              <w:jc w:val="center"/>
              <w:rPr>
                <w:rFonts w:ascii="Arial Narrow" w:hAnsi="Arial Narrow" w:cs="Calibri"/>
                <w:color w:val="000000"/>
                <w:sz w:val="20"/>
                <w:szCs w:val="20"/>
              </w:rPr>
            </w:pPr>
            <w:r w:rsidRPr="004B6268">
              <w:rPr>
                <w:rFonts w:ascii="Arial Narrow" w:hAnsi="Arial Narrow" w:cs="Calibri"/>
                <w:i/>
                <w:color w:val="000000"/>
                <w:sz w:val="20"/>
                <w:szCs w:val="20"/>
              </w:rPr>
              <w:t xml:space="preserve">P. </w:t>
            </w:r>
            <w:proofErr w:type="spellStart"/>
            <w:r w:rsidRPr="004B6268">
              <w:rPr>
                <w:rFonts w:ascii="Arial Narrow" w:hAnsi="Arial Narrow" w:cs="Calibri"/>
                <w:i/>
                <w:color w:val="000000"/>
                <w:sz w:val="20"/>
                <w:szCs w:val="20"/>
              </w:rPr>
              <w:t>promelas</w:t>
            </w:r>
            <w:proofErr w:type="spellEnd"/>
          </w:p>
        </w:tc>
        <w:tc>
          <w:tcPr>
            <w:tcW w:w="1440" w:type="dxa"/>
            <w:vAlign w:val="center"/>
          </w:tcPr>
          <w:p w14:paraId="42F101E3" w14:textId="30557E9C" w:rsidR="004B6268" w:rsidRPr="00D374CF" w:rsidRDefault="004B6268" w:rsidP="004B6268">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Survival</w:t>
            </w:r>
          </w:p>
        </w:tc>
        <w:tc>
          <w:tcPr>
            <w:tcW w:w="1260" w:type="dxa"/>
            <w:vAlign w:val="center"/>
          </w:tcPr>
          <w:p w14:paraId="2EEC0EBD" w14:textId="0C3162DB" w:rsidR="004B6268" w:rsidRPr="00D374CF" w:rsidRDefault="004B6268" w:rsidP="004B6268">
            <w:pPr>
              <w:autoSpaceDE w:val="0"/>
              <w:autoSpaceDN w:val="0"/>
              <w:adjustRightInd w:val="0"/>
              <w:jc w:val="center"/>
              <w:rPr>
                <w:rFonts w:ascii="Arial Narrow" w:hAnsi="Arial Narrow" w:cs="Arial"/>
                <w:sz w:val="20"/>
                <w:szCs w:val="20"/>
              </w:rPr>
            </w:pPr>
            <w:r>
              <w:rPr>
                <w:rFonts w:ascii="Arial Narrow" w:hAnsi="Arial Narrow" w:cs="Arial"/>
                <w:sz w:val="20"/>
                <w:szCs w:val="20"/>
              </w:rPr>
              <w:t>&gt;100%</w:t>
            </w:r>
          </w:p>
        </w:tc>
        <w:tc>
          <w:tcPr>
            <w:tcW w:w="1208" w:type="dxa"/>
            <w:shd w:val="clear" w:color="auto" w:fill="auto"/>
            <w:vAlign w:val="center"/>
          </w:tcPr>
          <w:p w14:paraId="30FE2A00" w14:textId="5DAA2B9F" w:rsidR="004B6268" w:rsidRPr="00D374CF" w:rsidRDefault="004B6268" w:rsidP="004B6268">
            <w:pPr>
              <w:autoSpaceDE w:val="0"/>
              <w:autoSpaceDN w:val="0"/>
              <w:adjustRightInd w:val="0"/>
              <w:jc w:val="center"/>
              <w:rPr>
                <w:rFonts w:ascii="Arial Narrow" w:hAnsi="Arial Narrow" w:cs="Arial"/>
                <w:sz w:val="20"/>
                <w:szCs w:val="20"/>
              </w:rPr>
            </w:pPr>
            <w:r>
              <w:rPr>
                <w:rFonts w:ascii="Arial Narrow" w:hAnsi="Arial Narrow" w:cs="Arial"/>
                <w:sz w:val="20"/>
                <w:szCs w:val="20"/>
              </w:rPr>
              <w:t>100%</w:t>
            </w:r>
          </w:p>
        </w:tc>
      </w:tr>
      <w:tr w:rsidR="004B6268" w:rsidRPr="00867C44" w14:paraId="344B400D" w14:textId="77777777" w:rsidTr="004B6268">
        <w:trPr>
          <w:trHeight w:val="290"/>
          <w:jc w:val="center"/>
        </w:trPr>
        <w:tc>
          <w:tcPr>
            <w:tcW w:w="985" w:type="dxa"/>
            <w:tcBorders>
              <w:top w:val="nil"/>
              <w:bottom w:val="nil"/>
            </w:tcBorders>
            <w:vAlign w:val="center"/>
          </w:tcPr>
          <w:p w14:paraId="461E0120" w14:textId="7962ACE7" w:rsidR="004B6268" w:rsidRPr="00867C44" w:rsidRDefault="004B6268" w:rsidP="004B6268">
            <w:pPr>
              <w:autoSpaceDE w:val="0"/>
              <w:autoSpaceDN w:val="0"/>
              <w:adjustRightInd w:val="0"/>
              <w:jc w:val="center"/>
              <w:rPr>
                <w:rFonts w:ascii="Arial Narrow" w:hAnsi="Arial Narrow" w:cs="Arial"/>
                <w:sz w:val="20"/>
                <w:szCs w:val="20"/>
              </w:rPr>
            </w:pPr>
          </w:p>
        </w:tc>
        <w:tc>
          <w:tcPr>
            <w:tcW w:w="1620" w:type="dxa"/>
            <w:tcBorders>
              <w:top w:val="nil"/>
              <w:bottom w:val="nil"/>
            </w:tcBorders>
            <w:vAlign w:val="center"/>
          </w:tcPr>
          <w:p w14:paraId="081E15CD" w14:textId="004F32F6" w:rsidR="004B6268" w:rsidRPr="00867C44" w:rsidRDefault="004B6268" w:rsidP="004B6268">
            <w:pPr>
              <w:autoSpaceDE w:val="0"/>
              <w:autoSpaceDN w:val="0"/>
              <w:adjustRightInd w:val="0"/>
              <w:jc w:val="center"/>
              <w:rPr>
                <w:rFonts w:ascii="Arial Narrow" w:hAnsi="Arial Narrow" w:cs="Arial"/>
                <w:sz w:val="20"/>
                <w:szCs w:val="20"/>
              </w:rPr>
            </w:pPr>
          </w:p>
        </w:tc>
        <w:tc>
          <w:tcPr>
            <w:tcW w:w="1710" w:type="dxa"/>
            <w:tcBorders>
              <w:top w:val="nil"/>
              <w:bottom w:val="nil"/>
            </w:tcBorders>
            <w:vAlign w:val="center"/>
          </w:tcPr>
          <w:p w14:paraId="0536FF8A" w14:textId="292EB7D5" w:rsidR="004B6268" w:rsidRPr="00867C44" w:rsidRDefault="004B6268" w:rsidP="004B6268">
            <w:pPr>
              <w:autoSpaceDE w:val="0"/>
              <w:autoSpaceDN w:val="0"/>
              <w:adjustRightInd w:val="0"/>
              <w:jc w:val="center"/>
              <w:rPr>
                <w:rFonts w:ascii="Arial Narrow" w:hAnsi="Arial Narrow" w:cs="Arial"/>
                <w:sz w:val="20"/>
                <w:szCs w:val="20"/>
              </w:rPr>
            </w:pPr>
          </w:p>
        </w:tc>
        <w:tc>
          <w:tcPr>
            <w:tcW w:w="1260" w:type="dxa"/>
            <w:tcBorders>
              <w:top w:val="nil"/>
              <w:bottom w:val="single" w:sz="4" w:space="0" w:color="auto"/>
            </w:tcBorders>
            <w:vAlign w:val="center"/>
          </w:tcPr>
          <w:p w14:paraId="50B82B82" w14:textId="77777777" w:rsidR="004B6268" w:rsidRPr="00D374CF" w:rsidRDefault="004B6268" w:rsidP="004B6268">
            <w:pPr>
              <w:autoSpaceDE w:val="0"/>
              <w:autoSpaceDN w:val="0"/>
              <w:adjustRightInd w:val="0"/>
              <w:jc w:val="center"/>
              <w:rPr>
                <w:rFonts w:ascii="Arial Narrow" w:hAnsi="Arial Narrow" w:cs="Calibri"/>
                <w:color w:val="000000"/>
                <w:sz w:val="20"/>
                <w:szCs w:val="20"/>
              </w:rPr>
            </w:pPr>
          </w:p>
        </w:tc>
        <w:tc>
          <w:tcPr>
            <w:tcW w:w="1440" w:type="dxa"/>
            <w:vAlign w:val="center"/>
          </w:tcPr>
          <w:p w14:paraId="2C09F102" w14:textId="5AE6F77B" w:rsidR="004B6268" w:rsidRPr="00D374CF" w:rsidRDefault="004B6268" w:rsidP="004B6268">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Biomass</w:t>
            </w:r>
          </w:p>
        </w:tc>
        <w:tc>
          <w:tcPr>
            <w:tcW w:w="1260" w:type="dxa"/>
            <w:vAlign w:val="center"/>
          </w:tcPr>
          <w:p w14:paraId="29F60F1A" w14:textId="64585836" w:rsidR="004B6268" w:rsidRPr="00D374CF" w:rsidRDefault="004B6268" w:rsidP="004B6268">
            <w:pPr>
              <w:autoSpaceDE w:val="0"/>
              <w:autoSpaceDN w:val="0"/>
              <w:adjustRightInd w:val="0"/>
              <w:jc w:val="center"/>
              <w:rPr>
                <w:rFonts w:ascii="Arial Narrow" w:hAnsi="Arial Narrow" w:cs="Arial"/>
                <w:sz w:val="20"/>
                <w:szCs w:val="20"/>
              </w:rPr>
            </w:pPr>
            <w:r>
              <w:rPr>
                <w:rFonts w:ascii="Arial Narrow" w:hAnsi="Arial Narrow" w:cs="Arial"/>
                <w:sz w:val="20"/>
                <w:szCs w:val="20"/>
              </w:rPr>
              <w:t>&gt;100%</w:t>
            </w:r>
          </w:p>
        </w:tc>
        <w:tc>
          <w:tcPr>
            <w:tcW w:w="1208" w:type="dxa"/>
            <w:shd w:val="clear" w:color="auto" w:fill="auto"/>
            <w:vAlign w:val="center"/>
          </w:tcPr>
          <w:p w14:paraId="5FAE143D" w14:textId="2C3D0D93" w:rsidR="004B6268" w:rsidRPr="00D374CF" w:rsidRDefault="004B6268" w:rsidP="004B6268">
            <w:pPr>
              <w:autoSpaceDE w:val="0"/>
              <w:autoSpaceDN w:val="0"/>
              <w:adjustRightInd w:val="0"/>
              <w:jc w:val="center"/>
              <w:rPr>
                <w:rFonts w:ascii="Arial Narrow" w:hAnsi="Arial Narrow" w:cs="Arial"/>
                <w:sz w:val="20"/>
                <w:szCs w:val="20"/>
              </w:rPr>
            </w:pPr>
            <w:r>
              <w:rPr>
                <w:rFonts w:ascii="Arial Narrow" w:hAnsi="Arial Narrow" w:cs="Arial"/>
                <w:sz w:val="20"/>
                <w:szCs w:val="20"/>
              </w:rPr>
              <w:t>100%</w:t>
            </w:r>
          </w:p>
        </w:tc>
      </w:tr>
      <w:tr w:rsidR="004B6268" w:rsidRPr="00867C44" w14:paraId="133DCA04" w14:textId="77777777" w:rsidTr="004B6268">
        <w:trPr>
          <w:trHeight w:val="290"/>
          <w:jc w:val="center"/>
        </w:trPr>
        <w:tc>
          <w:tcPr>
            <w:tcW w:w="985" w:type="dxa"/>
            <w:tcBorders>
              <w:top w:val="nil"/>
              <w:bottom w:val="nil"/>
            </w:tcBorders>
            <w:vAlign w:val="center"/>
          </w:tcPr>
          <w:p w14:paraId="45E50F09" w14:textId="74B9194E" w:rsidR="004B6268" w:rsidRPr="00867C44" w:rsidRDefault="004B6268" w:rsidP="004B6268">
            <w:pPr>
              <w:autoSpaceDE w:val="0"/>
              <w:autoSpaceDN w:val="0"/>
              <w:adjustRightInd w:val="0"/>
              <w:jc w:val="center"/>
              <w:rPr>
                <w:rFonts w:ascii="Arial Narrow" w:hAnsi="Arial Narrow" w:cs="Arial"/>
                <w:sz w:val="20"/>
                <w:szCs w:val="20"/>
              </w:rPr>
            </w:pPr>
          </w:p>
        </w:tc>
        <w:tc>
          <w:tcPr>
            <w:tcW w:w="1620" w:type="dxa"/>
            <w:tcBorders>
              <w:top w:val="nil"/>
              <w:bottom w:val="nil"/>
            </w:tcBorders>
            <w:vAlign w:val="center"/>
          </w:tcPr>
          <w:p w14:paraId="7F7E9DB7" w14:textId="5E0EB16A" w:rsidR="004B6268" w:rsidRPr="00867C44" w:rsidRDefault="004B6268" w:rsidP="004B6268">
            <w:pPr>
              <w:autoSpaceDE w:val="0"/>
              <w:autoSpaceDN w:val="0"/>
              <w:adjustRightInd w:val="0"/>
              <w:jc w:val="center"/>
              <w:rPr>
                <w:rFonts w:ascii="Arial Narrow" w:hAnsi="Arial Narrow" w:cs="Arial"/>
                <w:sz w:val="20"/>
                <w:szCs w:val="20"/>
              </w:rPr>
            </w:pPr>
          </w:p>
        </w:tc>
        <w:tc>
          <w:tcPr>
            <w:tcW w:w="1710" w:type="dxa"/>
            <w:tcBorders>
              <w:top w:val="nil"/>
              <w:bottom w:val="nil"/>
            </w:tcBorders>
            <w:vAlign w:val="center"/>
          </w:tcPr>
          <w:p w14:paraId="37756054" w14:textId="13D14347" w:rsidR="004B6268" w:rsidRPr="00867C44" w:rsidRDefault="004B6268" w:rsidP="004B6268">
            <w:pPr>
              <w:autoSpaceDE w:val="0"/>
              <w:autoSpaceDN w:val="0"/>
              <w:adjustRightInd w:val="0"/>
              <w:jc w:val="center"/>
              <w:rPr>
                <w:rFonts w:ascii="Arial Narrow" w:hAnsi="Arial Narrow" w:cs="Arial"/>
                <w:sz w:val="20"/>
                <w:szCs w:val="20"/>
              </w:rPr>
            </w:pPr>
          </w:p>
        </w:tc>
        <w:tc>
          <w:tcPr>
            <w:tcW w:w="1260" w:type="dxa"/>
            <w:tcBorders>
              <w:bottom w:val="nil"/>
            </w:tcBorders>
            <w:vAlign w:val="center"/>
          </w:tcPr>
          <w:p w14:paraId="30DEB52D" w14:textId="3B2DB8AB" w:rsidR="004B6268" w:rsidRPr="00D374CF" w:rsidRDefault="004B6268" w:rsidP="004B6268">
            <w:pPr>
              <w:autoSpaceDE w:val="0"/>
              <w:autoSpaceDN w:val="0"/>
              <w:adjustRightInd w:val="0"/>
              <w:jc w:val="center"/>
              <w:rPr>
                <w:rFonts w:ascii="Arial Narrow" w:hAnsi="Arial Narrow" w:cs="Calibri"/>
                <w:color w:val="000000"/>
                <w:sz w:val="20"/>
                <w:szCs w:val="20"/>
              </w:rPr>
            </w:pPr>
            <w:r w:rsidRPr="004B6268">
              <w:rPr>
                <w:rFonts w:ascii="Arial Narrow" w:hAnsi="Arial Narrow" w:cs="Calibri"/>
                <w:i/>
                <w:color w:val="000000"/>
                <w:sz w:val="20"/>
                <w:szCs w:val="20"/>
              </w:rPr>
              <w:t xml:space="preserve">C. </w:t>
            </w:r>
            <w:proofErr w:type="spellStart"/>
            <w:r w:rsidRPr="004B6268">
              <w:rPr>
                <w:rFonts w:ascii="Arial Narrow" w:hAnsi="Arial Narrow" w:cs="Calibri"/>
                <w:i/>
                <w:color w:val="000000"/>
                <w:sz w:val="20"/>
                <w:szCs w:val="20"/>
              </w:rPr>
              <w:t>dubia</w:t>
            </w:r>
            <w:proofErr w:type="spellEnd"/>
          </w:p>
        </w:tc>
        <w:tc>
          <w:tcPr>
            <w:tcW w:w="1440" w:type="dxa"/>
            <w:vAlign w:val="center"/>
          </w:tcPr>
          <w:p w14:paraId="1C375420" w14:textId="69B112D8" w:rsidR="004B6268" w:rsidRPr="00D374CF" w:rsidRDefault="004B6268" w:rsidP="004B6268">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Survival</w:t>
            </w:r>
          </w:p>
        </w:tc>
        <w:tc>
          <w:tcPr>
            <w:tcW w:w="1260" w:type="dxa"/>
            <w:vAlign w:val="center"/>
          </w:tcPr>
          <w:p w14:paraId="2CFD5141" w14:textId="3D3E80D7" w:rsidR="004B6268" w:rsidRPr="00D374CF" w:rsidRDefault="004B6268" w:rsidP="004B6268">
            <w:pPr>
              <w:autoSpaceDE w:val="0"/>
              <w:autoSpaceDN w:val="0"/>
              <w:adjustRightInd w:val="0"/>
              <w:jc w:val="center"/>
              <w:rPr>
                <w:rFonts w:ascii="Arial Narrow" w:hAnsi="Arial Narrow" w:cs="Arial"/>
                <w:sz w:val="20"/>
                <w:szCs w:val="20"/>
              </w:rPr>
            </w:pPr>
            <w:r>
              <w:rPr>
                <w:rFonts w:ascii="Arial Narrow" w:hAnsi="Arial Narrow" w:cs="Arial"/>
                <w:sz w:val="20"/>
                <w:szCs w:val="20"/>
              </w:rPr>
              <w:t>&gt;100%</w:t>
            </w:r>
          </w:p>
        </w:tc>
        <w:tc>
          <w:tcPr>
            <w:tcW w:w="1208" w:type="dxa"/>
            <w:shd w:val="clear" w:color="auto" w:fill="auto"/>
            <w:vAlign w:val="center"/>
          </w:tcPr>
          <w:p w14:paraId="0D23032F" w14:textId="21E19A0A" w:rsidR="004B6268" w:rsidRPr="00D374CF" w:rsidRDefault="004B6268" w:rsidP="004B6268">
            <w:pPr>
              <w:autoSpaceDE w:val="0"/>
              <w:autoSpaceDN w:val="0"/>
              <w:adjustRightInd w:val="0"/>
              <w:jc w:val="center"/>
              <w:rPr>
                <w:rFonts w:ascii="Arial Narrow" w:hAnsi="Arial Narrow" w:cs="Arial"/>
                <w:sz w:val="20"/>
                <w:szCs w:val="20"/>
              </w:rPr>
            </w:pPr>
            <w:r>
              <w:rPr>
                <w:rFonts w:ascii="Arial Narrow" w:hAnsi="Arial Narrow" w:cs="Arial"/>
                <w:sz w:val="20"/>
                <w:szCs w:val="20"/>
              </w:rPr>
              <w:t>100%</w:t>
            </w:r>
          </w:p>
        </w:tc>
      </w:tr>
      <w:tr w:rsidR="004B6268" w:rsidRPr="00867C44" w14:paraId="0E24DB3B" w14:textId="77777777" w:rsidTr="004B6268">
        <w:trPr>
          <w:trHeight w:val="290"/>
          <w:jc w:val="center"/>
        </w:trPr>
        <w:tc>
          <w:tcPr>
            <w:tcW w:w="985" w:type="dxa"/>
            <w:tcBorders>
              <w:top w:val="nil"/>
            </w:tcBorders>
            <w:vAlign w:val="center"/>
          </w:tcPr>
          <w:p w14:paraId="447BA7D0" w14:textId="71AD5D90" w:rsidR="004B6268" w:rsidRPr="00867C44" w:rsidRDefault="004B6268" w:rsidP="004B6268">
            <w:pPr>
              <w:autoSpaceDE w:val="0"/>
              <w:autoSpaceDN w:val="0"/>
              <w:adjustRightInd w:val="0"/>
              <w:jc w:val="center"/>
              <w:rPr>
                <w:rFonts w:ascii="Arial Narrow" w:hAnsi="Arial Narrow" w:cs="Arial"/>
                <w:sz w:val="20"/>
                <w:szCs w:val="20"/>
              </w:rPr>
            </w:pPr>
          </w:p>
        </w:tc>
        <w:tc>
          <w:tcPr>
            <w:tcW w:w="1620" w:type="dxa"/>
            <w:tcBorders>
              <w:top w:val="nil"/>
            </w:tcBorders>
            <w:vAlign w:val="center"/>
          </w:tcPr>
          <w:p w14:paraId="56E19E6B" w14:textId="7FE43AB6" w:rsidR="004B6268" w:rsidRPr="00867C44" w:rsidRDefault="004B6268" w:rsidP="004B6268">
            <w:pPr>
              <w:autoSpaceDE w:val="0"/>
              <w:autoSpaceDN w:val="0"/>
              <w:adjustRightInd w:val="0"/>
              <w:jc w:val="center"/>
              <w:rPr>
                <w:rFonts w:ascii="Arial Narrow" w:hAnsi="Arial Narrow" w:cs="Arial"/>
                <w:sz w:val="20"/>
                <w:szCs w:val="20"/>
              </w:rPr>
            </w:pPr>
          </w:p>
        </w:tc>
        <w:tc>
          <w:tcPr>
            <w:tcW w:w="1710" w:type="dxa"/>
            <w:tcBorders>
              <w:top w:val="nil"/>
            </w:tcBorders>
            <w:vAlign w:val="center"/>
          </w:tcPr>
          <w:p w14:paraId="28875021" w14:textId="4BF48D79" w:rsidR="004B6268" w:rsidRPr="00867C44" w:rsidRDefault="004B6268" w:rsidP="004B6268">
            <w:pPr>
              <w:autoSpaceDE w:val="0"/>
              <w:autoSpaceDN w:val="0"/>
              <w:adjustRightInd w:val="0"/>
              <w:jc w:val="center"/>
              <w:rPr>
                <w:rFonts w:ascii="Arial Narrow" w:hAnsi="Arial Narrow" w:cs="Arial"/>
                <w:sz w:val="20"/>
                <w:szCs w:val="20"/>
              </w:rPr>
            </w:pPr>
          </w:p>
        </w:tc>
        <w:tc>
          <w:tcPr>
            <w:tcW w:w="1260" w:type="dxa"/>
            <w:tcBorders>
              <w:top w:val="nil"/>
            </w:tcBorders>
            <w:vAlign w:val="center"/>
          </w:tcPr>
          <w:p w14:paraId="2C25FBCE" w14:textId="77777777" w:rsidR="004B6268" w:rsidRPr="00D374CF" w:rsidRDefault="004B6268" w:rsidP="004B6268">
            <w:pPr>
              <w:autoSpaceDE w:val="0"/>
              <w:autoSpaceDN w:val="0"/>
              <w:adjustRightInd w:val="0"/>
              <w:jc w:val="center"/>
              <w:rPr>
                <w:rFonts w:ascii="Arial Narrow" w:hAnsi="Arial Narrow" w:cs="Calibri"/>
                <w:color w:val="000000"/>
                <w:sz w:val="20"/>
                <w:szCs w:val="20"/>
              </w:rPr>
            </w:pPr>
          </w:p>
        </w:tc>
        <w:tc>
          <w:tcPr>
            <w:tcW w:w="1440" w:type="dxa"/>
            <w:vAlign w:val="center"/>
          </w:tcPr>
          <w:p w14:paraId="395E2437" w14:textId="492CD2DE" w:rsidR="004B6268" w:rsidRPr="00D374CF" w:rsidRDefault="004B6268" w:rsidP="004B6268">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Reproduction</w:t>
            </w:r>
          </w:p>
        </w:tc>
        <w:tc>
          <w:tcPr>
            <w:tcW w:w="1260" w:type="dxa"/>
            <w:vAlign w:val="center"/>
          </w:tcPr>
          <w:p w14:paraId="6A19D2FC" w14:textId="66DF349E" w:rsidR="004B6268" w:rsidRPr="00D374CF" w:rsidRDefault="004B6268" w:rsidP="004B6268">
            <w:pPr>
              <w:autoSpaceDE w:val="0"/>
              <w:autoSpaceDN w:val="0"/>
              <w:adjustRightInd w:val="0"/>
              <w:jc w:val="center"/>
              <w:rPr>
                <w:rFonts w:ascii="Arial Narrow" w:hAnsi="Arial Narrow" w:cs="Arial"/>
                <w:sz w:val="20"/>
                <w:szCs w:val="20"/>
              </w:rPr>
            </w:pPr>
            <w:r>
              <w:rPr>
                <w:rFonts w:ascii="Arial Narrow" w:hAnsi="Arial Narrow" w:cs="Arial"/>
                <w:sz w:val="20"/>
                <w:szCs w:val="20"/>
              </w:rPr>
              <w:t>&gt;100%</w:t>
            </w:r>
          </w:p>
        </w:tc>
        <w:tc>
          <w:tcPr>
            <w:tcW w:w="1208" w:type="dxa"/>
            <w:shd w:val="clear" w:color="auto" w:fill="auto"/>
            <w:vAlign w:val="center"/>
          </w:tcPr>
          <w:p w14:paraId="7BBFF4F2" w14:textId="1BF27A13" w:rsidR="004B6268" w:rsidRPr="00D374CF" w:rsidRDefault="004B6268" w:rsidP="004B6268">
            <w:pPr>
              <w:autoSpaceDE w:val="0"/>
              <w:autoSpaceDN w:val="0"/>
              <w:adjustRightInd w:val="0"/>
              <w:jc w:val="center"/>
              <w:rPr>
                <w:rFonts w:ascii="Arial Narrow" w:hAnsi="Arial Narrow" w:cs="Arial"/>
                <w:sz w:val="20"/>
                <w:szCs w:val="20"/>
              </w:rPr>
            </w:pPr>
            <w:r>
              <w:rPr>
                <w:rFonts w:ascii="Arial Narrow" w:hAnsi="Arial Narrow" w:cs="Arial"/>
                <w:sz w:val="20"/>
                <w:szCs w:val="20"/>
              </w:rPr>
              <w:t>100%</w:t>
            </w:r>
          </w:p>
        </w:tc>
      </w:tr>
    </w:tbl>
    <w:p w14:paraId="06D28F7F" w14:textId="6C7AB172" w:rsidR="00FA5004" w:rsidRDefault="00FA5004" w:rsidP="004B6268">
      <w:pPr>
        <w:pStyle w:val="BlockText"/>
        <w:spacing w:before="0" w:after="0" w:line="240" w:lineRule="auto"/>
        <w:rPr>
          <w:rFonts w:ascii="Arial Narrow" w:hAnsi="Arial Narrow"/>
          <w:sz w:val="20"/>
          <w:szCs w:val="20"/>
        </w:rPr>
      </w:pPr>
      <w:r w:rsidRPr="00FA5004">
        <w:rPr>
          <w:rFonts w:ascii="Arial Narrow" w:hAnsi="Arial Narrow"/>
          <w:sz w:val="20"/>
          <w:szCs w:val="20"/>
          <w:vertAlign w:val="superscript"/>
        </w:rPr>
        <w:t>1</w:t>
      </w:r>
      <w:r>
        <w:rPr>
          <w:rFonts w:ascii="Arial Narrow" w:hAnsi="Arial Narrow"/>
          <w:sz w:val="20"/>
          <w:szCs w:val="20"/>
        </w:rPr>
        <w:t xml:space="preserve"> </w:t>
      </w:r>
      <w:r w:rsidR="004B6268">
        <w:rPr>
          <w:rFonts w:ascii="Arial Narrow" w:hAnsi="Arial Narrow"/>
          <w:sz w:val="20"/>
          <w:szCs w:val="20"/>
        </w:rPr>
        <w:t>LC50 for survival endpoints and IC25 for biomass and reproduction endpoints.</w:t>
      </w:r>
    </w:p>
    <w:p w14:paraId="400D445E" w14:textId="77777777" w:rsidR="005E4B50" w:rsidRDefault="005E4B50" w:rsidP="005B548F">
      <w:pPr>
        <w:pStyle w:val="BlockText"/>
        <w:rPr>
          <w:rFonts w:ascii="Arial Narrow" w:hAnsi="Arial Narrow"/>
          <w:sz w:val="20"/>
          <w:szCs w:val="20"/>
        </w:rPr>
      </w:pPr>
    </w:p>
    <w:p w14:paraId="281D3EDE" w14:textId="2A3CA7C4" w:rsidR="00302983" w:rsidRDefault="00302983" w:rsidP="00302983">
      <w:pPr>
        <w:pStyle w:val="Caption"/>
      </w:pPr>
      <w:bookmarkStart w:id="162" w:name="_Ref137720883"/>
      <w:bookmarkStart w:id="163" w:name="_Toc162948282"/>
      <w:r>
        <w:t xml:space="preserve">Table </w:t>
      </w:r>
      <w:r w:rsidR="008C06B8">
        <w:rPr>
          <w:noProof/>
        </w:rPr>
        <w:fldChar w:fldCharType="begin"/>
      </w:r>
      <w:r w:rsidR="008C06B8">
        <w:rPr>
          <w:noProof/>
        </w:rPr>
        <w:instrText xml:space="preserve"> SEQ Table \* ARABIC </w:instrText>
      </w:r>
      <w:r w:rsidR="008C06B8">
        <w:rPr>
          <w:noProof/>
        </w:rPr>
        <w:fldChar w:fldCharType="separate"/>
      </w:r>
      <w:r w:rsidR="004A78BF">
        <w:rPr>
          <w:noProof/>
        </w:rPr>
        <w:t>15</w:t>
      </w:r>
      <w:r w:rsidR="008C06B8">
        <w:rPr>
          <w:noProof/>
        </w:rPr>
        <w:fldChar w:fldCharType="end"/>
      </w:r>
      <w:bookmarkEnd w:id="162"/>
      <w:r>
        <w:t>. Whole effluent toxicity test results for the Roanoke River.</w:t>
      </w:r>
      <w:bookmarkEnd w:id="163"/>
    </w:p>
    <w:tbl>
      <w:tblPr>
        <w:tblW w:w="9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
        <w:gridCol w:w="1620"/>
        <w:gridCol w:w="1710"/>
        <w:gridCol w:w="1260"/>
        <w:gridCol w:w="1440"/>
        <w:gridCol w:w="1260"/>
        <w:gridCol w:w="1208"/>
      </w:tblGrid>
      <w:tr w:rsidR="00C56DE0" w:rsidRPr="00867C44" w14:paraId="1CA72E58" w14:textId="77777777" w:rsidTr="008A3258">
        <w:trPr>
          <w:trHeight w:val="732"/>
          <w:jc w:val="center"/>
        </w:trPr>
        <w:tc>
          <w:tcPr>
            <w:tcW w:w="985" w:type="dxa"/>
            <w:tcBorders>
              <w:bottom w:val="single" w:sz="4" w:space="0" w:color="auto"/>
            </w:tcBorders>
            <w:shd w:val="clear" w:color="auto" w:fill="D9D9D9" w:themeFill="background1" w:themeFillShade="D9"/>
            <w:vAlign w:val="center"/>
          </w:tcPr>
          <w:p w14:paraId="241C096D" w14:textId="77777777" w:rsidR="00C56DE0" w:rsidRPr="00867C44" w:rsidRDefault="00C56DE0" w:rsidP="008A3258">
            <w:pPr>
              <w:autoSpaceDE w:val="0"/>
              <w:autoSpaceDN w:val="0"/>
              <w:adjustRightInd w:val="0"/>
              <w:jc w:val="center"/>
              <w:rPr>
                <w:rFonts w:ascii="Arial Narrow" w:hAnsi="Arial Narrow" w:cs="Arial"/>
                <w:b/>
                <w:sz w:val="20"/>
                <w:szCs w:val="20"/>
              </w:rPr>
            </w:pPr>
            <w:r>
              <w:rPr>
                <w:rFonts w:ascii="Arial Narrow" w:hAnsi="Arial Narrow" w:cs="Arial"/>
                <w:b/>
                <w:sz w:val="20"/>
                <w:szCs w:val="20"/>
              </w:rPr>
              <w:t>Source</w:t>
            </w:r>
          </w:p>
        </w:tc>
        <w:tc>
          <w:tcPr>
            <w:tcW w:w="1620" w:type="dxa"/>
            <w:tcBorders>
              <w:bottom w:val="single" w:sz="4" w:space="0" w:color="auto"/>
            </w:tcBorders>
            <w:shd w:val="clear" w:color="auto" w:fill="D9D9D9" w:themeFill="background1" w:themeFillShade="D9"/>
            <w:vAlign w:val="center"/>
          </w:tcPr>
          <w:p w14:paraId="62A258DC" w14:textId="77777777" w:rsidR="00C56DE0" w:rsidRPr="00867C44" w:rsidRDefault="00C56DE0" w:rsidP="008A3258">
            <w:pPr>
              <w:autoSpaceDE w:val="0"/>
              <w:autoSpaceDN w:val="0"/>
              <w:adjustRightInd w:val="0"/>
              <w:jc w:val="center"/>
              <w:rPr>
                <w:rFonts w:ascii="Arial Narrow" w:hAnsi="Arial Narrow" w:cs="Arial"/>
                <w:b/>
                <w:sz w:val="20"/>
                <w:szCs w:val="20"/>
              </w:rPr>
            </w:pPr>
            <w:r>
              <w:rPr>
                <w:rFonts w:ascii="Arial Narrow" w:hAnsi="Arial Narrow" w:cs="Arial"/>
                <w:b/>
                <w:sz w:val="20"/>
                <w:szCs w:val="20"/>
              </w:rPr>
              <w:t>Date</w:t>
            </w:r>
          </w:p>
        </w:tc>
        <w:tc>
          <w:tcPr>
            <w:tcW w:w="1710" w:type="dxa"/>
            <w:tcBorders>
              <w:bottom w:val="single" w:sz="4" w:space="0" w:color="auto"/>
            </w:tcBorders>
            <w:shd w:val="clear" w:color="auto" w:fill="D9D9D9" w:themeFill="background1" w:themeFillShade="D9"/>
            <w:vAlign w:val="center"/>
          </w:tcPr>
          <w:p w14:paraId="0937EDF4" w14:textId="77777777" w:rsidR="00C56DE0" w:rsidRPr="00867C44" w:rsidRDefault="00C56DE0" w:rsidP="008A3258">
            <w:pPr>
              <w:autoSpaceDE w:val="0"/>
              <w:autoSpaceDN w:val="0"/>
              <w:adjustRightInd w:val="0"/>
              <w:jc w:val="center"/>
              <w:rPr>
                <w:rFonts w:ascii="Arial Narrow" w:hAnsi="Arial Narrow" w:cs="Arial"/>
                <w:b/>
                <w:sz w:val="20"/>
                <w:szCs w:val="20"/>
              </w:rPr>
            </w:pPr>
            <w:r>
              <w:rPr>
                <w:rFonts w:ascii="Arial Narrow" w:hAnsi="Arial Narrow" w:cs="Arial"/>
                <w:b/>
                <w:sz w:val="20"/>
                <w:szCs w:val="20"/>
              </w:rPr>
              <w:t>Sample</w:t>
            </w:r>
          </w:p>
        </w:tc>
        <w:tc>
          <w:tcPr>
            <w:tcW w:w="1260" w:type="dxa"/>
            <w:tcBorders>
              <w:bottom w:val="single" w:sz="4" w:space="0" w:color="auto"/>
            </w:tcBorders>
            <w:shd w:val="clear" w:color="auto" w:fill="D9D9D9" w:themeFill="background1" w:themeFillShade="D9"/>
            <w:vAlign w:val="center"/>
          </w:tcPr>
          <w:p w14:paraId="41B0710C" w14:textId="77777777" w:rsidR="00C56DE0" w:rsidRDefault="00C56DE0" w:rsidP="008A3258">
            <w:pPr>
              <w:autoSpaceDE w:val="0"/>
              <w:autoSpaceDN w:val="0"/>
              <w:adjustRightInd w:val="0"/>
              <w:jc w:val="center"/>
              <w:rPr>
                <w:rFonts w:ascii="Arial Narrow" w:hAnsi="Arial Narrow" w:cs="Arial"/>
                <w:b/>
                <w:sz w:val="20"/>
                <w:szCs w:val="20"/>
              </w:rPr>
            </w:pPr>
            <w:r>
              <w:rPr>
                <w:rFonts w:ascii="Arial Narrow" w:hAnsi="Arial Narrow" w:cs="Arial"/>
                <w:b/>
                <w:sz w:val="20"/>
                <w:szCs w:val="20"/>
              </w:rPr>
              <w:t>Species</w:t>
            </w:r>
          </w:p>
        </w:tc>
        <w:tc>
          <w:tcPr>
            <w:tcW w:w="1440" w:type="dxa"/>
            <w:shd w:val="clear" w:color="auto" w:fill="D9D9D9" w:themeFill="background1" w:themeFillShade="D9"/>
            <w:vAlign w:val="center"/>
          </w:tcPr>
          <w:p w14:paraId="28EDB72C" w14:textId="77777777" w:rsidR="00C56DE0" w:rsidRDefault="00C56DE0" w:rsidP="008A3258">
            <w:pPr>
              <w:autoSpaceDE w:val="0"/>
              <w:autoSpaceDN w:val="0"/>
              <w:adjustRightInd w:val="0"/>
              <w:jc w:val="center"/>
              <w:rPr>
                <w:rFonts w:ascii="Arial Narrow" w:hAnsi="Arial Narrow" w:cs="Arial"/>
                <w:b/>
                <w:sz w:val="20"/>
                <w:szCs w:val="20"/>
              </w:rPr>
            </w:pPr>
            <w:r>
              <w:rPr>
                <w:rFonts w:ascii="Arial Narrow" w:hAnsi="Arial Narrow" w:cs="Arial"/>
                <w:b/>
                <w:sz w:val="20"/>
                <w:szCs w:val="20"/>
              </w:rPr>
              <w:t>Endpoint</w:t>
            </w:r>
          </w:p>
        </w:tc>
        <w:tc>
          <w:tcPr>
            <w:tcW w:w="1260" w:type="dxa"/>
            <w:shd w:val="clear" w:color="auto" w:fill="D9D9D9" w:themeFill="background1" w:themeFillShade="D9"/>
            <w:vAlign w:val="center"/>
          </w:tcPr>
          <w:p w14:paraId="4298D658" w14:textId="77777777" w:rsidR="00C56DE0" w:rsidRPr="00867C44" w:rsidRDefault="00C56DE0" w:rsidP="008A3258">
            <w:pPr>
              <w:autoSpaceDE w:val="0"/>
              <w:autoSpaceDN w:val="0"/>
              <w:adjustRightInd w:val="0"/>
              <w:jc w:val="center"/>
              <w:rPr>
                <w:rFonts w:ascii="Arial Narrow" w:hAnsi="Arial Narrow" w:cs="Arial"/>
                <w:b/>
                <w:sz w:val="20"/>
                <w:szCs w:val="20"/>
              </w:rPr>
            </w:pPr>
            <w:r>
              <w:rPr>
                <w:rFonts w:ascii="Arial Narrow" w:hAnsi="Arial Narrow" w:cs="Arial"/>
                <w:b/>
                <w:sz w:val="20"/>
                <w:szCs w:val="20"/>
              </w:rPr>
              <w:t>LC50/IC25</w:t>
            </w:r>
            <w:r w:rsidRPr="004B6268">
              <w:rPr>
                <w:rFonts w:ascii="Arial Narrow" w:hAnsi="Arial Narrow" w:cs="Arial"/>
                <w:b/>
                <w:sz w:val="20"/>
                <w:szCs w:val="20"/>
                <w:vertAlign w:val="superscript"/>
              </w:rPr>
              <w:t>1</w:t>
            </w:r>
          </w:p>
        </w:tc>
        <w:tc>
          <w:tcPr>
            <w:tcW w:w="1208" w:type="dxa"/>
            <w:shd w:val="clear" w:color="auto" w:fill="D9D9D9" w:themeFill="background1" w:themeFillShade="D9"/>
            <w:vAlign w:val="center"/>
          </w:tcPr>
          <w:p w14:paraId="7C63D31E" w14:textId="77777777" w:rsidR="00C56DE0" w:rsidRPr="00867C44" w:rsidRDefault="00C56DE0" w:rsidP="008A3258">
            <w:pPr>
              <w:autoSpaceDE w:val="0"/>
              <w:autoSpaceDN w:val="0"/>
              <w:adjustRightInd w:val="0"/>
              <w:jc w:val="center"/>
              <w:rPr>
                <w:rFonts w:ascii="Arial Narrow" w:hAnsi="Arial Narrow" w:cs="Arial"/>
                <w:b/>
                <w:sz w:val="20"/>
                <w:szCs w:val="20"/>
              </w:rPr>
            </w:pPr>
            <w:r>
              <w:rPr>
                <w:rFonts w:ascii="Arial Narrow" w:hAnsi="Arial Narrow" w:cs="Arial"/>
                <w:b/>
                <w:sz w:val="20"/>
                <w:szCs w:val="20"/>
              </w:rPr>
              <w:t>NOEC</w:t>
            </w:r>
          </w:p>
        </w:tc>
      </w:tr>
      <w:tr w:rsidR="00C56DE0" w:rsidRPr="00867C44" w14:paraId="29ECB5F1" w14:textId="77777777" w:rsidTr="008A3258">
        <w:trPr>
          <w:trHeight w:val="290"/>
          <w:jc w:val="center"/>
        </w:trPr>
        <w:tc>
          <w:tcPr>
            <w:tcW w:w="985" w:type="dxa"/>
            <w:tcBorders>
              <w:bottom w:val="nil"/>
            </w:tcBorders>
            <w:vAlign w:val="center"/>
          </w:tcPr>
          <w:p w14:paraId="54A9B6F7" w14:textId="1BB99370" w:rsidR="00C56DE0" w:rsidRPr="00867C44" w:rsidRDefault="00C56DE0" w:rsidP="008A3258">
            <w:pPr>
              <w:autoSpaceDE w:val="0"/>
              <w:autoSpaceDN w:val="0"/>
              <w:adjustRightInd w:val="0"/>
              <w:jc w:val="center"/>
              <w:rPr>
                <w:rFonts w:ascii="Arial Narrow" w:hAnsi="Arial Narrow" w:cs="Arial"/>
                <w:sz w:val="20"/>
                <w:szCs w:val="20"/>
              </w:rPr>
            </w:pPr>
            <w:r>
              <w:rPr>
                <w:rFonts w:ascii="Arial Narrow" w:hAnsi="Arial Narrow" w:cs="Arial"/>
                <w:sz w:val="20"/>
                <w:szCs w:val="20"/>
              </w:rPr>
              <w:t>Roanoke River</w:t>
            </w:r>
          </w:p>
        </w:tc>
        <w:tc>
          <w:tcPr>
            <w:tcW w:w="1620" w:type="dxa"/>
            <w:tcBorders>
              <w:bottom w:val="nil"/>
            </w:tcBorders>
            <w:vAlign w:val="center"/>
          </w:tcPr>
          <w:p w14:paraId="0DDD0923" w14:textId="4DE528E0" w:rsidR="00C56DE0" w:rsidRPr="00867C44" w:rsidRDefault="00C56DE0" w:rsidP="008A3258">
            <w:pPr>
              <w:autoSpaceDE w:val="0"/>
              <w:autoSpaceDN w:val="0"/>
              <w:adjustRightInd w:val="0"/>
              <w:jc w:val="center"/>
              <w:rPr>
                <w:rFonts w:ascii="Arial Narrow" w:hAnsi="Arial Narrow" w:cs="Arial"/>
                <w:sz w:val="20"/>
                <w:szCs w:val="20"/>
              </w:rPr>
            </w:pPr>
            <w:r>
              <w:rPr>
                <w:rFonts w:ascii="Arial Narrow" w:hAnsi="Arial Narrow" w:cs="Arial"/>
                <w:sz w:val="20"/>
                <w:szCs w:val="20"/>
              </w:rPr>
              <w:t>11/11/21-11/15/21</w:t>
            </w:r>
          </w:p>
        </w:tc>
        <w:tc>
          <w:tcPr>
            <w:tcW w:w="1710" w:type="dxa"/>
            <w:tcBorders>
              <w:bottom w:val="nil"/>
            </w:tcBorders>
            <w:vAlign w:val="center"/>
          </w:tcPr>
          <w:p w14:paraId="73B42A4D" w14:textId="4AE23D70" w:rsidR="00C56DE0" w:rsidRPr="00867C44" w:rsidRDefault="00C56DE0" w:rsidP="008A3258">
            <w:pPr>
              <w:autoSpaceDE w:val="0"/>
              <w:autoSpaceDN w:val="0"/>
              <w:adjustRightInd w:val="0"/>
              <w:jc w:val="center"/>
              <w:rPr>
                <w:rFonts w:ascii="Arial Narrow" w:hAnsi="Arial Narrow" w:cs="Arial"/>
                <w:sz w:val="20"/>
                <w:szCs w:val="20"/>
              </w:rPr>
            </w:pPr>
            <w:r>
              <w:rPr>
                <w:rFonts w:ascii="Arial Narrow" w:hAnsi="Arial Narrow" w:cs="Arial"/>
                <w:sz w:val="20"/>
                <w:szCs w:val="20"/>
              </w:rPr>
              <w:t>4AROA202.20</w:t>
            </w:r>
          </w:p>
        </w:tc>
        <w:tc>
          <w:tcPr>
            <w:tcW w:w="1260" w:type="dxa"/>
            <w:tcBorders>
              <w:bottom w:val="nil"/>
            </w:tcBorders>
            <w:vAlign w:val="center"/>
          </w:tcPr>
          <w:p w14:paraId="61C7BAB7" w14:textId="77777777" w:rsidR="00C56DE0" w:rsidRPr="004B6268" w:rsidRDefault="00C56DE0" w:rsidP="008A3258">
            <w:pPr>
              <w:autoSpaceDE w:val="0"/>
              <w:autoSpaceDN w:val="0"/>
              <w:adjustRightInd w:val="0"/>
              <w:jc w:val="center"/>
              <w:rPr>
                <w:rFonts w:ascii="Arial Narrow" w:hAnsi="Arial Narrow" w:cs="Calibri"/>
                <w:i/>
                <w:color w:val="000000"/>
                <w:sz w:val="20"/>
                <w:szCs w:val="20"/>
              </w:rPr>
            </w:pPr>
            <w:r w:rsidRPr="004B6268">
              <w:rPr>
                <w:rFonts w:ascii="Arial Narrow" w:hAnsi="Arial Narrow" w:cs="Calibri"/>
                <w:i/>
                <w:color w:val="000000"/>
                <w:sz w:val="20"/>
                <w:szCs w:val="20"/>
              </w:rPr>
              <w:t xml:space="preserve">P. </w:t>
            </w:r>
            <w:proofErr w:type="spellStart"/>
            <w:r w:rsidRPr="004B6268">
              <w:rPr>
                <w:rFonts w:ascii="Arial Narrow" w:hAnsi="Arial Narrow" w:cs="Calibri"/>
                <w:i/>
                <w:color w:val="000000"/>
                <w:sz w:val="20"/>
                <w:szCs w:val="20"/>
              </w:rPr>
              <w:t>promelas</w:t>
            </w:r>
            <w:proofErr w:type="spellEnd"/>
          </w:p>
        </w:tc>
        <w:tc>
          <w:tcPr>
            <w:tcW w:w="1440" w:type="dxa"/>
            <w:vAlign w:val="center"/>
          </w:tcPr>
          <w:p w14:paraId="4652EA4D" w14:textId="77777777" w:rsidR="00C56DE0" w:rsidRPr="00D374CF" w:rsidRDefault="00C56DE0" w:rsidP="008A3258">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Survival</w:t>
            </w:r>
          </w:p>
        </w:tc>
        <w:tc>
          <w:tcPr>
            <w:tcW w:w="1260" w:type="dxa"/>
            <w:vAlign w:val="center"/>
          </w:tcPr>
          <w:p w14:paraId="75F3746B" w14:textId="77777777" w:rsidR="00C56DE0" w:rsidRPr="00D374CF" w:rsidRDefault="00C56DE0" w:rsidP="008A3258">
            <w:pPr>
              <w:autoSpaceDE w:val="0"/>
              <w:autoSpaceDN w:val="0"/>
              <w:adjustRightInd w:val="0"/>
              <w:jc w:val="center"/>
              <w:rPr>
                <w:rFonts w:ascii="Arial Narrow" w:hAnsi="Arial Narrow" w:cs="Arial"/>
                <w:sz w:val="20"/>
                <w:szCs w:val="20"/>
              </w:rPr>
            </w:pPr>
            <w:r>
              <w:rPr>
                <w:rFonts w:ascii="Arial Narrow" w:hAnsi="Arial Narrow" w:cs="Arial"/>
                <w:sz w:val="20"/>
                <w:szCs w:val="20"/>
              </w:rPr>
              <w:t>&gt;100%</w:t>
            </w:r>
          </w:p>
        </w:tc>
        <w:tc>
          <w:tcPr>
            <w:tcW w:w="1208" w:type="dxa"/>
            <w:shd w:val="clear" w:color="auto" w:fill="auto"/>
            <w:vAlign w:val="center"/>
          </w:tcPr>
          <w:p w14:paraId="17C63505" w14:textId="4A7EAD71" w:rsidR="00C56DE0" w:rsidRPr="00D374CF" w:rsidRDefault="00C56DE0" w:rsidP="008A3258">
            <w:pPr>
              <w:autoSpaceDE w:val="0"/>
              <w:autoSpaceDN w:val="0"/>
              <w:adjustRightInd w:val="0"/>
              <w:jc w:val="center"/>
              <w:rPr>
                <w:rFonts w:ascii="Arial Narrow" w:hAnsi="Arial Narrow" w:cs="Arial"/>
                <w:sz w:val="20"/>
                <w:szCs w:val="20"/>
              </w:rPr>
            </w:pPr>
            <w:r>
              <w:rPr>
                <w:rFonts w:ascii="Arial Narrow" w:hAnsi="Arial Narrow" w:cs="Arial"/>
                <w:sz w:val="20"/>
                <w:szCs w:val="20"/>
              </w:rPr>
              <w:t>25%</w:t>
            </w:r>
            <w:r w:rsidRPr="00C56DE0">
              <w:rPr>
                <w:rFonts w:ascii="Arial Narrow" w:hAnsi="Arial Narrow" w:cs="Arial"/>
                <w:sz w:val="20"/>
                <w:szCs w:val="20"/>
                <w:vertAlign w:val="superscript"/>
              </w:rPr>
              <w:t>2</w:t>
            </w:r>
          </w:p>
        </w:tc>
      </w:tr>
      <w:tr w:rsidR="00C56DE0" w:rsidRPr="00867C44" w14:paraId="316999A0" w14:textId="77777777" w:rsidTr="008A3258">
        <w:trPr>
          <w:trHeight w:val="290"/>
          <w:jc w:val="center"/>
        </w:trPr>
        <w:tc>
          <w:tcPr>
            <w:tcW w:w="985" w:type="dxa"/>
            <w:tcBorders>
              <w:top w:val="nil"/>
              <w:bottom w:val="nil"/>
            </w:tcBorders>
            <w:vAlign w:val="center"/>
          </w:tcPr>
          <w:p w14:paraId="790CB012" w14:textId="77777777" w:rsidR="00C56DE0" w:rsidRPr="00867C44" w:rsidRDefault="00C56DE0" w:rsidP="008A3258">
            <w:pPr>
              <w:autoSpaceDE w:val="0"/>
              <w:autoSpaceDN w:val="0"/>
              <w:adjustRightInd w:val="0"/>
              <w:jc w:val="center"/>
              <w:rPr>
                <w:rFonts w:ascii="Arial Narrow" w:hAnsi="Arial Narrow" w:cs="Arial"/>
                <w:sz w:val="20"/>
                <w:szCs w:val="20"/>
              </w:rPr>
            </w:pPr>
          </w:p>
        </w:tc>
        <w:tc>
          <w:tcPr>
            <w:tcW w:w="1620" w:type="dxa"/>
            <w:tcBorders>
              <w:top w:val="nil"/>
              <w:bottom w:val="nil"/>
            </w:tcBorders>
            <w:vAlign w:val="center"/>
          </w:tcPr>
          <w:p w14:paraId="76CB945A" w14:textId="77777777" w:rsidR="00C56DE0" w:rsidRPr="00867C44" w:rsidRDefault="00C56DE0" w:rsidP="008A3258">
            <w:pPr>
              <w:autoSpaceDE w:val="0"/>
              <w:autoSpaceDN w:val="0"/>
              <w:adjustRightInd w:val="0"/>
              <w:jc w:val="center"/>
              <w:rPr>
                <w:rFonts w:ascii="Arial Narrow" w:hAnsi="Arial Narrow" w:cs="Arial"/>
                <w:sz w:val="20"/>
                <w:szCs w:val="20"/>
              </w:rPr>
            </w:pPr>
          </w:p>
        </w:tc>
        <w:tc>
          <w:tcPr>
            <w:tcW w:w="1710" w:type="dxa"/>
            <w:tcBorders>
              <w:top w:val="nil"/>
              <w:bottom w:val="nil"/>
            </w:tcBorders>
            <w:vAlign w:val="center"/>
          </w:tcPr>
          <w:p w14:paraId="7B073D99" w14:textId="77777777" w:rsidR="00C56DE0" w:rsidRPr="00867C44" w:rsidRDefault="00C56DE0" w:rsidP="008A3258">
            <w:pPr>
              <w:autoSpaceDE w:val="0"/>
              <w:autoSpaceDN w:val="0"/>
              <w:adjustRightInd w:val="0"/>
              <w:jc w:val="center"/>
              <w:rPr>
                <w:rFonts w:ascii="Arial Narrow" w:hAnsi="Arial Narrow" w:cs="Arial"/>
                <w:sz w:val="20"/>
                <w:szCs w:val="20"/>
              </w:rPr>
            </w:pPr>
          </w:p>
        </w:tc>
        <w:tc>
          <w:tcPr>
            <w:tcW w:w="1260" w:type="dxa"/>
            <w:tcBorders>
              <w:top w:val="nil"/>
              <w:bottom w:val="single" w:sz="4" w:space="0" w:color="auto"/>
            </w:tcBorders>
            <w:vAlign w:val="center"/>
          </w:tcPr>
          <w:p w14:paraId="5FD30EFD" w14:textId="77777777" w:rsidR="00C56DE0" w:rsidRPr="00D374CF" w:rsidRDefault="00C56DE0" w:rsidP="008A3258">
            <w:pPr>
              <w:autoSpaceDE w:val="0"/>
              <w:autoSpaceDN w:val="0"/>
              <w:adjustRightInd w:val="0"/>
              <w:jc w:val="center"/>
              <w:rPr>
                <w:rFonts w:ascii="Arial Narrow" w:hAnsi="Arial Narrow" w:cs="Calibri"/>
                <w:color w:val="000000"/>
                <w:sz w:val="20"/>
                <w:szCs w:val="20"/>
              </w:rPr>
            </w:pPr>
          </w:p>
        </w:tc>
        <w:tc>
          <w:tcPr>
            <w:tcW w:w="1440" w:type="dxa"/>
            <w:vAlign w:val="center"/>
          </w:tcPr>
          <w:p w14:paraId="3EF2FC37" w14:textId="77777777" w:rsidR="00C56DE0" w:rsidRPr="00D374CF" w:rsidRDefault="00C56DE0" w:rsidP="008A3258">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Biomass</w:t>
            </w:r>
          </w:p>
        </w:tc>
        <w:tc>
          <w:tcPr>
            <w:tcW w:w="1260" w:type="dxa"/>
            <w:vAlign w:val="center"/>
          </w:tcPr>
          <w:p w14:paraId="0AC2B0EF" w14:textId="77777777" w:rsidR="00C56DE0" w:rsidRPr="00D374CF" w:rsidRDefault="00C56DE0" w:rsidP="008A3258">
            <w:pPr>
              <w:autoSpaceDE w:val="0"/>
              <w:autoSpaceDN w:val="0"/>
              <w:adjustRightInd w:val="0"/>
              <w:jc w:val="center"/>
              <w:rPr>
                <w:rFonts w:ascii="Arial Narrow" w:hAnsi="Arial Narrow" w:cs="Arial"/>
                <w:sz w:val="20"/>
                <w:szCs w:val="20"/>
              </w:rPr>
            </w:pPr>
            <w:r>
              <w:rPr>
                <w:rFonts w:ascii="Arial Narrow" w:hAnsi="Arial Narrow" w:cs="Arial"/>
                <w:sz w:val="20"/>
                <w:szCs w:val="20"/>
              </w:rPr>
              <w:t>&gt;100%</w:t>
            </w:r>
          </w:p>
        </w:tc>
        <w:tc>
          <w:tcPr>
            <w:tcW w:w="1208" w:type="dxa"/>
            <w:shd w:val="clear" w:color="auto" w:fill="auto"/>
            <w:vAlign w:val="center"/>
          </w:tcPr>
          <w:p w14:paraId="6A0A8A54" w14:textId="77777777" w:rsidR="00C56DE0" w:rsidRPr="00D374CF" w:rsidRDefault="00C56DE0" w:rsidP="008A3258">
            <w:pPr>
              <w:autoSpaceDE w:val="0"/>
              <w:autoSpaceDN w:val="0"/>
              <w:adjustRightInd w:val="0"/>
              <w:jc w:val="center"/>
              <w:rPr>
                <w:rFonts w:ascii="Arial Narrow" w:hAnsi="Arial Narrow" w:cs="Arial"/>
                <w:sz w:val="20"/>
                <w:szCs w:val="20"/>
              </w:rPr>
            </w:pPr>
            <w:r>
              <w:rPr>
                <w:rFonts w:ascii="Arial Narrow" w:hAnsi="Arial Narrow" w:cs="Arial"/>
                <w:sz w:val="20"/>
                <w:szCs w:val="20"/>
              </w:rPr>
              <w:t>100%</w:t>
            </w:r>
          </w:p>
        </w:tc>
      </w:tr>
      <w:tr w:rsidR="00C56DE0" w:rsidRPr="00867C44" w14:paraId="25091416" w14:textId="77777777" w:rsidTr="008A3258">
        <w:trPr>
          <w:trHeight w:val="290"/>
          <w:jc w:val="center"/>
        </w:trPr>
        <w:tc>
          <w:tcPr>
            <w:tcW w:w="985" w:type="dxa"/>
            <w:tcBorders>
              <w:top w:val="nil"/>
              <w:bottom w:val="nil"/>
            </w:tcBorders>
            <w:vAlign w:val="center"/>
          </w:tcPr>
          <w:p w14:paraId="3B375230" w14:textId="77777777" w:rsidR="00C56DE0" w:rsidRPr="00867C44" w:rsidRDefault="00C56DE0" w:rsidP="008A3258">
            <w:pPr>
              <w:autoSpaceDE w:val="0"/>
              <w:autoSpaceDN w:val="0"/>
              <w:adjustRightInd w:val="0"/>
              <w:jc w:val="center"/>
              <w:rPr>
                <w:rFonts w:ascii="Arial Narrow" w:hAnsi="Arial Narrow" w:cs="Arial"/>
                <w:sz w:val="20"/>
                <w:szCs w:val="20"/>
              </w:rPr>
            </w:pPr>
          </w:p>
        </w:tc>
        <w:tc>
          <w:tcPr>
            <w:tcW w:w="1620" w:type="dxa"/>
            <w:tcBorders>
              <w:top w:val="nil"/>
              <w:bottom w:val="nil"/>
            </w:tcBorders>
            <w:vAlign w:val="center"/>
          </w:tcPr>
          <w:p w14:paraId="5458C4B7" w14:textId="77777777" w:rsidR="00C56DE0" w:rsidRPr="00867C44" w:rsidRDefault="00C56DE0" w:rsidP="008A3258">
            <w:pPr>
              <w:autoSpaceDE w:val="0"/>
              <w:autoSpaceDN w:val="0"/>
              <w:adjustRightInd w:val="0"/>
              <w:jc w:val="center"/>
              <w:rPr>
                <w:rFonts w:ascii="Arial Narrow" w:hAnsi="Arial Narrow" w:cs="Arial"/>
                <w:sz w:val="20"/>
                <w:szCs w:val="20"/>
              </w:rPr>
            </w:pPr>
          </w:p>
        </w:tc>
        <w:tc>
          <w:tcPr>
            <w:tcW w:w="1710" w:type="dxa"/>
            <w:tcBorders>
              <w:top w:val="nil"/>
              <w:bottom w:val="nil"/>
            </w:tcBorders>
            <w:vAlign w:val="center"/>
          </w:tcPr>
          <w:p w14:paraId="6C7F930B" w14:textId="77777777" w:rsidR="00C56DE0" w:rsidRPr="00867C44" w:rsidRDefault="00C56DE0" w:rsidP="008A3258">
            <w:pPr>
              <w:autoSpaceDE w:val="0"/>
              <w:autoSpaceDN w:val="0"/>
              <w:adjustRightInd w:val="0"/>
              <w:jc w:val="center"/>
              <w:rPr>
                <w:rFonts w:ascii="Arial Narrow" w:hAnsi="Arial Narrow" w:cs="Arial"/>
                <w:sz w:val="20"/>
                <w:szCs w:val="20"/>
              </w:rPr>
            </w:pPr>
          </w:p>
        </w:tc>
        <w:tc>
          <w:tcPr>
            <w:tcW w:w="1260" w:type="dxa"/>
            <w:tcBorders>
              <w:bottom w:val="nil"/>
            </w:tcBorders>
            <w:vAlign w:val="center"/>
          </w:tcPr>
          <w:p w14:paraId="753902C8" w14:textId="77777777" w:rsidR="00C56DE0" w:rsidRPr="004B6268" w:rsidRDefault="00C56DE0" w:rsidP="008A3258">
            <w:pPr>
              <w:autoSpaceDE w:val="0"/>
              <w:autoSpaceDN w:val="0"/>
              <w:adjustRightInd w:val="0"/>
              <w:jc w:val="center"/>
              <w:rPr>
                <w:rFonts w:ascii="Arial Narrow" w:hAnsi="Arial Narrow" w:cs="Calibri"/>
                <w:i/>
                <w:color w:val="000000"/>
                <w:sz w:val="20"/>
                <w:szCs w:val="20"/>
              </w:rPr>
            </w:pPr>
            <w:r w:rsidRPr="004B6268">
              <w:rPr>
                <w:rFonts w:ascii="Arial Narrow" w:hAnsi="Arial Narrow" w:cs="Calibri"/>
                <w:i/>
                <w:color w:val="000000"/>
                <w:sz w:val="20"/>
                <w:szCs w:val="20"/>
              </w:rPr>
              <w:t xml:space="preserve">C. </w:t>
            </w:r>
            <w:proofErr w:type="spellStart"/>
            <w:r w:rsidRPr="004B6268">
              <w:rPr>
                <w:rFonts w:ascii="Arial Narrow" w:hAnsi="Arial Narrow" w:cs="Calibri"/>
                <w:i/>
                <w:color w:val="000000"/>
                <w:sz w:val="20"/>
                <w:szCs w:val="20"/>
              </w:rPr>
              <w:t>dubia</w:t>
            </w:r>
            <w:proofErr w:type="spellEnd"/>
          </w:p>
        </w:tc>
        <w:tc>
          <w:tcPr>
            <w:tcW w:w="1440" w:type="dxa"/>
            <w:vAlign w:val="center"/>
          </w:tcPr>
          <w:p w14:paraId="272CA12D" w14:textId="77777777" w:rsidR="00C56DE0" w:rsidRPr="00D374CF" w:rsidRDefault="00C56DE0" w:rsidP="008A3258">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Survival</w:t>
            </w:r>
          </w:p>
        </w:tc>
        <w:tc>
          <w:tcPr>
            <w:tcW w:w="1260" w:type="dxa"/>
            <w:vAlign w:val="center"/>
          </w:tcPr>
          <w:p w14:paraId="76301230" w14:textId="77777777" w:rsidR="00C56DE0" w:rsidRPr="00D374CF" w:rsidRDefault="00C56DE0" w:rsidP="008A3258">
            <w:pPr>
              <w:autoSpaceDE w:val="0"/>
              <w:autoSpaceDN w:val="0"/>
              <w:adjustRightInd w:val="0"/>
              <w:jc w:val="center"/>
              <w:rPr>
                <w:rFonts w:ascii="Arial Narrow" w:hAnsi="Arial Narrow" w:cs="Arial"/>
                <w:sz w:val="20"/>
                <w:szCs w:val="20"/>
              </w:rPr>
            </w:pPr>
            <w:r>
              <w:rPr>
                <w:rFonts w:ascii="Arial Narrow" w:hAnsi="Arial Narrow" w:cs="Arial"/>
                <w:sz w:val="20"/>
                <w:szCs w:val="20"/>
              </w:rPr>
              <w:t>&gt;100%</w:t>
            </w:r>
          </w:p>
        </w:tc>
        <w:tc>
          <w:tcPr>
            <w:tcW w:w="1208" w:type="dxa"/>
            <w:shd w:val="clear" w:color="auto" w:fill="auto"/>
            <w:vAlign w:val="center"/>
          </w:tcPr>
          <w:p w14:paraId="2D36A949" w14:textId="77777777" w:rsidR="00C56DE0" w:rsidRPr="00D374CF" w:rsidRDefault="00C56DE0" w:rsidP="008A3258">
            <w:pPr>
              <w:autoSpaceDE w:val="0"/>
              <w:autoSpaceDN w:val="0"/>
              <w:adjustRightInd w:val="0"/>
              <w:jc w:val="center"/>
              <w:rPr>
                <w:rFonts w:ascii="Arial Narrow" w:hAnsi="Arial Narrow" w:cs="Arial"/>
                <w:sz w:val="20"/>
                <w:szCs w:val="20"/>
              </w:rPr>
            </w:pPr>
            <w:r>
              <w:rPr>
                <w:rFonts w:ascii="Arial Narrow" w:hAnsi="Arial Narrow" w:cs="Arial"/>
                <w:sz w:val="20"/>
                <w:szCs w:val="20"/>
              </w:rPr>
              <w:t>100%</w:t>
            </w:r>
          </w:p>
        </w:tc>
      </w:tr>
      <w:tr w:rsidR="00C56DE0" w:rsidRPr="00867C44" w14:paraId="6FAC7A5F" w14:textId="77777777" w:rsidTr="008A3258">
        <w:trPr>
          <w:trHeight w:val="290"/>
          <w:jc w:val="center"/>
        </w:trPr>
        <w:tc>
          <w:tcPr>
            <w:tcW w:w="985" w:type="dxa"/>
            <w:tcBorders>
              <w:top w:val="nil"/>
              <w:bottom w:val="nil"/>
            </w:tcBorders>
            <w:vAlign w:val="center"/>
          </w:tcPr>
          <w:p w14:paraId="68545D2B" w14:textId="77777777" w:rsidR="00C56DE0" w:rsidRPr="00867C44" w:rsidRDefault="00C56DE0" w:rsidP="008A3258">
            <w:pPr>
              <w:autoSpaceDE w:val="0"/>
              <w:autoSpaceDN w:val="0"/>
              <w:adjustRightInd w:val="0"/>
              <w:jc w:val="center"/>
              <w:rPr>
                <w:rFonts w:ascii="Arial Narrow" w:hAnsi="Arial Narrow" w:cs="Arial"/>
                <w:sz w:val="20"/>
                <w:szCs w:val="20"/>
              </w:rPr>
            </w:pPr>
          </w:p>
        </w:tc>
        <w:tc>
          <w:tcPr>
            <w:tcW w:w="1620" w:type="dxa"/>
            <w:tcBorders>
              <w:top w:val="nil"/>
              <w:bottom w:val="nil"/>
            </w:tcBorders>
            <w:vAlign w:val="center"/>
          </w:tcPr>
          <w:p w14:paraId="078717E9" w14:textId="77777777" w:rsidR="00C56DE0" w:rsidRPr="00867C44" w:rsidRDefault="00C56DE0" w:rsidP="008A3258">
            <w:pPr>
              <w:autoSpaceDE w:val="0"/>
              <w:autoSpaceDN w:val="0"/>
              <w:adjustRightInd w:val="0"/>
              <w:jc w:val="center"/>
              <w:rPr>
                <w:rFonts w:ascii="Arial Narrow" w:hAnsi="Arial Narrow" w:cs="Arial"/>
                <w:sz w:val="20"/>
                <w:szCs w:val="20"/>
              </w:rPr>
            </w:pPr>
          </w:p>
        </w:tc>
        <w:tc>
          <w:tcPr>
            <w:tcW w:w="1710" w:type="dxa"/>
            <w:tcBorders>
              <w:top w:val="nil"/>
              <w:bottom w:val="single" w:sz="4" w:space="0" w:color="auto"/>
            </w:tcBorders>
            <w:vAlign w:val="center"/>
          </w:tcPr>
          <w:p w14:paraId="64ACFE97" w14:textId="77777777" w:rsidR="00C56DE0" w:rsidRPr="00867C44" w:rsidRDefault="00C56DE0" w:rsidP="008A3258">
            <w:pPr>
              <w:autoSpaceDE w:val="0"/>
              <w:autoSpaceDN w:val="0"/>
              <w:adjustRightInd w:val="0"/>
              <w:jc w:val="center"/>
              <w:rPr>
                <w:rFonts w:ascii="Arial Narrow" w:hAnsi="Arial Narrow" w:cs="Arial"/>
                <w:sz w:val="20"/>
                <w:szCs w:val="20"/>
              </w:rPr>
            </w:pPr>
          </w:p>
        </w:tc>
        <w:tc>
          <w:tcPr>
            <w:tcW w:w="1260" w:type="dxa"/>
            <w:tcBorders>
              <w:top w:val="nil"/>
              <w:bottom w:val="single" w:sz="4" w:space="0" w:color="auto"/>
            </w:tcBorders>
            <w:vAlign w:val="center"/>
          </w:tcPr>
          <w:p w14:paraId="5BAFC27E" w14:textId="77777777" w:rsidR="00C56DE0" w:rsidRPr="00D374CF" w:rsidRDefault="00C56DE0" w:rsidP="008A3258">
            <w:pPr>
              <w:autoSpaceDE w:val="0"/>
              <w:autoSpaceDN w:val="0"/>
              <w:adjustRightInd w:val="0"/>
              <w:jc w:val="center"/>
              <w:rPr>
                <w:rFonts w:ascii="Arial Narrow" w:hAnsi="Arial Narrow" w:cs="Calibri"/>
                <w:color w:val="000000"/>
                <w:sz w:val="20"/>
                <w:szCs w:val="20"/>
              </w:rPr>
            </w:pPr>
          </w:p>
        </w:tc>
        <w:tc>
          <w:tcPr>
            <w:tcW w:w="1440" w:type="dxa"/>
            <w:vAlign w:val="center"/>
          </w:tcPr>
          <w:p w14:paraId="00C53B3C" w14:textId="77777777" w:rsidR="00C56DE0" w:rsidRPr="00D374CF" w:rsidRDefault="00C56DE0" w:rsidP="008A3258">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Reproduction</w:t>
            </w:r>
          </w:p>
        </w:tc>
        <w:tc>
          <w:tcPr>
            <w:tcW w:w="1260" w:type="dxa"/>
            <w:vAlign w:val="center"/>
          </w:tcPr>
          <w:p w14:paraId="297E3002" w14:textId="77777777" w:rsidR="00C56DE0" w:rsidRPr="00D374CF" w:rsidRDefault="00C56DE0" w:rsidP="008A3258">
            <w:pPr>
              <w:autoSpaceDE w:val="0"/>
              <w:autoSpaceDN w:val="0"/>
              <w:adjustRightInd w:val="0"/>
              <w:jc w:val="center"/>
              <w:rPr>
                <w:rFonts w:ascii="Arial Narrow" w:hAnsi="Arial Narrow" w:cs="Arial"/>
                <w:sz w:val="20"/>
                <w:szCs w:val="20"/>
              </w:rPr>
            </w:pPr>
            <w:r>
              <w:rPr>
                <w:rFonts w:ascii="Arial Narrow" w:hAnsi="Arial Narrow" w:cs="Arial"/>
                <w:sz w:val="20"/>
                <w:szCs w:val="20"/>
              </w:rPr>
              <w:t>&gt;100%</w:t>
            </w:r>
          </w:p>
        </w:tc>
        <w:tc>
          <w:tcPr>
            <w:tcW w:w="1208" w:type="dxa"/>
            <w:shd w:val="clear" w:color="auto" w:fill="auto"/>
            <w:vAlign w:val="center"/>
          </w:tcPr>
          <w:p w14:paraId="690493F1" w14:textId="77777777" w:rsidR="00C56DE0" w:rsidRPr="00D374CF" w:rsidRDefault="00C56DE0" w:rsidP="008A3258">
            <w:pPr>
              <w:autoSpaceDE w:val="0"/>
              <w:autoSpaceDN w:val="0"/>
              <w:adjustRightInd w:val="0"/>
              <w:jc w:val="center"/>
              <w:rPr>
                <w:rFonts w:ascii="Arial Narrow" w:hAnsi="Arial Narrow" w:cs="Arial"/>
                <w:sz w:val="20"/>
                <w:szCs w:val="20"/>
              </w:rPr>
            </w:pPr>
            <w:r>
              <w:rPr>
                <w:rFonts w:ascii="Arial Narrow" w:hAnsi="Arial Narrow" w:cs="Arial"/>
                <w:sz w:val="20"/>
                <w:szCs w:val="20"/>
              </w:rPr>
              <w:t>100%</w:t>
            </w:r>
          </w:p>
        </w:tc>
      </w:tr>
      <w:tr w:rsidR="00C56DE0" w:rsidRPr="00867C44" w14:paraId="70616DC6" w14:textId="77777777" w:rsidTr="008A3258">
        <w:trPr>
          <w:trHeight w:val="290"/>
          <w:jc w:val="center"/>
        </w:trPr>
        <w:tc>
          <w:tcPr>
            <w:tcW w:w="985" w:type="dxa"/>
            <w:tcBorders>
              <w:top w:val="nil"/>
              <w:bottom w:val="nil"/>
            </w:tcBorders>
            <w:vAlign w:val="center"/>
          </w:tcPr>
          <w:p w14:paraId="46DF93BC" w14:textId="77777777" w:rsidR="00C56DE0" w:rsidRPr="00867C44" w:rsidRDefault="00C56DE0" w:rsidP="008A3258">
            <w:pPr>
              <w:autoSpaceDE w:val="0"/>
              <w:autoSpaceDN w:val="0"/>
              <w:adjustRightInd w:val="0"/>
              <w:jc w:val="center"/>
              <w:rPr>
                <w:rFonts w:ascii="Arial Narrow" w:hAnsi="Arial Narrow" w:cs="Arial"/>
                <w:sz w:val="20"/>
                <w:szCs w:val="20"/>
              </w:rPr>
            </w:pPr>
          </w:p>
        </w:tc>
        <w:tc>
          <w:tcPr>
            <w:tcW w:w="1620" w:type="dxa"/>
            <w:tcBorders>
              <w:top w:val="nil"/>
              <w:bottom w:val="nil"/>
            </w:tcBorders>
            <w:vAlign w:val="center"/>
          </w:tcPr>
          <w:p w14:paraId="0A336BA4" w14:textId="77777777" w:rsidR="00C56DE0" w:rsidRPr="00867C44" w:rsidRDefault="00C56DE0" w:rsidP="008A3258">
            <w:pPr>
              <w:autoSpaceDE w:val="0"/>
              <w:autoSpaceDN w:val="0"/>
              <w:adjustRightInd w:val="0"/>
              <w:jc w:val="center"/>
              <w:rPr>
                <w:rFonts w:ascii="Arial Narrow" w:hAnsi="Arial Narrow" w:cs="Arial"/>
                <w:sz w:val="20"/>
                <w:szCs w:val="20"/>
              </w:rPr>
            </w:pPr>
          </w:p>
        </w:tc>
        <w:tc>
          <w:tcPr>
            <w:tcW w:w="1710" w:type="dxa"/>
            <w:tcBorders>
              <w:bottom w:val="nil"/>
            </w:tcBorders>
            <w:vAlign w:val="center"/>
          </w:tcPr>
          <w:p w14:paraId="71B52BF8" w14:textId="3FF77C8D" w:rsidR="00C56DE0" w:rsidRPr="00867C44" w:rsidRDefault="00C56DE0" w:rsidP="008A3258">
            <w:pPr>
              <w:autoSpaceDE w:val="0"/>
              <w:autoSpaceDN w:val="0"/>
              <w:adjustRightInd w:val="0"/>
              <w:jc w:val="center"/>
              <w:rPr>
                <w:rFonts w:ascii="Arial Narrow" w:hAnsi="Arial Narrow" w:cs="Arial"/>
                <w:sz w:val="20"/>
                <w:szCs w:val="20"/>
              </w:rPr>
            </w:pPr>
            <w:r>
              <w:rPr>
                <w:rFonts w:ascii="Arial Narrow" w:hAnsi="Arial Narrow" w:cs="Arial"/>
                <w:sz w:val="20"/>
                <w:szCs w:val="20"/>
              </w:rPr>
              <w:t>4AROA198.08</w:t>
            </w:r>
          </w:p>
        </w:tc>
        <w:tc>
          <w:tcPr>
            <w:tcW w:w="1260" w:type="dxa"/>
            <w:tcBorders>
              <w:bottom w:val="nil"/>
            </w:tcBorders>
            <w:vAlign w:val="center"/>
          </w:tcPr>
          <w:p w14:paraId="4E64CE8A" w14:textId="77777777" w:rsidR="00C56DE0" w:rsidRPr="00D374CF" w:rsidRDefault="00C56DE0" w:rsidP="008A3258">
            <w:pPr>
              <w:autoSpaceDE w:val="0"/>
              <w:autoSpaceDN w:val="0"/>
              <w:adjustRightInd w:val="0"/>
              <w:jc w:val="center"/>
              <w:rPr>
                <w:rFonts w:ascii="Arial Narrow" w:hAnsi="Arial Narrow" w:cs="Calibri"/>
                <w:color w:val="000000"/>
                <w:sz w:val="20"/>
                <w:szCs w:val="20"/>
              </w:rPr>
            </w:pPr>
            <w:r w:rsidRPr="004B6268">
              <w:rPr>
                <w:rFonts w:ascii="Arial Narrow" w:hAnsi="Arial Narrow" w:cs="Calibri"/>
                <w:i/>
                <w:color w:val="000000"/>
                <w:sz w:val="20"/>
                <w:szCs w:val="20"/>
              </w:rPr>
              <w:t xml:space="preserve">P. </w:t>
            </w:r>
            <w:proofErr w:type="spellStart"/>
            <w:r w:rsidRPr="004B6268">
              <w:rPr>
                <w:rFonts w:ascii="Arial Narrow" w:hAnsi="Arial Narrow" w:cs="Calibri"/>
                <w:i/>
                <w:color w:val="000000"/>
                <w:sz w:val="20"/>
                <w:szCs w:val="20"/>
              </w:rPr>
              <w:t>promelas</w:t>
            </w:r>
            <w:proofErr w:type="spellEnd"/>
          </w:p>
        </w:tc>
        <w:tc>
          <w:tcPr>
            <w:tcW w:w="1440" w:type="dxa"/>
            <w:vAlign w:val="center"/>
          </w:tcPr>
          <w:p w14:paraId="0C54714F" w14:textId="77777777" w:rsidR="00C56DE0" w:rsidRPr="00D374CF" w:rsidRDefault="00C56DE0" w:rsidP="008A3258">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Survival</w:t>
            </w:r>
          </w:p>
        </w:tc>
        <w:tc>
          <w:tcPr>
            <w:tcW w:w="1260" w:type="dxa"/>
            <w:vAlign w:val="center"/>
          </w:tcPr>
          <w:p w14:paraId="1E8B89C4" w14:textId="77777777" w:rsidR="00C56DE0" w:rsidRPr="00D374CF" w:rsidRDefault="00C56DE0" w:rsidP="008A3258">
            <w:pPr>
              <w:autoSpaceDE w:val="0"/>
              <w:autoSpaceDN w:val="0"/>
              <w:adjustRightInd w:val="0"/>
              <w:jc w:val="center"/>
              <w:rPr>
                <w:rFonts w:ascii="Arial Narrow" w:hAnsi="Arial Narrow" w:cs="Arial"/>
                <w:sz w:val="20"/>
                <w:szCs w:val="20"/>
              </w:rPr>
            </w:pPr>
            <w:r>
              <w:rPr>
                <w:rFonts w:ascii="Arial Narrow" w:hAnsi="Arial Narrow" w:cs="Arial"/>
                <w:sz w:val="20"/>
                <w:szCs w:val="20"/>
              </w:rPr>
              <w:t>&gt;100%</w:t>
            </w:r>
          </w:p>
        </w:tc>
        <w:tc>
          <w:tcPr>
            <w:tcW w:w="1208" w:type="dxa"/>
            <w:shd w:val="clear" w:color="auto" w:fill="auto"/>
            <w:vAlign w:val="center"/>
          </w:tcPr>
          <w:p w14:paraId="6A30E22B" w14:textId="0D41864A" w:rsidR="00C56DE0" w:rsidRPr="00D374CF" w:rsidRDefault="00C56DE0" w:rsidP="008A3258">
            <w:pPr>
              <w:autoSpaceDE w:val="0"/>
              <w:autoSpaceDN w:val="0"/>
              <w:adjustRightInd w:val="0"/>
              <w:jc w:val="center"/>
              <w:rPr>
                <w:rFonts w:ascii="Arial Narrow" w:hAnsi="Arial Narrow" w:cs="Arial"/>
                <w:sz w:val="20"/>
                <w:szCs w:val="20"/>
              </w:rPr>
            </w:pPr>
            <w:r>
              <w:rPr>
                <w:rFonts w:ascii="Arial Narrow" w:hAnsi="Arial Narrow" w:cs="Arial"/>
                <w:sz w:val="20"/>
                <w:szCs w:val="20"/>
              </w:rPr>
              <w:t>50%</w:t>
            </w:r>
          </w:p>
        </w:tc>
      </w:tr>
      <w:tr w:rsidR="00C56DE0" w:rsidRPr="00867C44" w14:paraId="64498759" w14:textId="77777777" w:rsidTr="008A3258">
        <w:trPr>
          <w:trHeight w:val="290"/>
          <w:jc w:val="center"/>
        </w:trPr>
        <w:tc>
          <w:tcPr>
            <w:tcW w:w="985" w:type="dxa"/>
            <w:tcBorders>
              <w:top w:val="nil"/>
              <w:bottom w:val="nil"/>
            </w:tcBorders>
            <w:vAlign w:val="center"/>
          </w:tcPr>
          <w:p w14:paraId="64BD432F" w14:textId="77777777" w:rsidR="00C56DE0" w:rsidRPr="00867C44" w:rsidRDefault="00C56DE0" w:rsidP="008A3258">
            <w:pPr>
              <w:autoSpaceDE w:val="0"/>
              <w:autoSpaceDN w:val="0"/>
              <w:adjustRightInd w:val="0"/>
              <w:jc w:val="center"/>
              <w:rPr>
                <w:rFonts w:ascii="Arial Narrow" w:hAnsi="Arial Narrow" w:cs="Arial"/>
                <w:sz w:val="20"/>
                <w:szCs w:val="20"/>
              </w:rPr>
            </w:pPr>
          </w:p>
        </w:tc>
        <w:tc>
          <w:tcPr>
            <w:tcW w:w="1620" w:type="dxa"/>
            <w:tcBorders>
              <w:top w:val="nil"/>
              <w:bottom w:val="nil"/>
            </w:tcBorders>
            <w:vAlign w:val="center"/>
          </w:tcPr>
          <w:p w14:paraId="4BC73E76" w14:textId="77777777" w:rsidR="00C56DE0" w:rsidRPr="00867C44" w:rsidRDefault="00C56DE0" w:rsidP="008A3258">
            <w:pPr>
              <w:autoSpaceDE w:val="0"/>
              <w:autoSpaceDN w:val="0"/>
              <w:adjustRightInd w:val="0"/>
              <w:jc w:val="center"/>
              <w:rPr>
                <w:rFonts w:ascii="Arial Narrow" w:hAnsi="Arial Narrow" w:cs="Arial"/>
                <w:sz w:val="20"/>
                <w:szCs w:val="20"/>
              </w:rPr>
            </w:pPr>
          </w:p>
        </w:tc>
        <w:tc>
          <w:tcPr>
            <w:tcW w:w="1710" w:type="dxa"/>
            <w:tcBorders>
              <w:top w:val="nil"/>
              <w:bottom w:val="nil"/>
            </w:tcBorders>
            <w:vAlign w:val="center"/>
          </w:tcPr>
          <w:p w14:paraId="35B40D49" w14:textId="77777777" w:rsidR="00C56DE0" w:rsidRPr="00867C44" w:rsidRDefault="00C56DE0" w:rsidP="008A3258">
            <w:pPr>
              <w:autoSpaceDE w:val="0"/>
              <w:autoSpaceDN w:val="0"/>
              <w:adjustRightInd w:val="0"/>
              <w:jc w:val="center"/>
              <w:rPr>
                <w:rFonts w:ascii="Arial Narrow" w:hAnsi="Arial Narrow" w:cs="Arial"/>
                <w:sz w:val="20"/>
                <w:szCs w:val="20"/>
              </w:rPr>
            </w:pPr>
          </w:p>
        </w:tc>
        <w:tc>
          <w:tcPr>
            <w:tcW w:w="1260" w:type="dxa"/>
            <w:tcBorders>
              <w:top w:val="nil"/>
              <w:bottom w:val="single" w:sz="4" w:space="0" w:color="auto"/>
            </w:tcBorders>
            <w:vAlign w:val="center"/>
          </w:tcPr>
          <w:p w14:paraId="576E69E2" w14:textId="77777777" w:rsidR="00C56DE0" w:rsidRPr="00D374CF" w:rsidRDefault="00C56DE0" w:rsidP="008A3258">
            <w:pPr>
              <w:autoSpaceDE w:val="0"/>
              <w:autoSpaceDN w:val="0"/>
              <w:adjustRightInd w:val="0"/>
              <w:jc w:val="center"/>
              <w:rPr>
                <w:rFonts w:ascii="Arial Narrow" w:hAnsi="Arial Narrow" w:cs="Calibri"/>
                <w:color w:val="000000"/>
                <w:sz w:val="20"/>
                <w:szCs w:val="20"/>
              </w:rPr>
            </w:pPr>
          </w:p>
        </w:tc>
        <w:tc>
          <w:tcPr>
            <w:tcW w:w="1440" w:type="dxa"/>
            <w:vAlign w:val="center"/>
          </w:tcPr>
          <w:p w14:paraId="41E0DE11" w14:textId="77777777" w:rsidR="00C56DE0" w:rsidRPr="00D374CF" w:rsidRDefault="00C56DE0" w:rsidP="008A3258">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Biomass</w:t>
            </w:r>
          </w:p>
        </w:tc>
        <w:tc>
          <w:tcPr>
            <w:tcW w:w="1260" w:type="dxa"/>
            <w:vAlign w:val="center"/>
          </w:tcPr>
          <w:p w14:paraId="6AB3F948" w14:textId="77777777" w:rsidR="00C56DE0" w:rsidRPr="00D374CF" w:rsidRDefault="00C56DE0" w:rsidP="008A3258">
            <w:pPr>
              <w:autoSpaceDE w:val="0"/>
              <w:autoSpaceDN w:val="0"/>
              <w:adjustRightInd w:val="0"/>
              <w:jc w:val="center"/>
              <w:rPr>
                <w:rFonts w:ascii="Arial Narrow" w:hAnsi="Arial Narrow" w:cs="Arial"/>
                <w:sz w:val="20"/>
                <w:szCs w:val="20"/>
              </w:rPr>
            </w:pPr>
            <w:r>
              <w:rPr>
                <w:rFonts w:ascii="Arial Narrow" w:hAnsi="Arial Narrow" w:cs="Arial"/>
                <w:sz w:val="20"/>
                <w:szCs w:val="20"/>
              </w:rPr>
              <w:t>&gt;100%</w:t>
            </w:r>
          </w:p>
        </w:tc>
        <w:tc>
          <w:tcPr>
            <w:tcW w:w="1208" w:type="dxa"/>
            <w:shd w:val="clear" w:color="auto" w:fill="auto"/>
            <w:vAlign w:val="center"/>
          </w:tcPr>
          <w:p w14:paraId="156F2776" w14:textId="7954FD2D" w:rsidR="00C56DE0" w:rsidRPr="00D374CF" w:rsidRDefault="00C56DE0" w:rsidP="008A3258">
            <w:pPr>
              <w:autoSpaceDE w:val="0"/>
              <w:autoSpaceDN w:val="0"/>
              <w:adjustRightInd w:val="0"/>
              <w:jc w:val="center"/>
              <w:rPr>
                <w:rFonts w:ascii="Arial Narrow" w:hAnsi="Arial Narrow" w:cs="Arial"/>
                <w:sz w:val="20"/>
                <w:szCs w:val="20"/>
              </w:rPr>
            </w:pPr>
            <w:r>
              <w:rPr>
                <w:rFonts w:ascii="Arial Narrow" w:hAnsi="Arial Narrow" w:cs="Arial"/>
                <w:sz w:val="20"/>
                <w:szCs w:val="20"/>
              </w:rPr>
              <w:t>12.5%</w:t>
            </w:r>
            <w:r>
              <w:rPr>
                <w:rFonts w:ascii="Arial Narrow" w:hAnsi="Arial Narrow" w:cs="Arial"/>
                <w:sz w:val="20"/>
                <w:szCs w:val="20"/>
                <w:vertAlign w:val="superscript"/>
              </w:rPr>
              <w:t>2</w:t>
            </w:r>
          </w:p>
        </w:tc>
      </w:tr>
      <w:tr w:rsidR="00C56DE0" w:rsidRPr="00867C44" w14:paraId="068B1B98" w14:textId="77777777" w:rsidTr="00BA32C5">
        <w:trPr>
          <w:trHeight w:val="290"/>
          <w:jc w:val="center"/>
        </w:trPr>
        <w:tc>
          <w:tcPr>
            <w:tcW w:w="985" w:type="dxa"/>
            <w:tcBorders>
              <w:top w:val="nil"/>
              <w:bottom w:val="nil"/>
            </w:tcBorders>
            <w:vAlign w:val="center"/>
          </w:tcPr>
          <w:p w14:paraId="73DA44FC" w14:textId="77777777" w:rsidR="00C56DE0" w:rsidRPr="00867C44" w:rsidRDefault="00C56DE0" w:rsidP="008A3258">
            <w:pPr>
              <w:autoSpaceDE w:val="0"/>
              <w:autoSpaceDN w:val="0"/>
              <w:adjustRightInd w:val="0"/>
              <w:jc w:val="center"/>
              <w:rPr>
                <w:rFonts w:ascii="Arial Narrow" w:hAnsi="Arial Narrow" w:cs="Arial"/>
                <w:sz w:val="20"/>
                <w:szCs w:val="20"/>
              </w:rPr>
            </w:pPr>
          </w:p>
        </w:tc>
        <w:tc>
          <w:tcPr>
            <w:tcW w:w="1620" w:type="dxa"/>
            <w:tcBorders>
              <w:top w:val="nil"/>
              <w:bottom w:val="nil"/>
            </w:tcBorders>
            <w:vAlign w:val="center"/>
          </w:tcPr>
          <w:p w14:paraId="179567B8" w14:textId="77777777" w:rsidR="00C56DE0" w:rsidRPr="00867C44" w:rsidRDefault="00C56DE0" w:rsidP="008A3258">
            <w:pPr>
              <w:autoSpaceDE w:val="0"/>
              <w:autoSpaceDN w:val="0"/>
              <w:adjustRightInd w:val="0"/>
              <w:jc w:val="center"/>
              <w:rPr>
                <w:rFonts w:ascii="Arial Narrow" w:hAnsi="Arial Narrow" w:cs="Arial"/>
                <w:sz w:val="20"/>
                <w:szCs w:val="20"/>
              </w:rPr>
            </w:pPr>
          </w:p>
        </w:tc>
        <w:tc>
          <w:tcPr>
            <w:tcW w:w="1710" w:type="dxa"/>
            <w:tcBorders>
              <w:top w:val="nil"/>
              <w:bottom w:val="nil"/>
            </w:tcBorders>
            <w:vAlign w:val="center"/>
          </w:tcPr>
          <w:p w14:paraId="59B8AE2C" w14:textId="77777777" w:rsidR="00C56DE0" w:rsidRPr="00867C44" w:rsidRDefault="00C56DE0" w:rsidP="008A3258">
            <w:pPr>
              <w:autoSpaceDE w:val="0"/>
              <w:autoSpaceDN w:val="0"/>
              <w:adjustRightInd w:val="0"/>
              <w:jc w:val="center"/>
              <w:rPr>
                <w:rFonts w:ascii="Arial Narrow" w:hAnsi="Arial Narrow" w:cs="Arial"/>
                <w:sz w:val="20"/>
                <w:szCs w:val="20"/>
              </w:rPr>
            </w:pPr>
          </w:p>
        </w:tc>
        <w:tc>
          <w:tcPr>
            <w:tcW w:w="1260" w:type="dxa"/>
            <w:tcBorders>
              <w:bottom w:val="nil"/>
            </w:tcBorders>
            <w:vAlign w:val="center"/>
          </w:tcPr>
          <w:p w14:paraId="1CFEADE5" w14:textId="77777777" w:rsidR="00C56DE0" w:rsidRPr="00D374CF" w:rsidRDefault="00C56DE0" w:rsidP="008A3258">
            <w:pPr>
              <w:autoSpaceDE w:val="0"/>
              <w:autoSpaceDN w:val="0"/>
              <w:adjustRightInd w:val="0"/>
              <w:jc w:val="center"/>
              <w:rPr>
                <w:rFonts w:ascii="Arial Narrow" w:hAnsi="Arial Narrow" w:cs="Calibri"/>
                <w:color w:val="000000"/>
                <w:sz w:val="20"/>
                <w:szCs w:val="20"/>
              </w:rPr>
            </w:pPr>
            <w:r w:rsidRPr="004B6268">
              <w:rPr>
                <w:rFonts w:ascii="Arial Narrow" w:hAnsi="Arial Narrow" w:cs="Calibri"/>
                <w:i/>
                <w:color w:val="000000"/>
                <w:sz w:val="20"/>
                <w:szCs w:val="20"/>
              </w:rPr>
              <w:t xml:space="preserve">C. </w:t>
            </w:r>
            <w:proofErr w:type="spellStart"/>
            <w:r w:rsidRPr="004B6268">
              <w:rPr>
                <w:rFonts w:ascii="Arial Narrow" w:hAnsi="Arial Narrow" w:cs="Calibri"/>
                <w:i/>
                <w:color w:val="000000"/>
                <w:sz w:val="20"/>
                <w:szCs w:val="20"/>
              </w:rPr>
              <w:t>dubia</w:t>
            </w:r>
            <w:proofErr w:type="spellEnd"/>
          </w:p>
        </w:tc>
        <w:tc>
          <w:tcPr>
            <w:tcW w:w="1440" w:type="dxa"/>
            <w:vAlign w:val="center"/>
          </w:tcPr>
          <w:p w14:paraId="7161F0D9" w14:textId="77777777" w:rsidR="00C56DE0" w:rsidRPr="00D374CF" w:rsidRDefault="00C56DE0" w:rsidP="008A3258">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Survival</w:t>
            </w:r>
          </w:p>
        </w:tc>
        <w:tc>
          <w:tcPr>
            <w:tcW w:w="1260" w:type="dxa"/>
            <w:vAlign w:val="center"/>
          </w:tcPr>
          <w:p w14:paraId="556199AF" w14:textId="77777777" w:rsidR="00C56DE0" w:rsidRPr="00D374CF" w:rsidRDefault="00C56DE0" w:rsidP="008A3258">
            <w:pPr>
              <w:autoSpaceDE w:val="0"/>
              <w:autoSpaceDN w:val="0"/>
              <w:adjustRightInd w:val="0"/>
              <w:jc w:val="center"/>
              <w:rPr>
                <w:rFonts w:ascii="Arial Narrow" w:hAnsi="Arial Narrow" w:cs="Arial"/>
                <w:sz w:val="20"/>
                <w:szCs w:val="20"/>
              </w:rPr>
            </w:pPr>
            <w:r>
              <w:rPr>
                <w:rFonts w:ascii="Arial Narrow" w:hAnsi="Arial Narrow" w:cs="Arial"/>
                <w:sz w:val="20"/>
                <w:szCs w:val="20"/>
              </w:rPr>
              <w:t>&gt;100%</w:t>
            </w:r>
          </w:p>
        </w:tc>
        <w:tc>
          <w:tcPr>
            <w:tcW w:w="1208" w:type="dxa"/>
            <w:shd w:val="clear" w:color="auto" w:fill="auto"/>
            <w:vAlign w:val="center"/>
          </w:tcPr>
          <w:p w14:paraId="1C51BB4C" w14:textId="77777777" w:rsidR="00C56DE0" w:rsidRPr="00D374CF" w:rsidRDefault="00C56DE0" w:rsidP="008A3258">
            <w:pPr>
              <w:autoSpaceDE w:val="0"/>
              <w:autoSpaceDN w:val="0"/>
              <w:adjustRightInd w:val="0"/>
              <w:jc w:val="center"/>
              <w:rPr>
                <w:rFonts w:ascii="Arial Narrow" w:hAnsi="Arial Narrow" w:cs="Arial"/>
                <w:sz w:val="20"/>
                <w:szCs w:val="20"/>
              </w:rPr>
            </w:pPr>
            <w:r>
              <w:rPr>
                <w:rFonts w:ascii="Arial Narrow" w:hAnsi="Arial Narrow" w:cs="Arial"/>
                <w:sz w:val="20"/>
                <w:szCs w:val="20"/>
              </w:rPr>
              <w:t>100%</w:t>
            </w:r>
          </w:p>
        </w:tc>
      </w:tr>
      <w:tr w:rsidR="00C56DE0" w:rsidRPr="00867C44" w14:paraId="7067C84F" w14:textId="77777777" w:rsidTr="00BA32C5">
        <w:trPr>
          <w:trHeight w:val="290"/>
          <w:jc w:val="center"/>
        </w:trPr>
        <w:tc>
          <w:tcPr>
            <w:tcW w:w="985" w:type="dxa"/>
            <w:tcBorders>
              <w:top w:val="nil"/>
              <w:bottom w:val="nil"/>
            </w:tcBorders>
            <w:vAlign w:val="center"/>
          </w:tcPr>
          <w:p w14:paraId="21AE468D" w14:textId="77777777" w:rsidR="00C56DE0" w:rsidRPr="00867C44" w:rsidRDefault="00C56DE0" w:rsidP="008A3258">
            <w:pPr>
              <w:autoSpaceDE w:val="0"/>
              <w:autoSpaceDN w:val="0"/>
              <w:adjustRightInd w:val="0"/>
              <w:jc w:val="center"/>
              <w:rPr>
                <w:rFonts w:ascii="Arial Narrow" w:hAnsi="Arial Narrow" w:cs="Arial"/>
                <w:sz w:val="20"/>
                <w:szCs w:val="20"/>
              </w:rPr>
            </w:pPr>
          </w:p>
        </w:tc>
        <w:tc>
          <w:tcPr>
            <w:tcW w:w="1620" w:type="dxa"/>
            <w:tcBorders>
              <w:top w:val="nil"/>
              <w:bottom w:val="single" w:sz="4" w:space="0" w:color="auto"/>
            </w:tcBorders>
            <w:vAlign w:val="center"/>
          </w:tcPr>
          <w:p w14:paraId="35D548C5" w14:textId="77777777" w:rsidR="00C56DE0" w:rsidRPr="00867C44" w:rsidRDefault="00C56DE0" w:rsidP="008A3258">
            <w:pPr>
              <w:autoSpaceDE w:val="0"/>
              <w:autoSpaceDN w:val="0"/>
              <w:adjustRightInd w:val="0"/>
              <w:jc w:val="center"/>
              <w:rPr>
                <w:rFonts w:ascii="Arial Narrow" w:hAnsi="Arial Narrow" w:cs="Arial"/>
                <w:sz w:val="20"/>
                <w:szCs w:val="20"/>
              </w:rPr>
            </w:pPr>
          </w:p>
        </w:tc>
        <w:tc>
          <w:tcPr>
            <w:tcW w:w="1710" w:type="dxa"/>
            <w:tcBorders>
              <w:top w:val="nil"/>
              <w:bottom w:val="single" w:sz="4" w:space="0" w:color="auto"/>
            </w:tcBorders>
            <w:vAlign w:val="center"/>
          </w:tcPr>
          <w:p w14:paraId="52557439" w14:textId="77777777" w:rsidR="00C56DE0" w:rsidRPr="00867C44" w:rsidRDefault="00C56DE0" w:rsidP="008A3258">
            <w:pPr>
              <w:autoSpaceDE w:val="0"/>
              <w:autoSpaceDN w:val="0"/>
              <w:adjustRightInd w:val="0"/>
              <w:jc w:val="center"/>
              <w:rPr>
                <w:rFonts w:ascii="Arial Narrow" w:hAnsi="Arial Narrow" w:cs="Arial"/>
                <w:sz w:val="20"/>
                <w:szCs w:val="20"/>
              </w:rPr>
            </w:pPr>
          </w:p>
        </w:tc>
        <w:tc>
          <w:tcPr>
            <w:tcW w:w="1260" w:type="dxa"/>
            <w:tcBorders>
              <w:top w:val="nil"/>
              <w:bottom w:val="single" w:sz="4" w:space="0" w:color="auto"/>
            </w:tcBorders>
            <w:vAlign w:val="center"/>
          </w:tcPr>
          <w:p w14:paraId="33589390" w14:textId="77777777" w:rsidR="00C56DE0" w:rsidRPr="00D374CF" w:rsidRDefault="00C56DE0" w:rsidP="008A3258">
            <w:pPr>
              <w:autoSpaceDE w:val="0"/>
              <w:autoSpaceDN w:val="0"/>
              <w:adjustRightInd w:val="0"/>
              <w:jc w:val="center"/>
              <w:rPr>
                <w:rFonts w:ascii="Arial Narrow" w:hAnsi="Arial Narrow" w:cs="Calibri"/>
                <w:color w:val="000000"/>
                <w:sz w:val="20"/>
                <w:szCs w:val="20"/>
              </w:rPr>
            </w:pPr>
          </w:p>
        </w:tc>
        <w:tc>
          <w:tcPr>
            <w:tcW w:w="1440" w:type="dxa"/>
            <w:vAlign w:val="center"/>
          </w:tcPr>
          <w:p w14:paraId="6821C185" w14:textId="77777777" w:rsidR="00C56DE0" w:rsidRPr="00D374CF" w:rsidRDefault="00C56DE0" w:rsidP="008A3258">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Reproduction</w:t>
            </w:r>
          </w:p>
        </w:tc>
        <w:tc>
          <w:tcPr>
            <w:tcW w:w="1260" w:type="dxa"/>
            <w:vAlign w:val="center"/>
          </w:tcPr>
          <w:p w14:paraId="7209ECB8" w14:textId="77777777" w:rsidR="00C56DE0" w:rsidRPr="00D374CF" w:rsidRDefault="00C56DE0" w:rsidP="008A3258">
            <w:pPr>
              <w:autoSpaceDE w:val="0"/>
              <w:autoSpaceDN w:val="0"/>
              <w:adjustRightInd w:val="0"/>
              <w:jc w:val="center"/>
              <w:rPr>
                <w:rFonts w:ascii="Arial Narrow" w:hAnsi="Arial Narrow" w:cs="Arial"/>
                <w:sz w:val="20"/>
                <w:szCs w:val="20"/>
              </w:rPr>
            </w:pPr>
            <w:r>
              <w:rPr>
                <w:rFonts w:ascii="Arial Narrow" w:hAnsi="Arial Narrow" w:cs="Arial"/>
                <w:sz w:val="20"/>
                <w:szCs w:val="20"/>
              </w:rPr>
              <w:t>&gt;100%</w:t>
            </w:r>
          </w:p>
        </w:tc>
        <w:tc>
          <w:tcPr>
            <w:tcW w:w="1208" w:type="dxa"/>
            <w:shd w:val="clear" w:color="auto" w:fill="auto"/>
            <w:vAlign w:val="center"/>
          </w:tcPr>
          <w:p w14:paraId="01CB5425" w14:textId="77777777" w:rsidR="00C56DE0" w:rsidRPr="00D374CF" w:rsidRDefault="00C56DE0" w:rsidP="008A3258">
            <w:pPr>
              <w:autoSpaceDE w:val="0"/>
              <w:autoSpaceDN w:val="0"/>
              <w:adjustRightInd w:val="0"/>
              <w:jc w:val="center"/>
              <w:rPr>
                <w:rFonts w:ascii="Arial Narrow" w:hAnsi="Arial Narrow" w:cs="Arial"/>
                <w:sz w:val="20"/>
                <w:szCs w:val="20"/>
              </w:rPr>
            </w:pPr>
            <w:r>
              <w:rPr>
                <w:rFonts w:ascii="Arial Narrow" w:hAnsi="Arial Narrow" w:cs="Arial"/>
                <w:sz w:val="20"/>
                <w:szCs w:val="20"/>
              </w:rPr>
              <w:t>100%</w:t>
            </w:r>
          </w:p>
        </w:tc>
      </w:tr>
      <w:tr w:rsidR="00BA32C5" w:rsidRPr="00867C44" w14:paraId="712C319F" w14:textId="77777777" w:rsidTr="00BA32C5">
        <w:trPr>
          <w:trHeight w:val="290"/>
          <w:jc w:val="center"/>
        </w:trPr>
        <w:tc>
          <w:tcPr>
            <w:tcW w:w="985" w:type="dxa"/>
            <w:tcBorders>
              <w:top w:val="nil"/>
              <w:bottom w:val="nil"/>
            </w:tcBorders>
            <w:vAlign w:val="center"/>
          </w:tcPr>
          <w:p w14:paraId="3AF8C64F" w14:textId="77777777" w:rsidR="00BA32C5" w:rsidRPr="00867C44" w:rsidRDefault="00BA32C5" w:rsidP="00BA32C5">
            <w:pPr>
              <w:autoSpaceDE w:val="0"/>
              <w:autoSpaceDN w:val="0"/>
              <w:adjustRightInd w:val="0"/>
              <w:jc w:val="center"/>
              <w:rPr>
                <w:rFonts w:ascii="Arial Narrow" w:hAnsi="Arial Narrow" w:cs="Arial"/>
                <w:sz w:val="20"/>
                <w:szCs w:val="20"/>
              </w:rPr>
            </w:pPr>
          </w:p>
        </w:tc>
        <w:tc>
          <w:tcPr>
            <w:tcW w:w="1620" w:type="dxa"/>
            <w:tcBorders>
              <w:top w:val="single" w:sz="4" w:space="0" w:color="auto"/>
              <w:bottom w:val="nil"/>
            </w:tcBorders>
            <w:vAlign w:val="center"/>
          </w:tcPr>
          <w:p w14:paraId="74DCA547" w14:textId="7F3EBBBA" w:rsidR="00BA32C5" w:rsidRPr="00867C44" w:rsidRDefault="00BA32C5" w:rsidP="00BA32C5">
            <w:pPr>
              <w:autoSpaceDE w:val="0"/>
              <w:autoSpaceDN w:val="0"/>
              <w:adjustRightInd w:val="0"/>
              <w:jc w:val="center"/>
              <w:rPr>
                <w:rFonts w:ascii="Arial Narrow" w:hAnsi="Arial Narrow" w:cs="Arial"/>
                <w:sz w:val="20"/>
                <w:szCs w:val="20"/>
              </w:rPr>
            </w:pPr>
            <w:r>
              <w:rPr>
                <w:rFonts w:ascii="Arial Narrow" w:hAnsi="Arial Narrow" w:cs="Arial"/>
                <w:sz w:val="20"/>
                <w:szCs w:val="20"/>
              </w:rPr>
              <w:t>2/13/23</w:t>
            </w:r>
          </w:p>
        </w:tc>
        <w:tc>
          <w:tcPr>
            <w:tcW w:w="1710" w:type="dxa"/>
            <w:tcBorders>
              <w:top w:val="single" w:sz="4" w:space="0" w:color="auto"/>
              <w:bottom w:val="nil"/>
            </w:tcBorders>
            <w:vAlign w:val="center"/>
          </w:tcPr>
          <w:p w14:paraId="4FBD9A2A" w14:textId="623E7F49" w:rsidR="00BA32C5" w:rsidRPr="00867C44" w:rsidRDefault="00BA32C5" w:rsidP="00BA32C5">
            <w:pPr>
              <w:autoSpaceDE w:val="0"/>
              <w:autoSpaceDN w:val="0"/>
              <w:adjustRightInd w:val="0"/>
              <w:jc w:val="center"/>
              <w:rPr>
                <w:rFonts w:ascii="Arial Narrow" w:hAnsi="Arial Narrow" w:cs="Arial"/>
                <w:sz w:val="20"/>
                <w:szCs w:val="20"/>
              </w:rPr>
            </w:pPr>
            <w:r>
              <w:rPr>
                <w:rFonts w:ascii="Arial Narrow" w:hAnsi="Arial Narrow" w:cs="Arial"/>
                <w:sz w:val="20"/>
                <w:szCs w:val="20"/>
              </w:rPr>
              <w:t>4AROA202.20</w:t>
            </w:r>
          </w:p>
        </w:tc>
        <w:tc>
          <w:tcPr>
            <w:tcW w:w="1260" w:type="dxa"/>
            <w:tcBorders>
              <w:top w:val="single" w:sz="4" w:space="0" w:color="auto"/>
              <w:bottom w:val="nil"/>
            </w:tcBorders>
            <w:vAlign w:val="center"/>
          </w:tcPr>
          <w:p w14:paraId="37D02363" w14:textId="12A5EC63" w:rsidR="00BA32C5" w:rsidRPr="00D374CF" w:rsidRDefault="00BA32C5" w:rsidP="00BA32C5">
            <w:pPr>
              <w:autoSpaceDE w:val="0"/>
              <w:autoSpaceDN w:val="0"/>
              <w:adjustRightInd w:val="0"/>
              <w:jc w:val="center"/>
              <w:rPr>
                <w:rFonts w:ascii="Arial Narrow" w:hAnsi="Arial Narrow" w:cs="Calibri"/>
                <w:color w:val="000000"/>
                <w:sz w:val="20"/>
                <w:szCs w:val="20"/>
              </w:rPr>
            </w:pPr>
            <w:r w:rsidRPr="004B6268">
              <w:rPr>
                <w:rFonts w:ascii="Arial Narrow" w:hAnsi="Arial Narrow" w:cs="Calibri"/>
                <w:i/>
                <w:color w:val="000000"/>
                <w:sz w:val="20"/>
                <w:szCs w:val="20"/>
              </w:rPr>
              <w:t xml:space="preserve">P. </w:t>
            </w:r>
            <w:proofErr w:type="spellStart"/>
            <w:r w:rsidRPr="004B6268">
              <w:rPr>
                <w:rFonts w:ascii="Arial Narrow" w:hAnsi="Arial Narrow" w:cs="Calibri"/>
                <w:i/>
                <w:color w:val="000000"/>
                <w:sz w:val="20"/>
                <w:szCs w:val="20"/>
              </w:rPr>
              <w:t>promelas</w:t>
            </w:r>
            <w:proofErr w:type="spellEnd"/>
          </w:p>
        </w:tc>
        <w:tc>
          <w:tcPr>
            <w:tcW w:w="1440" w:type="dxa"/>
            <w:vAlign w:val="center"/>
          </w:tcPr>
          <w:p w14:paraId="46EA568B" w14:textId="026A55C7" w:rsidR="00BA32C5" w:rsidRDefault="00BA32C5" w:rsidP="00BA32C5">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Survival</w:t>
            </w:r>
          </w:p>
        </w:tc>
        <w:tc>
          <w:tcPr>
            <w:tcW w:w="1260" w:type="dxa"/>
            <w:vAlign w:val="center"/>
          </w:tcPr>
          <w:p w14:paraId="2706FA93" w14:textId="44697588" w:rsidR="00BA32C5" w:rsidRDefault="00BA32C5" w:rsidP="00BA32C5">
            <w:pPr>
              <w:autoSpaceDE w:val="0"/>
              <w:autoSpaceDN w:val="0"/>
              <w:adjustRightInd w:val="0"/>
              <w:jc w:val="center"/>
              <w:rPr>
                <w:rFonts w:ascii="Arial Narrow" w:hAnsi="Arial Narrow" w:cs="Arial"/>
                <w:sz w:val="20"/>
                <w:szCs w:val="20"/>
              </w:rPr>
            </w:pPr>
            <w:r>
              <w:rPr>
                <w:rFonts w:ascii="Arial Narrow" w:hAnsi="Arial Narrow" w:cs="Arial"/>
                <w:sz w:val="20"/>
                <w:szCs w:val="20"/>
              </w:rPr>
              <w:t>&gt;100%</w:t>
            </w:r>
          </w:p>
        </w:tc>
        <w:tc>
          <w:tcPr>
            <w:tcW w:w="1208" w:type="dxa"/>
            <w:shd w:val="clear" w:color="auto" w:fill="auto"/>
            <w:vAlign w:val="center"/>
          </w:tcPr>
          <w:p w14:paraId="51C79857" w14:textId="1240B16A" w:rsidR="00BA32C5" w:rsidRDefault="00BA32C5" w:rsidP="00BA32C5">
            <w:pPr>
              <w:autoSpaceDE w:val="0"/>
              <w:autoSpaceDN w:val="0"/>
              <w:adjustRightInd w:val="0"/>
              <w:jc w:val="center"/>
              <w:rPr>
                <w:rFonts w:ascii="Arial Narrow" w:hAnsi="Arial Narrow" w:cs="Arial"/>
                <w:sz w:val="20"/>
                <w:szCs w:val="20"/>
              </w:rPr>
            </w:pPr>
            <w:r>
              <w:rPr>
                <w:rFonts w:ascii="Arial Narrow" w:hAnsi="Arial Narrow" w:cs="Arial"/>
                <w:sz w:val="20"/>
                <w:szCs w:val="20"/>
              </w:rPr>
              <w:t>100%</w:t>
            </w:r>
          </w:p>
        </w:tc>
      </w:tr>
      <w:tr w:rsidR="00BA32C5" w:rsidRPr="00867C44" w14:paraId="753C06BF" w14:textId="77777777" w:rsidTr="00BA32C5">
        <w:trPr>
          <w:trHeight w:val="290"/>
          <w:jc w:val="center"/>
        </w:trPr>
        <w:tc>
          <w:tcPr>
            <w:tcW w:w="985" w:type="dxa"/>
            <w:tcBorders>
              <w:top w:val="nil"/>
              <w:bottom w:val="nil"/>
            </w:tcBorders>
            <w:vAlign w:val="center"/>
          </w:tcPr>
          <w:p w14:paraId="59671A53" w14:textId="77777777" w:rsidR="00BA32C5" w:rsidRPr="00867C44" w:rsidRDefault="00BA32C5" w:rsidP="00BA32C5">
            <w:pPr>
              <w:autoSpaceDE w:val="0"/>
              <w:autoSpaceDN w:val="0"/>
              <w:adjustRightInd w:val="0"/>
              <w:jc w:val="center"/>
              <w:rPr>
                <w:rFonts w:ascii="Arial Narrow" w:hAnsi="Arial Narrow" w:cs="Arial"/>
                <w:sz w:val="20"/>
                <w:szCs w:val="20"/>
              </w:rPr>
            </w:pPr>
          </w:p>
        </w:tc>
        <w:tc>
          <w:tcPr>
            <w:tcW w:w="1620" w:type="dxa"/>
            <w:tcBorders>
              <w:top w:val="nil"/>
              <w:bottom w:val="nil"/>
            </w:tcBorders>
            <w:vAlign w:val="center"/>
          </w:tcPr>
          <w:p w14:paraId="6369B7B8" w14:textId="77777777" w:rsidR="00BA32C5" w:rsidRPr="00867C44" w:rsidRDefault="00BA32C5" w:rsidP="00BA32C5">
            <w:pPr>
              <w:autoSpaceDE w:val="0"/>
              <w:autoSpaceDN w:val="0"/>
              <w:adjustRightInd w:val="0"/>
              <w:jc w:val="center"/>
              <w:rPr>
                <w:rFonts w:ascii="Arial Narrow" w:hAnsi="Arial Narrow" w:cs="Arial"/>
                <w:sz w:val="20"/>
                <w:szCs w:val="20"/>
              </w:rPr>
            </w:pPr>
          </w:p>
        </w:tc>
        <w:tc>
          <w:tcPr>
            <w:tcW w:w="1710" w:type="dxa"/>
            <w:tcBorders>
              <w:top w:val="nil"/>
              <w:bottom w:val="nil"/>
            </w:tcBorders>
            <w:vAlign w:val="center"/>
          </w:tcPr>
          <w:p w14:paraId="69B9F851" w14:textId="77777777" w:rsidR="00BA32C5" w:rsidRPr="00867C44" w:rsidRDefault="00BA32C5" w:rsidP="00BA32C5">
            <w:pPr>
              <w:autoSpaceDE w:val="0"/>
              <w:autoSpaceDN w:val="0"/>
              <w:adjustRightInd w:val="0"/>
              <w:jc w:val="center"/>
              <w:rPr>
                <w:rFonts w:ascii="Arial Narrow" w:hAnsi="Arial Narrow" w:cs="Arial"/>
                <w:sz w:val="20"/>
                <w:szCs w:val="20"/>
              </w:rPr>
            </w:pPr>
          </w:p>
        </w:tc>
        <w:tc>
          <w:tcPr>
            <w:tcW w:w="1260" w:type="dxa"/>
            <w:tcBorders>
              <w:top w:val="nil"/>
              <w:bottom w:val="single" w:sz="4" w:space="0" w:color="auto"/>
            </w:tcBorders>
            <w:vAlign w:val="center"/>
          </w:tcPr>
          <w:p w14:paraId="1E78198A" w14:textId="77777777" w:rsidR="00BA32C5" w:rsidRPr="00D374CF" w:rsidRDefault="00BA32C5" w:rsidP="00BA32C5">
            <w:pPr>
              <w:autoSpaceDE w:val="0"/>
              <w:autoSpaceDN w:val="0"/>
              <w:adjustRightInd w:val="0"/>
              <w:jc w:val="center"/>
              <w:rPr>
                <w:rFonts w:ascii="Arial Narrow" w:hAnsi="Arial Narrow" w:cs="Calibri"/>
                <w:color w:val="000000"/>
                <w:sz w:val="20"/>
                <w:szCs w:val="20"/>
              </w:rPr>
            </w:pPr>
          </w:p>
        </w:tc>
        <w:tc>
          <w:tcPr>
            <w:tcW w:w="1440" w:type="dxa"/>
            <w:vAlign w:val="center"/>
          </w:tcPr>
          <w:p w14:paraId="00787C02" w14:textId="3FA04203" w:rsidR="00BA32C5" w:rsidRDefault="00BA32C5" w:rsidP="00BA32C5">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Biomass</w:t>
            </w:r>
          </w:p>
        </w:tc>
        <w:tc>
          <w:tcPr>
            <w:tcW w:w="1260" w:type="dxa"/>
            <w:vAlign w:val="center"/>
          </w:tcPr>
          <w:p w14:paraId="293A0709" w14:textId="021155B2" w:rsidR="00BA32C5" w:rsidRDefault="00BA32C5" w:rsidP="00BA32C5">
            <w:pPr>
              <w:autoSpaceDE w:val="0"/>
              <w:autoSpaceDN w:val="0"/>
              <w:adjustRightInd w:val="0"/>
              <w:jc w:val="center"/>
              <w:rPr>
                <w:rFonts w:ascii="Arial Narrow" w:hAnsi="Arial Narrow" w:cs="Arial"/>
                <w:sz w:val="20"/>
                <w:szCs w:val="20"/>
              </w:rPr>
            </w:pPr>
            <w:r>
              <w:rPr>
                <w:rFonts w:ascii="Arial Narrow" w:hAnsi="Arial Narrow" w:cs="Arial"/>
                <w:sz w:val="20"/>
                <w:szCs w:val="20"/>
              </w:rPr>
              <w:t>&gt;100%</w:t>
            </w:r>
          </w:p>
        </w:tc>
        <w:tc>
          <w:tcPr>
            <w:tcW w:w="1208" w:type="dxa"/>
            <w:shd w:val="clear" w:color="auto" w:fill="auto"/>
            <w:vAlign w:val="center"/>
          </w:tcPr>
          <w:p w14:paraId="322CA17D" w14:textId="5B8C13CD" w:rsidR="00BA32C5" w:rsidRDefault="00BA32C5" w:rsidP="00BA32C5">
            <w:pPr>
              <w:autoSpaceDE w:val="0"/>
              <w:autoSpaceDN w:val="0"/>
              <w:adjustRightInd w:val="0"/>
              <w:jc w:val="center"/>
              <w:rPr>
                <w:rFonts w:ascii="Arial Narrow" w:hAnsi="Arial Narrow" w:cs="Arial"/>
                <w:sz w:val="20"/>
                <w:szCs w:val="20"/>
              </w:rPr>
            </w:pPr>
            <w:r>
              <w:rPr>
                <w:rFonts w:ascii="Arial Narrow" w:hAnsi="Arial Narrow" w:cs="Arial"/>
                <w:sz w:val="20"/>
                <w:szCs w:val="20"/>
              </w:rPr>
              <w:t>100%</w:t>
            </w:r>
          </w:p>
        </w:tc>
      </w:tr>
      <w:tr w:rsidR="00BA32C5" w:rsidRPr="00867C44" w14:paraId="0DA0A99D" w14:textId="77777777" w:rsidTr="00BA32C5">
        <w:trPr>
          <w:trHeight w:val="290"/>
          <w:jc w:val="center"/>
        </w:trPr>
        <w:tc>
          <w:tcPr>
            <w:tcW w:w="985" w:type="dxa"/>
            <w:tcBorders>
              <w:top w:val="nil"/>
              <w:bottom w:val="nil"/>
            </w:tcBorders>
            <w:vAlign w:val="center"/>
          </w:tcPr>
          <w:p w14:paraId="0D6394F1" w14:textId="77777777" w:rsidR="00BA32C5" w:rsidRPr="00867C44" w:rsidRDefault="00BA32C5" w:rsidP="00BA32C5">
            <w:pPr>
              <w:autoSpaceDE w:val="0"/>
              <w:autoSpaceDN w:val="0"/>
              <w:adjustRightInd w:val="0"/>
              <w:jc w:val="center"/>
              <w:rPr>
                <w:rFonts w:ascii="Arial Narrow" w:hAnsi="Arial Narrow" w:cs="Arial"/>
                <w:sz w:val="20"/>
                <w:szCs w:val="20"/>
              </w:rPr>
            </w:pPr>
          </w:p>
        </w:tc>
        <w:tc>
          <w:tcPr>
            <w:tcW w:w="1620" w:type="dxa"/>
            <w:tcBorders>
              <w:top w:val="nil"/>
              <w:bottom w:val="nil"/>
            </w:tcBorders>
            <w:vAlign w:val="center"/>
          </w:tcPr>
          <w:p w14:paraId="4055A656" w14:textId="77777777" w:rsidR="00BA32C5" w:rsidRPr="00867C44" w:rsidRDefault="00BA32C5" w:rsidP="00BA32C5">
            <w:pPr>
              <w:autoSpaceDE w:val="0"/>
              <w:autoSpaceDN w:val="0"/>
              <w:adjustRightInd w:val="0"/>
              <w:jc w:val="center"/>
              <w:rPr>
                <w:rFonts w:ascii="Arial Narrow" w:hAnsi="Arial Narrow" w:cs="Arial"/>
                <w:sz w:val="20"/>
                <w:szCs w:val="20"/>
              </w:rPr>
            </w:pPr>
          </w:p>
        </w:tc>
        <w:tc>
          <w:tcPr>
            <w:tcW w:w="1710" w:type="dxa"/>
            <w:tcBorders>
              <w:top w:val="nil"/>
              <w:bottom w:val="nil"/>
            </w:tcBorders>
            <w:vAlign w:val="center"/>
          </w:tcPr>
          <w:p w14:paraId="30DB0157" w14:textId="77777777" w:rsidR="00BA32C5" w:rsidRPr="00867C44" w:rsidRDefault="00BA32C5" w:rsidP="00BA32C5">
            <w:pPr>
              <w:autoSpaceDE w:val="0"/>
              <w:autoSpaceDN w:val="0"/>
              <w:adjustRightInd w:val="0"/>
              <w:jc w:val="center"/>
              <w:rPr>
                <w:rFonts w:ascii="Arial Narrow" w:hAnsi="Arial Narrow" w:cs="Arial"/>
                <w:sz w:val="20"/>
                <w:szCs w:val="20"/>
              </w:rPr>
            </w:pPr>
          </w:p>
        </w:tc>
        <w:tc>
          <w:tcPr>
            <w:tcW w:w="1260" w:type="dxa"/>
            <w:tcBorders>
              <w:top w:val="single" w:sz="4" w:space="0" w:color="auto"/>
              <w:bottom w:val="nil"/>
            </w:tcBorders>
            <w:vAlign w:val="center"/>
          </w:tcPr>
          <w:p w14:paraId="5CCF471D" w14:textId="24847035" w:rsidR="00BA32C5" w:rsidRPr="00D374CF" w:rsidRDefault="00BA32C5" w:rsidP="00BA32C5">
            <w:pPr>
              <w:autoSpaceDE w:val="0"/>
              <w:autoSpaceDN w:val="0"/>
              <w:adjustRightInd w:val="0"/>
              <w:jc w:val="center"/>
              <w:rPr>
                <w:rFonts w:ascii="Arial Narrow" w:hAnsi="Arial Narrow" w:cs="Calibri"/>
                <w:color w:val="000000"/>
                <w:sz w:val="20"/>
                <w:szCs w:val="20"/>
              </w:rPr>
            </w:pPr>
            <w:r w:rsidRPr="004B6268">
              <w:rPr>
                <w:rFonts w:ascii="Arial Narrow" w:hAnsi="Arial Narrow" w:cs="Calibri"/>
                <w:i/>
                <w:color w:val="000000"/>
                <w:sz w:val="20"/>
                <w:szCs w:val="20"/>
              </w:rPr>
              <w:t xml:space="preserve">C. </w:t>
            </w:r>
            <w:proofErr w:type="spellStart"/>
            <w:r w:rsidRPr="004B6268">
              <w:rPr>
                <w:rFonts w:ascii="Arial Narrow" w:hAnsi="Arial Narrow" w:cs="Calibri"/>
                <w:i/>
                <w:color w:val="000000"/>
                <w:sz w:val="20"/>
                <w:szCs w:val="20"/>
              </w:rPr>
              <w:t>dubia</w:t>
            </w:r>
            <w:proofErr w:type="spellEnd"/>
          </w:p>
        </w:tc>
        <w:tc>
          <w:tcPr>
            <w:tcW w:w="1440" w:type="dxa"/>
            <w:vAlign w:val="center"/>
          </w:tcPr>
          <w:p w14:paraId="16E7FB94" w14:textId="07D15D46" w:rsidR="00BA32C5" w:rsidRDefault="00BA32C5" w:rsidP="00BA32C5">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Survival</w:t>
            </w:r>
          </w:p>
        </w:tc>
        <w:tc>
          <w:tcPr>
            <w:tcW w:w="1260" w:type="dxa"/>
            <w:vAlign w:val="center"/>
          </w:tcPr>
          <w:p w14:paraId="5CAB20A6" w14:textId="05F40CDE" w:rsidR="00BA32C5" w:rsidRDefault="00BA32C5" w:rsidP="00BA32C5">
            <w:pPr>
              <w:autoSpaceDE w:val="0"/>
              <w:autoSpaceDN w:val="0"/>
              <w:adjustRightInd w:val="0"/>
              <w:jc w:val="center"/>
              <w:rPr>
                <w:rFonts w:ascii="Arial Narrow" w:hAnsi="Arial Narrow" w:cs="Arial"/>
                <w:sz w:val="20"/>
                <w:szCs w:val="20"/>
              </w:rPr>
            </w:pPr>
            <w:r>
              <w:rPr>
                <w:rFonts w:ascii="Arial Narrow" w:hAnsi="Arial Narrow" w:cs="Arial"/>
                <w:sz w:val="20"/>
                <w:szCs w:val="20"/>
              </w:rPr>
              <w:t>&gt;100%</w:t>
            </w:r>
          </w:p>
        </w:tc>
        <w:tc>
          <w:tcPr>
            <w:tcW w:w="1208" w:type="dxa"/>
            <w:shd w:val="clear" w:color="auto" w:fill="auto"/>
            <w:vAlign w:val="center"/>
          </w:tcPr>
          <w:p w14:paraId="2C106FE0" w14:textId="6AD6F582" w:rsidR="00BA32C5" w:rsidRDefault="00BA32C5" w:rsidP="00BA32C5">
            <w:pPr>
              <w:autoSpaceDE w:val="0"/>
              <w:autoSpaceDN w:val="0"/>
              <w:adjustRightInd w:val="0"/>
              <w:jc w:val="center"/>
              <w:rPr>
                <w:rFonts w:ascii="Arial Narrow" w:hAnsi="Arial Narrow" w:cs="Arial"/>
                <w:sz w:val="20"/>
                <w:szCs w:val="20"/>
              </w:rPr>
            </w:pPr>
            <w:r>
              <w:rPr>
                <w:rFonts w:ascii="Arial Narrow" w:hAnsi="Arial Narrow" w:cs="Arial"/>
                <w:sz w:val="20"/>
                <w:szCs w:val="20"/>
              </w:rPr>
              <w:t>100%</w:t>
            </w:r>
          </w:p>
        </w:tc>
      </w:tr>
      <w:tr w:rsidR="00BA32C5" w:rsidRPr="00867C44" w14:paraId="20DEFE59" w14:textId="77777777" w:rsidTr="00BA32C5">
        <w:trPr>
          <w:trHeight w:val="290"/>
          <w:jc w:val="center"/>
        </w:trPr>
        <w:tc>
          <w:tcPr>
            <w:tcW w:w="985" w:type="dxa"/>
            <w:tcBorders>
              <w:top w:val="nil"/>
              <w:bottom w:val="nil"/>
            </w:tcBorders>
            <w:vAlign w:val="center"/>
          </w:tcPr>
          <w:p w14:paraId="3EF4FE1D" w14:textId="77777777" w:rsidR="00BA32C5" w:rsidRPr="00867C44" w:rsidRDefault="00BA32C5" w:rsidP="00BA32C5">
            <w:pPr>
              <w:autoSpaceDE w:val="0"/>
              <w:autoSpaceDN w:val="0"/>
              <w:adjustRightInd w:val="0"/>
              <w:jc w:val="center"/>
              <w:rPr>
                <w:rFonts w:ascii="Arial Narrow" w:hAnsi="Arial Narrow" w:cs="Arial"/>
                <w:sz w:val="20"/>
                <w:szCs w:val="20"/>
              </w:rPr>
            </w:pPr>
          </w:p>
        </w:tc>
        <w:tc>
          <w:tcPr>
            <w:tcW w:w="1620" w:type="dxa"/>
            <w:tcBorders>
              <w:top w:val="nil"/>
              <w:bottom w:val="nil"/>
            </w:tcBorders>
            <w:vAlign w:val="center"/>
          </w:tcPr>
          <w:p w14:paraId="57C572E7" w14:textId="77777777" w:rsidR="00BA32C5" w:rsidRPr="00867C44" w:rsidRDefault="00BA32C5" w:rsidP="00BA32C5">
            <w:pPr>
              <w:autoSpaceDE w:val="0"/>
              <w:autoSpaceDN w:val="0"/>
              <w:adjustRightInd w:val="0"/>
              <w:jc w:val="center"/>
              <w:rPr>
                <w:rFonts w:ascii="Arial Narrow" w:hAnsi="Arial Narrow" w:cs="Arial"/>
                <w:sz w:val="20"/>
                <w:szCs w:val="20"/>
              </w:rPr>
            </w:pPr>
          </w:p>
        </w:tc>
        <w:tc>
          <w:tcPr>
            <w:tcW w:w="1710" w:type="dxa"/>
            <w:tcBorders>
              <w:top w:val="nil"/>
              <w:bottom w:val="single" w:sz="4" w:space="0" w:color="auto"/>
            </w:tcBorders>
            <w:vAlign w:val="center"/>
          </w:tcPr>
          <w:p w14:paraId="4CD5F5FD" w14:textId="77777777" w:rsidR="00BA32C5" w:rsidRPr="00867C44" w:rsidRDefault="00BA32C5" w:rsidP="00BA32C5">
            <w:pPr>
              <w:autoSpaceDE w:val="0"/>
              <w:autoSpaceDN w:val="0"/>
              <w:adjustRightInd w:val="0"/>
              <w:jc w:val="center"/>
              <w:rPr>
                <w:rFonts w:ascii="Arial Narrow" w:hAnsi="Arial Narrow" w:cs="Arial"/>
                <w:sz w:val="20"/>
                <w:szCs w:val="20"/>
              </w:rPr>
            </w:pPr>
          </w:p>
        </w:tc>
        <w:tc>
          <w:tcPr>
            <w:tcW w:w="1260" w:type="dxa"/>
            <w:tcBorders>
              <w:top w:val="nil"/>
              <w:bottom w:val="single" w:sz="4" w:space="0" w:color="auto"/>
            </w:tcBorders>
            <w:vAlign w:val="center"/>
          </w:tcPr>
          <w:p w14:paraId="474ABE3B" w14:textId="77777777" w:rsidR="00BA32C5" w:rsidRPr="00D374CF" w:rsidRDefault="00BA32C5" w:rsidP="00BA32C5">
            <w:pPr>
              <w:autoSpaceDE w:val="0"/>
              <w:autoSpaceDN w:val="0"/>
              <w:adjustRightInd w:val="0"/>
              <w:jc w:val="center"/>
              <w:rPr>
                <w:rFonts w:ascii="Arial Narrow" w:hAnsi="Arial Narrow" w:cs="Calibri"/>
                <w:color w:val="000000"/>
                <w:sz w:val="20"/>
                <w:szCs w:val="20"/>
              </w:rPr>
            </w:pPr>
          </w:p>
        </w:tc>
        <w:tc>
          <w:tcPr>
            <w:tcW w:w="1440" w:type="dxa"/>
            <w:vAlign w:val="center"/>
          </w:tcPr>
          <w:p w14:paraId="1970B6AD" w14:textId="1992B25F" w:rsidR="00BA32C5" w:rsidRDefault="00BA32C5" w:rsidP="00BA32C5">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Reproduction</w:t>
            </w:r>
          </w:p>
        </w:tc>
        <w:tc>
          <w:tcPr>
            <w:tcW w:w="1260" w:type="dxa"/>
            <w:vAlign w:val="center"/>
          </w:tcPr>
          <w:p w14:paraId="141CCB24" w14:textId="2BD1A095" w:rsidR="00BA32C5" w:rsidRDefault="00BA32C5" w:rsidP="00BA32C5">
            <w:pPr>
              <w:autoSpaceDE w:val="0"/>
              <w:autoSpaceDN w:val="0"/>
              <w:adjustRightInd w:val="0"/>
              <w:jc w:val="center"/>
              <w:rPr>
                <w:rFonts w:ascii="Arial Narrow" w:hAnsi="Arial Narrow" w:cs="Arial"/>
                <w:sz w:val="20"/>
                <w:szCs w:val="20"/>
              </w:rPr>
            </w:pPr>
            <w:r>
              <w:rPr>
                <w:rFonts w:ascii="Arial Narrow" w:hAnsi="Arial Narrow" w:cs="Arial"/>
                <w:sz w:val="20"/>
                <w:szCs w:val="20"/>
              </w:rPr>
              <w:t>&gt;100%</w:t>
            </w:r>
          </w:p>
        </w:tc>
        <w:tc>
          <w:tcPr>
            <w:tcW w:w="1208" w:type="dxa"/>
            <w:shd w:val="clear" w:color="auto" w:fill="auto"/>
            <w:vAlign w:val="center"/>
          </w:tcPr>
          <w:p w14:paraId="2FA9D1B6" w14:textId="2410908B" w:rsidR="00BA32C5" w:rsidRDefault="00BA32C5" w:rsidP="00BA32C5">
            <w:pPr>
              <w:autoSpaceDE w:val="0"/>
              <w:autoSpaceDN w:val="0"/>
              <w:adjustRightInd w:val="0"/>
              <w:jc w:val="center"/>
              <w:rPr>
                <w:rFonts w:ascii="Arial Narrow" w:hAnsi="Arial Narrow" w:cs="Arial"/>
                <w:sz w:val="20"/>
                <w:szCs w:val="20"/>
              </w:rPr>
            </w:pPr>
            <w:r>
              <w:rPr>
                <w:rFonts w:ascii="Arial Narrow" w:hAnsi="Arial Narrow" w:cs="Arial"/>
                <w:sz w:val="20"/>
                <w:szCs w:val="20"/>
              </w:rPr>
              <w:t>100%</w:t>
            </w:r>
          </w:p>
        </w:tc>
      </w:tr>
      <w:tr w:rsidR="00BA32C5" w:rsidRPr="00867C44" w14:paraId="4EDD3349" w14:textId="77777777" w:rsidTr="00BA32C5">
        <w:trPr>
          <w:trHeight w:val="290"/>
          <w:jc w:val="center"/>
        </w:trPr>
        <w:tc>
          <w:tcPr>
            <w:tcW w:w="985" w:type="dxa"/>
            <w:tcBorders>
              <w:top w:val="nil"/>
              <w:bottom w:val="nil"/>
            </w:tcBorders>
            <w:vAlign w:val="center"/>
          </w:tcPr>
          <w:p w14:paraId="6AB057AB" w14:textId="77777777" w:rsidR="00BA32C5" w:rsidRPr="00867C44" w:rsidRDefault="00BA32C5" w:rsidP="00BA32C5">
            <w:pPr>
              <w:autoSpaceDE w:val="0"/>
              <w:autoSpaceDN w:val="0"/>
              <w:adjustRightInd w:val="0"/>
              <w:jc w:val="center"/>
              <w:rPr>
                <w:rFonts w:ascii="Arial Narrow" w:hAnsi="Arial Narrow" w:cs="Arial"/>
                <w:sz w:val="20"/>
                <w:szCs w:val="20"/>
              </w:rPr>
            </w:pPr>
          </w:p>
        </w:tc>
        <w:tc>
          <w:tcPr>
            <w:tcW w:w="1620" w:type="dxa"/>
            <w:tcBorders>
              <w:top w:val="nil"/>
              <w:bottom w:val="nil"/>
            </w:tcBorders>
            <w:vAlign w:val="center"/>
          </w:tcPr>
          <w:p w14:paraId="0A203389" w14:textId="77777777" w:rsidR="00BA32C5" w:rsidRPr="00867C44" w:rsidRDefault="00BA32C5" w:rsidP="00BA32C5">
            <w:pPr>
              <w:autoSpaceDE w:val="0"/>
              <w:autoSpaceDN w:val="0"/>
              <w:adjustRightInd w:val="0"/>
              <w:jc w:val="center"/>
              <w:rPr>
                <w:rFonts w:ascii="Arial Narrow" w:hAnsi="Arial Narrow" w:cs="Arial"/>
                <w:sz w:val="20"/>
                <w:szCs w:val="20"/>
              </w:rPr>
            </w:pPr>
          </w:p>
        </w:tc>
        <w:tc>
          <w:tcPr>
            <w:tcW w:w="1710" w:type="dxa"/>
            <w:tcBorders>
              <w:top w:val="single" w:sz="4" w:space="0" w:color="auto"/>
              <w:bottom w:val="nil"/>
            </w:tcBorders>
            <w:vAlign w:val="center"/>
          </w:tcPr>
          <w:p w14:paraId="1065BE47" w14:textId="390DA3E6" w:rsidR="00BA32C5" w:rsidRPr="00867C44" w:rsidRDefault="00BA32C5" w:rsidP="00BA32C5">
            <w:pPr>
              <w:autoSpaceDE w:val="0"/>
              <w:autoSpaceDN w:val="0"/>
              <w:adjustRightInd w:val="0"/>
              <w:jc w:val="center"/>
              <w:rPr>
                <w:rFonts w:ascii="Arial Narrow" w:hAnsi="Arial Narrow" w:cs="Arial"/>
                <w:sz w:val="20"/>
                <w:szCs w:val="20"/>
              </w:rPr>
            </w:pPr>
            <w:r>
              <w:rPr>
                <w:rFonts w:ascii="Arial Narrow" w:hAnsi="Arial Narrow" w:cs="Arial"/>
                <w:sz w:val="20"/>
                <w:szCs w:val="20"/>
              </w:rPr>
              <w:t>4AROA198.08</w:t>
            </w:r>
          </w:p>
        </w:tc>
        <w:tc>
          <w:tcPr>
            <w:tcW w:w="1260" w:type="dxa"/>
            <w:tcBorders>
              <w:top w:val="single" w:sz="4" w:space="0" w:color="auto"/>
              <w:bottom w:val="nil"/>
            </w:tcBorders>
            <w:vAlign w:val="center"/>
          </w:tcPr>
          <w:p w14:paraId="2A41636A" w14:textId="5B557762" w:rsidR="00BA32C5" w:rsidRPr="00D374CF" w:rsidRDefault="00BA32C5" w:rsidP="00BA32C5">
            <w:pPr>
              <w:autoSpaceDE w:val="0"/>
              <w:autoSpaceDN w:val="0"/>
              <w:adjustRightInd w:val="0"/>
              <w:jc w:val="center"/>
              <w:rPr>
                <w:rFonts w:ascii="Arial Narrow" w:hAnsi="Arial Narrow" w:cs="Calibri"/>
                <w:color w:val="000000"/>
                <w:sz w:val="20"/>
                <w:szCs w:val="20"/>
              </w:rPr>
            </w:pPr>
            <w:r w:rsidRPr="004B6268">
              <w:rPr>
                <w:rFonts w:ascii="Arial Narrow" w:hAnsi="Arial Narrow" w:cs="Calibri"/>
                <w:i/>
                <w:color w:val="000000"/>
                <w:sz w:val="20"/>
                <w:szCs w:val="20"/>
              </w:rPr>
              <w:t xml:space="preserve">P. </w:t>
            </w:r>
            <w:proofErr w:type="spellStart"/>
            <w:r w:rsidRPr="004B6268">
              <w:rPr>
                <w:rFonts w:ascii="Arial Narrow" w:hAnsi="Arial Narrow" w:cs="Calibri"/>
                <w:i/>
                <w:color w:val="000000"/>
                <w:sz w:val="20"/>
                <w:szCs w:val="20"/>
              </w:rPr>
              <w:t>promelas</w:t>
            </w:r>
            <w:proofErr w:type="spellEnd"/>
          </w:p>
        </w:tc>
        <w:tc>
          <w:tcPr>
            <w:tcW w:w="1440" w:type="dxa"/>
            <w:vAlign w:val="center"/>
          </w:tcPr>
          <w:p w14:paraId="298FA723" w14:textId="78D1D9B8" w:rsidR="00BA32C5" w:rsidRDefault="00BA32C5" w:rsidP="00BA32C5">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Survival</w:t>
            </w:r>
          </w:p>
        </w:tc>
        <w:tc>
          <w:tcPr>
            <w:tcW w:w="1260" w:type="dxa"/>
            <w:vAlign w:val="center"/>
          </w:tcPr>
          <w:p w14:paraId="070BA416" w14:textId="259A4FFF" w:rsidR="00BA32C5" w:rsidRDefault="00BA32C5" w:rsidP="00BA32C5">
            <w:pPr>
              <w:autoSpaceDE w:val="0"/>
              <w:autoSpaceDN w:val="0"/>
              <w:adjustRightInd w:val="0"/>
              <w:jc w:val="center"/>
              <w:rPr>
                <w:rFonts w:ascii="Arial Narrow" w:hAnsi="Arial Narrow" w:cs="Arial"/>
                <w:sz w:val="20"/>
                <w:szCs w:val="20"/>
              </w:rPr>
            </w:pPr>
            <w:r>
              <w:rPr>
                <w:rFonts w:ascii="Arial Narrow" w:hAnsi="Arial Narrow" w:cs="Arial"/>
                <w:sz w:val="20"/>
                <w:szCs w:val="20"/>
              </w:rPr>
              <w:t>&gt;100%</w:t>
            </w:r>
          </w:p>
        </w:tc>
        <w:tc>
          <w:tcPr>
            <w:tcW w:w="1208" w:type="dxa"/>
            <w:shd w:val="clear" w:color="auto" w:fill="auto"/>
            <w:vAlign w:val="center"/>
          </w:tcPr>
          <w:p w14:paraId="64A2A693" w14:textId="6FDA2DAA" w:rsidR="00BA32C5" w:rsidRDefault="00BA32C5" w:rsidP="00BA32C5">
            <w:pPr>
              <w:autoSpaceDE w:val="0"/>
              <w:autoSpaceDN w:val="0"/>
              <w:adjustRightInd w:val="0"/>
              <w:jc w:val="center"/>
              <w:rPr>
                <w:rFonts w:ascii="Arial Narrow" w:hAnsi="Arial Narrow" w:cs="Arial"/>
                <w:sz w:val="20"/>
                <w:szCs w:val="20"/>
              </w:rPr>
            </w:pPr>
            <w:r>
              <w:rPr>
                <w:rFonts w:ascii="Arial Narrow" w:hAnsi="Arial Narrow" w:cs="Arial"/>
                <w:sz w:val="20"/>
                <w:szCs w:val="20"/>
              </w:rPr>
              <w:t>100%</w:t>
            </w:r>
          </w:p>
        </w:tc>
      </w:tr>
      <w:tr w:rsidR="00BA32C5" w:rsidRPr="00867C44" w14:paraId="78100AB4" w14:textId="77777777" w:rsidTr="00BA32C5">
        <w:trPr>
          <w:trHeight w:val="290"/>
          <w:jc w:val="center"/>
        </w:trPr>
        <w:tc>
          <w:tcPr>
            <w:tcW w:w="985" w:type="dxa"/>
            <w:tcBorders>
              <w:top w:val="nil"/>
              <w:bottom w:val="nil"/>
            </w:tcBorders>
            <w:vAlign w:val="center"/>
          </w:tcPr>
          <w:p w14:paraId="392B2372" w14:textId="77777777" w:rsidR="00BA32C5" w:rsidRPr="00867C44" w:rsidRDefault="00BA32C5" w:rsidP="00BA32C5">
            <w:pPr>
              <w:autoSpaceDE w:val="0"/>
              <w:autoSpaceDN w:val="0"/>
              <w:adjustRightInd w:val="0"/>
              <w:jc w:val="center"/>
              <w:rPr>
                <w:rFonts w:ascii="Arial Narrow" w:hAnsi="Arial Narrow" w:cs="Arial"/>
                <w:sz w:val="20"/>
                <w:szCs w:val="20"/>
              </w:rPr>
            </w:pPr>
          </w:p>
        </w:tc>
        <w:tc>
          <w:tcPr>
            <w:tcW w:w="1620" w:type="dxa"/>
            <w:tcBorders>
              <w:top w:val="nil"/>
              <w:bottom w:val="nil"/>
            </w:tcBorders>
            <w:vAlign w:val="center"/>
          </w:tcPr>
          <w:p w14:paraId="46FBA175" w14:textId="77777777" w:rsidR="00BA32C5" w:rsidRPr="00867C44" w:rsidRDefault="00BA32C5" w:rsidP="00BA32C5">
            <w:pPr>
              <w:autoSpaceDE w:val="0"/>
              <w:autoSpaceDN w:val="0"/>
              <w:adjustRightInd w:val="0"/>
              <w:jc w:val="center"/>
              <w:rPr>
                <w:rFonts w:ascii="Arial Narrow" w:hAnsi="Arial Narrow" w:cs="Arial"/>
                <w:sz w:val="20"/>
                <w:szCs w:val="20"/>
              </w:rPr>
            </w:pPr>
          </w:p>
        </w:tc>
        <w:tc>
          <w:tcPr>
            <w:tcW w:w="1710" w:type="dxa"/>
            <w:tcBorders>
              <w:top w:val="nil"/>
              <w:bottom w:val="nil"/>
            </w:tcBorders>
            <w:vAlign w:val="center"/>
          </w:tcPr>
          <w:p w14:paraId="3E6DE590" w14:textId="77777777" w:rsidR="00BA32C5" w:rsidRPr="00867C44" w:rsidRDefault="00BA32C5" w:rsidP="00BA32C5">
            <w:pPr>
              <w:autoSpaceDE w:val="0"/>
              <w:autoSpaceDN w:val="0"/>
              <w:adjustRightInd w:val="0"/>
              <w:jc w:val="center"/>
              <w:rPr>
                <w:rFonts w:ascii="Arial Narrow" w:hAnsi="Arial Narrow" w:cs="Arial"/>
                <w:sz w:val="20"/>
                <w:szCs w:val="20"/>
              </w:rPr>
            </w:pPr>
          </w:p>
        </w:tc>
        <w:tc>
          <w:tcPr>
            <w:tcW w:w="1260" w:type="dxa"/>
            <w:tcBorders>
              <w:top w:val="nil"/>
              <w:bottom w:val="single" w:sz="4" w:space="0" w:color="auto"/>
            </w:tcBorders>
            <w:vAlign w:val="center"/>
          </w:tcPr>
          <w:p w14:paraId="190C99E9" w14:textId="77777777" w:rsidR="00BA32C5" w:rsidRPr="00D374CF" w:rsidRDefault="00BA32C5" w:rsidP="00BA32C5">
            <w:pPr>
              <w:autoSpaceDE w:val="0"/>
              <w:autoSpaceDN w:val="0"/>
              <w:adjustRightInd w:val="0"/>
              <w:jc w:val="center"/>
              <w:rPr>
                <w:rFonts w:ascii="Arial Narrow" w:hAnsi="Arial Narrow" w:cs="Calibri"/>
                <w:color w:val="000000"/>
                <w:sz w:val="20"/>
                <w:szCs w:val="20"/>
              </w:rPr>
            </w:pPr>
          </w:p>
        </w:tc>
        <w:tc>
          <w:tcPr>
            <w:tcW w:w="1440" w:type="dxa"/>
            <w:vAlign w:val="center"/>
          </w:tcPr>
          <w:p w14:paraId="137935E5" w14:textId="71901322" w:rsidR="00BA32C5" w:rsidRDefault="00BA32C5" w:rsidP="00BA32C5">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Biomass</w:t>
            </w:r>
          </w:p>
        </w:tc>
        <w:tc>
          <w:tcPr>
            <w:tcW w:w="1260" w:type="dxa"/>
            <w:vAlign w:val="center"/>
          </w:tcPr>
          <w:p w14:paraId="2C155926" w14:textId="3F3AE687" w:rsidR="00BA32C5" w:rsidRDefault="00BA32C5" w:rsidP="00BA32C5">
            <w:pPr>
              <w:autoSpaceDE w:val="0"/>
              <w:autoSpaceDN w:val="0"/>
              <w:adjustRightInd w:val="0"/>
              <w:jc w:val="center"/>
              <w:rPr>
                <w:rFonts w:ascii="Arial Narrow" w:hAnsi="Arial Narrow" w:cs="Arial"/>
                <w:sz w:val="20"/>
                <w:szCs w:val="20"/>
              </w:rPr>
            </w:pPr>
            <w:r>
              <w:rPr>
                <w:rFonts w:ascii="Arial Narrow" w:hAnsi="Arial Narrow" w:cs="Arial"/>
                <w:sz w:val="20"/>
                <w:szCs w:val="20"/>
              </w:rPr>
              <w:t>&gt;100%</w:t>
            </w:r>
          </w:p>
        </w:tc>
        <w:tc>
          <w:tcPr>
            <w:tcW w:w="1208" w:type="dxa"/>
            <w:shd w:val="clear" w:color="auto" w:fill="auto"/>
            <w:vAlign w:val="center"/>
          </w:tcPr>
          <w:p w14:paraId="4A09E12B" w14:textId="2426F5E1" w:rsidR="00BA32C5" w:rsidRDefault="00BA32C5" w:rsidP="00BA32C5">
            <w:pPr>
              <w:autoSpaceDE w:val="0"/>
              <w:autoSpaceDN w:val="0"/>
              <w:adjustRightInd w:val="0"/>
              <w:jc w:val="center"/>
              <w:rPr>
                <w:rFonts w:ascii="Arial Narrow" w:hAnsi="Arial Narrow" w:cs="Arial"/>
                <w:sz w:val="20"/>
                <w:szCs w:val="20"/>
              </w:rPr>
            </w:pPr>
            <w:r>
              <w:rPr>
                <w:rFonts w:ascii="Arial Narrow" w:hAnsi="Arial Narrow" w:cs="Arial"/>
                <w:sz w:val="20"/>
                <w:szCs w:val="20"/>
              </w:rPr>
              <w:t>100%</w:t>
            </w:r>
          </w:p>
        </w:tc>
      </w:tr>
      <w:tr w:rsidR="00BA32C5" w:rsidRPr="00867C44" w14:paraId="14BE58C8" w14:textId="77777777" w:rsidTr="00BA32C5">
        <w:trPr>
          <w:trHeight w:val="290"/>
          <w:jc w:val="center"/>
        </w:trPr>
        <w:tc>
          <w:tcPr>
            <w:tcW w:w="985" w:type="dxa"/>
            <w:tcBorders>
              <w:top w:val="nil"/>
              <w:bottom w:val="nil"/>
            </w:tcBorders>
            <w:vAlign w:val="center"/>
          </w:tcPr>
          <w:p w14:paraId="1A71232E" w14:textId="77777777" w:rsidR="00BA32C5" w:rsidRPr="00867C44" w:rsidRDefault="00BA32C5" w:rsidP="00BA32C5">
            <w:pPr>
              <w:autoSpaceDE w:val="0"/>
              <w:autoSpaceDN w:val="0"/>
              <w:adjustRightInd w:val="0"/>
              <w:jc w:val="center"/>
              <w:rPr>
                <w:rFonts w:ascii="Arial Narrow" w:hAnsi="Arial Narrow" w:cs="Arial"/>
                <w:sz w:val="20"/>
                <w:szCs w:val="20"/>
              </w:rPr>
            </w:pPr>
          </w:p>
        </w:tc>
        <w:tc>
          <w:tcPr>
            <w:tcW w:w="1620" w:type="dxa"/>
            <w:tcBorders>
              <w:top w:val="nil"/>
              <w:bottom w:val="nil"/>
            </w:tcBorders>
            <w:vAlign w:val="center"/>
          </w:tcPr>
          <w:p w14:paraId="015F6C43" w14:textId="77777777" w:rsidR="00BA32C5" w:rsidRPr="00867C44" w:rsidRDefault="00BA32C5" w:rsidP="00BA32C5">
            <w:pPr>
              <w:autoSpaceDE w:val="0"/>
              <w:autoSpaceDN w:val="0"/>
              <w:adjustRightInd w:val="0"/>
              <w:jc w:val="center"/>
              <w:rPr>
                <w:rFonts w:ascii="Arial Narrow" w:hAnsi="Arial Narrow" w:cs="Arial"/>
                <w:sz w:val="20"/>
                <w:szCs w:val="20"/>
              </w:rPr>
            </w:pPr>
          </w:p>
        </w:tc>
        <w:tc>
          <w:tcPr>
            <w:tcW w:w="1710" w:type="dxa"/>
            <w:tcBorders>
              <w:top w:val="nil"/>
              <w:bottom w:val="nil"/>
            </w:tcBorders>
            <w:vAlign w:val="center"/>
          </w:tcPr>
          <w:p w14:paraId="44C903EE" w14:textId="77777777" w:rsidR="00BA32C5" w:rsidRPr="00867C44" w:rsidRDefault="00BA32C5" w:rsidP="00BA32C5">
            <w:pPr>
              <w:autoSpaceDE w:val="0"/>
              <w:autoSpaceDN w:val="0"/>
              <w:adjustRightInd w:val="0"/>
              <w:jc w:val="center"/>
              <w:rPr>
                <w:rFonts w:ascii="Arial Narrow" w:hAnsi="Arial Narrow" w:cs="Arial"/>
                <w:sz w:val="20"/>
                <w:szCs w:val="20"/>
              </w:rPr>
            </w:pPr>
          </w:p>
        </w:tc>
        <w:tc>
          <w:tcPr>
            <w:tcW w:w="1260" w:type="dxa"/>
            <w:tcBorders>
              <w:top w:val="single" w:sz="4" w:space="0" w:color="auto"/>
              <w:bottom w:val="nil"/>
            </w:tcBorders>
            <w:vAlign w:val="center"/>
          </w:tcPr>
          <w:p w14:paraId="6EA8A723" w14:textId="1AE9C1C2" w:rsidR="00BA32C5" w:rsidRPr="00D374CF" w:rsidRDefault="00BA32C5" w:rsidP="00BA32C5">
            <w:pPr>
              <w:autoSpaceDE w:val="0"/>
              <w:autoSpaceDN w:val="0"/>
              <w:adjustRightInd w:val="0"/>
              <w:jc w:val="center"/>
              <w:rPr>
                <w:rFonts w:ascii="Arial Narrow" w:hAnsi="Arial Narrow" w:cs="Calibri"/>
                <w:color w:val="000000"/>
                <w:sz w:val="20"/>
                <w:szCs w:val="20"/>
              </w:rPr>
            </w:pPr>
            <w:r w:rsidRPr="004B6268">
              <w:rPr>
                <w:rFonts w:ascii="Arial Narrow" w:hAnsi="Arial Narrow" w:cs="Calibri"/>
                <w:i/>
                <w:color w:val="000000"/>
                <w:sz w:val="20"/>
                <w:szCs w:val="20"/>
              </w:rPr>
              <w:t xml:space="preserve">C. </w:t>
            </w:r>
            <w:proofErr w:type="spellStart"/>
            <w:r w:rsidRPr="004B6268">
              <w:rPr>
                <w:rFonts w:ascii="Arial Narrow" w:hAnsi="Arial Narrow" w:cs="Calibri"/>
                <w:i/>
                <w:color w:val="000000"/>
                <w:sz w:val="20"/>
                <w:szCs w:val="20"/>
              </w:rPr>
              <w:t>dubia</w:t>
            </w:r>
            <w:proofErr w:type="spellEnd"/>
          </w:p>
        </w:tc>
        <w:tc>
          <w:tcPr>
            <w:tcW w:w="1440" w:type="dxa"/>
            <w:vAlign w:val="center"/>
          </w:tcPr>
          <w:p w14:paraId="5720E1AD" w14:textId="14BAEF8B" w:rsidR="00BA32C5" w:rsidRDefault="00BA32C5" w:rsidP="00BA32C5">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Survival</w:t>
            </w:r>
          </w:p>
        </w:tc>
        <w:tc>
          <w:tcPr>
            <w:tcW w:w="1260" w:type="dxa"/>
            <w:vAlign w:val="center"/>
          </w:tcPr>
          <w:p w14:paraId="237E7C59" w14:textId="62846695" w:rsidR="00BA32C5" w:rsidRDefault="00BA32C5" w:rsidP="00BA32C5">
            <w:pPr>
              <w:autoSpaceDE w:val="0"/>
              <w:autoSpaceDN w:val="0"/>
              <w:adjustRightInd w:val="0"/>
              <w:jc w:val="center"/>
              <w:rPr>
                <w:rFonts w:ascii="Arial Narrow" w:hAnsi="Arial Narrow" w:cs="Arial"/>
                <w:sz w:val="20"/>
                <w:szCs w:val="20"/>
              </w:rPr>
            </w:pPr>
            <w:r>
              <w:rPr>
                <w:rFonts w:ascii="Arial Narrow" w:hAnsi="Arial Narrow" w:cs="Arial"/>
                <w:sz w:val="20"/>
                <w:szCs w:val="20"/>
              </w:rPr>
              <w:t>&gt;100%</w:t>
            </w:r>
          </w:p>
        </w:tc>
        <w:tc>
          <w:tcPr>
            <w:tcW w:w="1208" w:type="dxa"/>
            <w:shd w:val="clear" w:color="auto" w:fill="auto"/>
            <w:vAlign w:val="center"/>
          </w:tcPr>
          <w:p w14:paraId="46751549" w14:textId="0C606016" w:rsidR="00BA32C5" w:rsidRDefault="00BA32C5" w:rsidP="00BA32C5">
            <w:pPr>
              <w:autoSpaceDE w:val="0"/>
              <w:autoSpaceDN w:val="0"/>
              <w:adjustRightInd w:val="0"/>
              <w:jc w:val="center"/>
              <w:rPr>
                <w:rFonts w:ascii="Arial Narrow" w:hAnsi="Arial Narrow" w:cs="Arial"/>
                <w:sz w:val="20"/>
                <w:szCs w:val="20"/>
              </w:rPr>
            </w:pPr>
            <w:r>
              <w:rPr>
                <w:rFonts w:ascii="Arial Narrow" w:hAnsi="Arial Narrow" w:cs="Arial"/>
                <w:sz w:val="20"/>
                <w:szCs w:val="20"/>
              </w:rPr>
              <w:t>100%</w:t>
            </w:r>
          </w:p>
        </w:tc>
      </w:tr>
      <w:tr w:rsidR="00BA32C5" w:rsidRPr="00867C44" w14:paraId="646B6075" w14:textId="77777777" w:rsidTr="00BA32C5">
        <w:trPr>
          <w:trHeight w:val="290"/>
          <w:jc w:val="center"/>
        </w:trPr>
        <w:tc>
          <w:tcPr>
            <w:tcW w:w="985" w:type="dxa"/>
            <w:tcBorders>
              <w:top w:val="nil"/>
              <w:bottom w:val="nil"/>
            </w:tcBorders>
            <w:vAlign w:val="center"/>
          </w:tcPr>
          <w:p w14:paraId="5DEC1F34" w14:textId="77777777" w:rsidR="00BA32C5" w:rsidRPr="00867C44" w:rsidRDefault="00BA32C5" w:rsidP="00BA32C5">
            <w:pPr>
              <w:autoSpaceDE w:val="0"/>
              <w:autoSpaceDN w:val="0"/>
              <w:adjustRightInd w:val="0"/>
              <w:jc w:val="center"/>
              <w:rPr>
                <w:rFonts w:ascii="Arial Narrow" w:hAnsi="Arial Narrow" w:cs="Arial"/>
                <w:sz w:val="20"/>
                <w:szCs w:val="20"/>
              </w:rPr>
            </w:pPr>
          </w:p>
        </w:tc>
        <w:tc>
          <w:tcPr>
            <w:tcW w:w="1620" w:type="dxa"/>
            <w:tcBorders>
              <w:top w:val="nil"/>
              <w:bottom w:val="single" w:sz="4" w:space="0" w:color="auto"/>
            </w:tcBorders>
            <w:vAlign w:val="center"/>
          </w:tcPr>
          <w:p w14:paraId="4675EB1A" w14:textId="77777777" w:rsidR="00BA32C5" w:rsidRPr="00867C44" w:rsidRDefault="00BA32C5" w:rsidP="00BA32C5">
            <w:pPr>
              <w:autoSpaceDE w:val="0"/>
              <w:autoSpaceDN w:val="0"/>
              <w:adjustRightInd w:val="0"/>
              <w:jc w:val="center"/>
              <w:rPr>
                <w:rFonts w:ascii="Arial Narrow" w:hAnsi="Arial Narrow" w:cs="Arial"/>
                <w:sz w:val="20"/>
                <w:szCs w:val="20"/>
              </w:rPr>
            </w:pPr>
          </w:p>
        </w:tc>
        <w:tc>
          <w:tcPr>
            <w:tcW w:w="1710" w:type="dxa"/>
            <w:tcBorders>
              <w:top w:val="nil"/>
              <w:bottom w:val="single" w:sz="4" w:space="0" w:color="auto"/>
            </w:tcBorders>
            <w:vAlign w:val="center"/>
          </w:tcPr>
          <w:p w14:paraId="34C91CC9" w14:textId="77777777" w:rsidR="00BA32C5" w:rsidRPr="00867C44" w:rsidRDefault="00BA32C5" w:rsidP="00BA32C5">
            <w:pPr>
              <w:autoSpaceDE w:val="0"/>
              <w:autoSpaceDN w:val="0"/>
              <w:adjustRightInd w:val="0"/>
              <w:jc w:val="center"/>
              <w:rPr>
                <w:rFonts w:ascii="Arial Narrow" w:hAnsi="Arial Narrow" w:cs="Arial"/>
                <w:sz w:val="20"/>
                <w:szCs w:val="20"/>
              </w:rPr>
            </w:pPr>
          </w:p>
        </w:tc>
        <w:tc>
          <w:tcPr>
            <w:tcW w:w="1260" w:type="dxa"/>
            <w:tcBorders>
              <w:top w:val="nil"/>
              <w:bottom w:val="single" w:sz="4" w:space="0" w:color="auto"/>
            </w:tcBorders>
            <w:vAlign w:val="center"/>
          </w:tcPr>
          <w:p w14:paraId="22622AC8" w14:textId="77777777" w:rsidR="00BA32C5" w:rsidRPr="00D374CF" w:rsidRDefault="00BA32C5" w:rsidP="00BA32C5">
            <w:pPr>
              <w:autoSpaceDE w:val="0"/>
              <w:autoSpaceDN w:val="0"/>
              <w:adjustRightInd w:val="0"/>
              <w:jc w:val="center"/>
              <w:rPr>
                <w:rFonts w:ascii="Arial Narrow" w:hAnsi="Arial Narrow" w:cs="Calibri"/>
                <w:color w:val="000000"/>
                <w:sz w:val="20"/>
                <w:szCs w:val="20"/>
              </w:rPr>
            </w:pPr>
          </w:p>
        </w:tc>
        <w:tc>
          <w:tcPr>
            <w:tcW w:w="1440" w:type="dxa"/>
            <w:vAlign w:val="center"/>
          </w:tcPr>
          <w:p w14:paraId="2B0FF361" w14:textId="6852EC6E" w:rsidR="00BA32C5" w:rsidRDefault="00BA32C5" w:rsidP="00BA32C5">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Reproduction</w:t>
            </w:r>
          </w:p>
        </w:tc>
        <w:tc>
          <w:tcPr>
            <w:tcW w:w="1260" w:type="dxa"/>
            <w:vAlign w:val="center"/>
          </w:tcPr>
          <w:p w14:paraId="1DF896F9" w14:textId="504519E4" w:rsidR="00BA32C5" w:rsidRDefault="00BA32C5" w:rsidP="00BA32C5">
            <w:pPr>
              <w:autoSpaceDE w:val="0"/>
              <w:autoSpaceDN w:val="0"/>
              <w:adjustRightInd w:val="0"/>
              <w:jc w:val="center"/>
              <w:rPr>
                <w:rFonts w:ascii="Arial Narrow" w:hAnsi="Arial Narrow" w:cs="Arial"/>
                <w:sz w:val="20"/>
                <w:szCs w:val="20"/>
              </w:rPr>
            </w:pPr>
            <w:r>
              <w:rPr>
                <w:rFonts w:ascii="Arial Narrow" w:hAnsi="Arial Narrow" w:cs="Arial"/>
                <w:sz w:val="20"/>
                <w:szCs w:val="20"/>
              </w:rPr>
              <w:t>&gt;100%</w:t>
            </w:r>
          </w:p>
        </w:tc>
        <w:tc>
          <w:tcPr>
            <w:tcW w:w="1208" w:type="dxa"/>
            <w:shd w:val="clear" w:color="auto" w:fill="auto"/>
            <w:vAlign w:val="center"/>
          </w:tcPr>
          <w:p w14:paraId="64C493EA" w14:textId="05FF292E" w:rsidR="00BA32C5" w:rsidRDefault="00BA32C5" w:rsidP="00BA32C5">
            <w:pPr>
              <w:autoSpaceDE w:val="0"/>
              <w:autoSpaceDN w:val="0"/>
              <w:adjustRightInd w:val="0"/>
              <w:jc w:val="center"/>
              <w:rPr>
                <w:rFonts w:ascii="Arial Narrow" w:hAnsi="Arial Narrow" w:cs="Arial"/>
                <w:sz w:val="20"/>
                <w:szCs w:val="20"/>
              </w:rPr>
            </w:pPr>
            <w:r>
              <w:rPr>
                <w:rFonts w:ascii="Arial Narrow" w:hAnsi="Arial Narrow" w:cs="Arial"/>
                <w:sz w:val="20"/>
                <w:szCs w:val="20"/>
              </w:rPr>
              <w:t>100%</w:t>
            </w:r>
          </w:p>
        </w:tc>
      </w:tr>
      <w:tr w:rsidR="00BA32C5" w:rsidRPr="00867C44" w14:paraId="7F603B40" w14:textId="77777777" w:rsidTr="00BA32C5">
        <w:trPr>
          <w:trHeight w:val="290"/>
          <w:jc w:val="center"/>
        </w:trPr>
        <w:tc>
          <w:tcPr>
            <w:tcW w:w="985" w:type="dxa"/>
            <w:tcBorders>
              <w:top w:val="nil"/>
              <w:bottom w:val="nil"/>
            </w:tcBorders>
            <w:vAlign w:val="center"/>
          </w:tcPr>
          <w:p w14:paraId="6CCC6079" w14:textId="77777777" w:rsidR="00BA32C5" w:rsidRPr="00867C44" w:rsidRDefault="00BA32C5" w:rsidP="00BA32C5">
            <w:pPr>
              <w:autoSpaceDE w:val="0"/>
              <w:autoSpaceDN w:val="0"/>
              <w:adjustRightInd w:val="0"/>
              <w:jc w:val="center"/>
              <w:rPr>
                <w:rFonts w:ascii="Arial Narrow" w:hAnsi="Arial Narrow" w:cs="Arial"/>
                <w:sz w:val="20"/>
                <w:szCs w:val="20"/>
              </w:rPr>
            </w:pPr>
          </w:p>
        </w:tc>
        <w:tc>
          <w:tcPr>
            <w:tcW w:w="1620" w:type="dxa"/>
            <w:tcBorders>
              <w:top w:val="single" w:sz="4" w:space="0" w:color="auto"/>
              <w:bottom w:val="nil"/>
            </w:tcBorders>
            <w:vAlign w:val="center"/>
          </w:tcPr>
          <w:p w14:paraId="779DE456" w14:textId="10D9E6EE" w:rsidR="00BA32C5" w:rsidRPr="00867C44" w:rsidRDefault="00BA32C5" w:rsidP="00BA32C5">
            <w:pPr>
              <w:autoSpaceDE w:val="0"/>
              <w:autoSpaceDN w:val="0"/>
              <w:adjustRightInd w:val="0"/>
              <w:jc w:val="center"/>
              <w:rPr>
                <w:rFonts w:ascii="Arial Narrow" w:hAnsi="Arial Narrow" w:cs="Arial"/>
                <w:sz w:val="20"/>
                <w:szCs w:val="20"/>
              </w:rPr>
            </w:pPr>
            <w:r>
              <w:rPr>
                <w:rFonts w:ascii="Arial Narrow" w:hAnsi="Arial Narrow" w:cs="Arial"/>
                <w:sz w:val="20"/>
                <w:szCs w:val="20"/>
              </w:rPr>
              <w:t>5/1/23-5/5/23</w:t>
            </w:r>
          </w:p>
        </w:tc>
        <w:tc>
          <w:tcPr>
            <w:tcW w:w="1710" w:type="dxa"/>
            <w:tcBorders>
              <w:top w:val="single" w:sz="4" w:space="0" w:color="auto"/>
              <w:bottom w:val="nil"/>
            </w:tcBorders>
            <w:vAlign w:val="center"/>
          </w:tcPr>
          <w:p w14:paraId="7F4DA41C" w14:textId="0A2ED9C8" w:rsidR="00BA32C5" w:rsidRPr="00867C44" w:rsidRDefault="00BA32C5" w:rsidP="00BA32C5">
            <w:pPr>
              <w:autoSpaceDE w:val="0"/>
              <w:autoSpaceDN w:val="0"/>
              <w:adjustRightInd w:val="0"/>
              <w:jc w:val="center"/>
              <w:rPr>
                <w:rFonts w:ascii="Arial Narrow" w:hAnsi="Arial Narrow" w:cs="Arial"/>
                <w:sz w:val="20"/>
                <w:szCs w:val="20"/>
              </w:rPr>
            </w:pPr>
            <w:r>
              <w:rPr>
                <w:rFonts w:ascii="Arial Narrow" w:hAnsi="Arial Narrow" w:cs="Arial"/>
                <w:sz w:val="20"/>
                <w:szCs w:val="20"/>
              </w:rPr>
              <w:t>4AROA202.20</w:t>
            </w:r>
          </w:p>
        </w:tc>
        <w:tc>
          <w:tcPr>
            <w:tcW w:w="1260" w:type="dxa"/>
            <w:tcBorders>
              <w:top w:val="single" w:sz="4" w:space="0" w:color="auto"/>
              <w:bottom w:val="nil"/>
            </w:tcBorders>
            <w:vAlign w:val="center"/>
          </w:tcPr>
          <w:p w14:paraId="609DC386" w14:textId="42658973" w:rsidR="00BA32C5" w:rsidRPr="00D374CF" w:rsidRDefault="00BA32C5" w:rsidP="00BA32C5">
            <w:pPr>
              <w:autoSpaceDE w:val="0"/>
              <w:autoSpaceDN w:val="0"/>
              <w:adjustRightInd w:val="0"/>
              <w:jc w:val="center"/>
              <w:rPr>
                <w:rFonts w:ascii="Arial Narrow" w:hAnsi="Arial Narrow" w:cs="Calibri"/>
                <w:color w:val="000000"/>
                <w:sz w:val="20"/>
                <w:szCs w:val="20"/>
              </w:rPr>
            </w:pPr>
            <w:r w:rsidRPr="004B6268">
              <w:rPr>
                <w:rFonts w:ascii="Arial Narrow" w:hAnsi="Arial Narrow" w:cs="Calibri"/>
                <w:i/>
                <w:color w:val="000000"/>
                <w:sz w:val="20"/>
                <w:szCs w:val="20"/>
              </w:rPr>
              <w:t xml:space="preserve">P. </w:t>
            </w:r>
            <w:proofErr w:type="spellStart"/>
            <w:r w:rsidRPr="004B6268">
              <w:rPr>
                <w:rFonts w:ascii="Arial Narrow" w:hAnsi="Arial Narrow" w:cs="Calibri"/>
                <w:i/>
                <w:color w:val="000000"/>
                <w:sz w:val="20"/>
                <w:szCs w:val="20"/>
              </w:rPr>
              <w:t>promelas</w:t>
            </w:r>
            <w:proofErr w:type="spellEnd"/>
          </w:p>
        </w:tc>
        <w:tc>
          <w:tcPr>
            <w:tcW w:w="1440" w:type="dxa"/>
            <w:vAlign w:val="center"/>
          </w:tcPr>
          <w:p w14:paraId="1F62E78A" w14:textId="4C56D8AB" w:rsidR="00BA32C5" w:rsidRDefault="00BA32C5" w:rsidP="00BA32C5">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Survival</w:t>
            </w:r>
          </w:p>
        </w:tc>
        <w:tc>
          <w:tcPr>
            <w:tcW w:w="1260" w:type="dxa"/>
            <w:vAlign w:val="center"/>
          </w:tcPr>
          <w:p w14:paraId="30595647" w14:textId="3AC2F46F" w:rsidR="00BA32C5" w:rsidRDefault="00BA32C5" w:rsidP="00BA32C5">
            <w:pPr>
              <w:autoSpaceDE w:val="0"/>
              <w:autoSpaceDN w:val="0"/>
              <w:adjustRightInd w:val="0"/>
              <w:jc w:val="center"/>
              <w:rPr>
                <w:rFonts w:ascii="Arial Narrow" w:hAnsi="Arial Narrow" w:cs="Arial"/>
                <w:sz w:val="20"/>
                <w:szCs w:val="20"/>
              </w:rPr>
            </w:pPr>
            <w:r>
              <w:rPr>
                <w:rFonts w:ascii="Arial Narrow" w:hAnsi="Arial Narrow" w:cs="Arial"/>
                <w:sz w:val="20"/>
                <w:szCs w:val="20"/>
              </w:rPr>
              <w:t>&gt;100%</w:t>
            </w:r>
          </w:p>
        </w:tc>
        <w:tc>
          <w:tcPr>
            <w:tcW w:w="1208" w:type="dxa"/>
            <w:shd w:val="clear" w:color="auto" w:fill="auto"/>
            <w:vAlign w:val="center"/>
          </w:tcPr>
          <w:p w14:paraId="6E4F9DA8" w14:textId="642817C5" w:rsidR="00BA32C5" w:rsidRDefault="00BA32C5" w:rsidP="00BA32C5">
            <w:pPr>
              <w:autoSpaceDE w:val="0"/>
              <w:autoSpaceDN w:val="0"/>
              <w:adjustRightInd w:val="0"/>
              <w:jc w:val="center"/>
              <w:rPr>
                <w:rFonts w:ascii="Arial Narrow" w:hAnsi="Arial Narrow" w:cs="Arial"/>
                <w:sz w:val="20"/>
                <w:szCs w:val="20"/>
              </w:rPr>
            </w:pPr>
            <w:r>
              <w:rPr>
                <w:rFonts w:ascii="Arial Narrow" w:hAnsi="Arial Narrow" w:cs="Arial"/>
                <w:sz w:val="20"/>
                <w:szCs w:val="20"/>
              </w:rPr>
              <w:t>100%</w:t>
            </w:r>
          </w:p>
        </w:tc>
      </w:tr>
      <w:tr w:rsidR="00BA32C5" w:rsidRPr="00867C44" w14:paraId="6B6DDF78" w14:textId="77777777" w:rsidTr="00BA32C5">
        <w:trPr>
          <w:trHeight w:val="290"/>
          <w:jc w:val="center"/>
        </w:trPr>
        <w:tc>
          <w:tcPr>
            <w:tcW w:w="985" w:type="dxa"/>
            <w:tcBorders>
              <w:top w:val="nil"/>
              <w:bottom w:val="nil"/>
            </w:tcBorders>
            <w:vAlign w:val="center"/>
          </w:tcPr>
          <w:p w14:paraId="47AFBE9D" w14:textId="77777777" w:rsidR="00BA32C5" w:rsidRPr="00867C44" w:rsidRDefault="00BA32C5" w:rsidP="00BA32C5">
            <w:pPr>
              <w:autoSpaceDE w:val="0"/>
              <w:autoSpaceDN w:val="0"/>
              <w:adjustRightInd w:val="0"/>
              <w:jc w:val="center"/>
              <w:rPr>
                <w:rFonts w:ascii="Arial Narrow" w:hAnsi="Arial Narrow" w:cs="Arial"/>
                <w:sz w:val="20"/>
                <w:szCs w:val="20"/>
              </w:rPr>
            </w:pPr>
          </w:p>
        </w:tc>
        <w:tc>
          <w:tcPr>
            <w:tcW w:w="1620" w:type="dxa"/>
            <w:tcBorders>
              <w:top w:val="nil"/>
              <w:bottom w:val="nil"/>
            </w:tcBorders>
            <w:vAlign w:val="center"/>
          </w:tcPr>
          <w:p w14:paraId="3C306C58" w14:textId="77777777" w:rsidR="00BA32C5" w:rsidRPr="00867C44" w:rsidRDefault="00BA32C5" w:rsidP="00BA32C5">
            <w:pPr>
              <w:autoSpaceDE w:val="0"/>
              <w:autoSpaceDN w:val="0"/>
              <w:adjustRightInd w:val="0"/>
              <w:jc w:val="center"/>
              <w:rPr>
                <w:rFonts w:ascii="Arial Narrow" w:hAnsi="Arial Narrow" w:cs="Arial"/>
                <w:sz w:val="20"/>
                <w:szCs w:val="20"/>
              </w:rPr>
            </w:pPr>
          </w:p>
        </w:tc>
        <w:tc>
          <w:tcPr>
            <w:tcW w:w="1710" w:type="dxa"/>
            <w:tcBorders>
              <w:top w:val="nil"/>
              <w:bottom w:val="nil"/>
            </w:tcBorders>
            <w:vAlign w:val="center"/>
          </w:tcPr>
          <w:p w14:paraId="28B9479C" w14:textId="77777777" w:rsidR="00BA32C5" w:rsidRPr="00867C44" w:rsidRDefault="00BA32C5" w:rsidP="00BA32C5">
            <w:pPr>
              <w:autoSpaceDE w:val="0"/>
              <w:autoSpaceDN w:val="0"/>
              <w:adjustRightInd w:val="0"/>
              <w:jc w:val="center"/>
              <w:rPr>
                <w:rFonts w:ascii="Arial Narrow" w:hAnsi="Arial Narrow" w:cs="Arial"/>
                <w:sz w:val="20"/>
                <w:szCs w:val="20"/>
              </w:rPr>
            </w:pPr>
          </w:p>
        </w:tc>
        <w:tc>
          <w:tcPr>
            <w:tcW w:w="1260" w:type="dxa"/>
            <w:tcBorders>
              <w:top w:val="nil"/>
              <w:bottom w:val="single" w:sz="4" w:space="0" w:color="auto"/>
            </w:tcBorders>
            <w:vAlign w:val="center"/>
          </w:tcPr>
          <w:p w14:paraId="66FCE4C4" w14:textId="77777777" w:rsidR="00BA32C5" w:rsidRPr="00D374CF" w:rsidRDefault="00BA32C5" w:rsidP="00BA32C5">
            <w:pPr>
              <w:autoSpaceDE w:val="0"/>
              <w:autoSpaceDN w:val="0"/>
              <w:adjustRightInd w:val="0"/>
              <w:jc w:val="center"/>
              <w:rPr>
                <w:rFonts w:ascii="Arial Narrow" w:hAnsi="Arial Narrow" w:cs="Calibri"/>
                <w:color w:val="000000"/>
                <w:sz w:val="20"/>
                <w:szCs w:val="20"/>
              </w:rPr>
            </w:pPr>
          </w:p>
        </w:tc>
        <w:tc>
          <w:tcPr>
            <w:tcW w:w="1440" w:type="dxa"/>
            <w:vAlign w:val="center"/>
          </w:tcPr>
          <w:p w14:paraId="0EE11CC8" w14:textId="7124CB69" w:rsidR="00BA32C5" w:rsidRDefault="00BA32C5" w:rsidP="00BA32C5">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Biomass</w:t>
            </w:r>
          </w:p>
        </w:tc>
        <w:tc>
          <w:tcPr>
            <w:tcW w:w="1260" w:type="dxa"/>
            <w:vAlign w:val="center"/>
          </w:tcPr>
          <w:p w14:paraId="6D19D582" w14:textId="2B9C7C19" w:rsidR="00BA32C5" w:rsidRDefault="00BA32C5" w:rsidP="00BA32C5">
            <w:pPr>
              <w:autoSpaceDE w:val="0"/>
              <w:autoSpaceDN w:val="0"/>
              <w:adjustRightInd w:val="0"/>
              <w:jc w:val="center"/>
              <w:rPr>
                <w:rFonts w:ascii="Arial Narrow" w:hAnsi="Arial Narrow" w:cs="Arial"/>
                <w:sz w:val="20"/>
                <w:szCs w:val="20"/>
              </w:rPr>
            </w:pPr>
            <w:r>
              <w:rPr>
                <w:rFonts w:ascii="Arial Narrow" w:hAnsi="Arial Narrow" w:cs="Arial"/>
                <w:sz w:val="20"/>
                <w:szCs w:val="20"/>
              </w:rPr>
              <w:t>&gt;100%</w:t>
            </w:r>
          </w:p>
        </w:tc>
        <w:tc>
          <w:tcPr>
            <w:tcW w:w="1208" w:type="dxa"/>
            <w:shd w:val="clear" w:color="auto" w:fill="auto"/>
            <w:vAlign w:val="center"/>
          </w:tcPr>
          <w:p w14:paraId="1320C68E" w14:textId="2D5195C9" w:rsidR="00BA32C5" w:rsidRDefault="00BA32C5" w:rsidP="00BA32C5">
            <w:pPr>
              <w:autoSpaceDE w:val="0"/>
              <w:autoSpaceDN w:val="0"/>
              <w:adjustRightInd w:val="0"/>
              <w:jc w:val="center"/>
              <w:rPr>
                <w:rFonts w:ascii="Arial Narrow" w:hAnsi="Arial Narrow" w:cs="Arial"/>
                <w:sz w:val="20"/>
                <w:szCs w:val="20"/>
              </w:rPr>
            </w:pPr>
            <w:r>
              <w:rPr>
                <w:rFonts w:ascii="Arial Narrow" w:hAnsi="Arial Narrow" w:cs="Arial"/>
                <w:sz w:val="20"/>
                <w:szCs w:val="20"/>
              </w:rPr>
              <w:t>100%</w:t>
            </w:r>
          </w:p>
        </w:tc>
      </w:tr>
      <w:tr w:rsidR="00BA32C5" w:rsidRPr="00867C44" w14:paraId="14F9825E" w14:textId="77777777" w:rsidTr="00BA32C5">
        <w:trPr>
          <w:trHeight w:val="290"/>
          <w:jc w:val="center"/>
        </w:trPr>
        <w:tc>
          <w:tcPr>
            <w:tcW w:w="985" w:type="dxa"/>
            <w:tcBorders>
              <w:top w:val="nil"/>
              <w:bottom w:val="nil"/>
            </w:tcBorders>
            <w:vAlign w:val="center"/>
          </w:tcPr>
          <w:p w14:paraId="481554FC" w14:textId="77777777" w:rsidR="00BA32C5" w:rsidRPr="00867C44" w:rsidRDefault="00BA32C5" w:rsidP="00BA32C5">
            <w:pPr>
              <w:autoSpaceDE w:val="0"/>
              <w:autoSpaceDN w:val="0"/>
              <w:adjustRightInd w:val="0"/>
              <w:jc w:val="center"/>
              <w:rPr>
                <w:rFonts w:ascii="Arial Narrow" w:hAnsi="Arial Narrow" w:cs="Arial"/>
                <w:sz w:val="20"/>
                <w:szCs w:val="20"/>
              </w:rPr>
            </w:pPr>
          </w:p>
        </w:tc>
        <w:tc>
          <w:tcPr>
            <w:tcW w:w="1620" w:type="dxa"/>
            <w:tcBorders>
              <w:top w:val="nil"/>
              <w:bottom w:val="nil"/>
            </w:tcBorders>
            <w:vAlign w:val="center"/>
          </w:tcPr>
          <w:p w14:paraId="756A2D5F" w14:textId="77777777" w:rsidR="00BA32C5" w:rsidRPr="00867C44" w:rsidRDefault="00BA32C5" w:rsidP="00BA32C5">
            <w:pPr>
              <w:autoSpaceDE w:val="0"/>
              <w:autoSpaceDN w:val="0"/>
              <w:adjustRightInd w:val="0"/>
              <w:jc w:val="center"/>
              <w:rPr>
                <w:rFonts w:ascii="Arial Narrow" w:hAnsi="Arial Narrow" w:cs="Arial"/>
                <w:sz w:val="20"/>
                <w:szCs w:val="20"/>
              </w:rPr>
            </w:pPr>
          </w:p>
        </w:tc>
        <w:tc>
          <w:tcPr>
            <w:tcW w:w="1710" w:type="dxa"/>
            <w:tcBorders>
              <w:top w:val="nil"/>
              <w:bottom w:val="nil"/>
            </w:tcBorders>
            <w:vAlign w:val="center"/>
          </w:tcPr>
          <w:p w14:paraId="055B8FF3" w14:textId="77777777" w:rsidR="00BA32C5" w:rsidRPr="00867C44" w:rsidRDefault="00BA32C5" w:rsidP="00BA32C5">
            <w:pPr>
              <w:autoSpaceDE w:val="0"/>
              <w:autoSpaceDN w:val="0"/>
              <w:adjustRightInd w:val="0"/>
              <w:jc w:val="center"/>
              <w:rPr>
                <w:rFonts w:ascii="Arial Narrow" w:hAnsi="Arial Narrow" w:cs="Arial"/>
                <w:sz w:val="20"/>
                <w:szCs w:val="20"/>
              </w:rPr>
            </w:pPr>
          </w:p>
        </w:tc>
        <w:tc>
          <w:tcPr>
            <w:tcW w:w="1260" w:type="dxa"/>
            <w:tcBorders>
              <w:top w:val="single" w:sz="4" w:space="0" w:color="auto"/>
              <w:bottom w:val="nil"/>
            </w:tcBorders>
            <w:vAlign w:val="center"/>
          </w:tcPr>
          <w:p w14:paraId="24AE0943" w14:textId="2DEC1D88" w:rsidR="00BA32C5" w:rsidRPr="00D374CF" w:rsidRDefault="00BA32C5" w:rsidP="00BA32C5">
            <w:pPr>
              <w:autoSpaceDE w:val="0"/>
              <w:autoSpaceDN w:val="0"/>
              <w:adjustRightInd w:val="0"/>
              <w:jc w:val="center"/>
              <w:rPr>
                <w:rFonts w:ascii="Arial Narrow" w:hAnsi="Arial Narrow" w:cs="Calibri"/>
                <w:color w:val="000000"/>
                <w:sz w:val="20"/>
                <w:szCs w:val="20"/>
              </w:rPr>
            </w:pPr>
            <w:r w:rsidRPr="004B6268">
              <w:rPr>
                <w:rFonts w:ascii="Arial Narrow" w:hAnsi="Arial Narrow" w:cs="Calibri"/>
                <w:i/>
                <w:color w:val="000000"/>
                <w:sz w:val="20"/>
                <w:szCs w:val="20"/>
              </w:rPr>
              <w:t xml:space="preserve">C. </w:t>
            </w:r>
            <w:proofErr w:type="spellStart"/>
            <w:r w:rsidRPr="004B6268">
              <w:rPr>
                <w:rFonts w:ascii="Arial Narrow" w:hAnsi="Arial Narrow" w:cs="Calibri"/>
                <w:i/>
                <w:color w:val="000000"/>
                <w:sz w:val="20"/>
                <w:szCs w:val="20"/>
              </w:rPr>
              <w:t>dubia</w:t>
            </w:r>
            <w:proofErr w:type="spellEnd"/>
          </w:p>
        </w:tc>
        <w:tc>
          <w:tcPr>
            <w:tcW w:w="1440" w:type="dxa"/>
            <w:vAlign w:val="center"/>
          </w:tcPr>
          <w:p w14:paraId="43A61AB8" w14:textId="5635B841" w:rsidR="00BA32C5" w:rsidRDefault="00BA32C5" w:rsidP="00BA32C5">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Survival</w:t>
            </w:r>
          </w:p>
        </w:tc>
        <w:tc>
          <w:tcPr>
            <w:tcW w:w="1260" w:type="dxa"/>
            <w:vAlign w:val="center"/>
          </w:tcPr>
          <w:p w14:paraId="565BD457" w14:textId="65EA8B40" w:rsidR="00BA32C5" w:rsidRDefault="00BA32C5" w:rsidP="00BA32C5">
            <w:pPr>
              <w:autoSpaceDE w:val="0"/>
              <w:autoSpaceDN w:val="0"/>
              <w:adjustRightInd w:val="0"/>
              <w:jc w:val="center"/>
              <w:rPr>
                <w:rFonts w:ascii="Arial Narrow" w:hAnsi="Arial Narrow" w:cs="Arial"/>
                <w:sz w:val="20"/>
                <w:szCs w:val="20"/>
              </w:rPr>
            </w:pPr>
            <w:r>
              <w:rPr>
                <w:rFonts w:ascii="Arial Narrow" w:hAnsi="Arial Narrow" w:cs="Arial"/>
                <w:sz w:val="20"/>
                <w:szCs w:val="20"/>
              </w:rPr>
              <w:t>&gt;100%</w:t>
            </w:r>
          </w:p>
        </w:tc>
        <w:tc>
          <w:tcPr>
            <w:tcW w:w="1208" w:type="dxa"/>
            <w:shd w:val="clear" w:color="auto" w:fill="auto"/>
            <w:vAlign w:val="center"/>
          </w:tcPr>
          <w:p w14:paraId="1BEE0318" w14:textId="71ECF6D4" w:rsidR="00BA32C5" w:rsidRDefault="00BA32C5" w:rsidP="00BA32C5">
            <w:pPr>
              <w:autoSpaceDE w:val="0"/>
              <w:autoSpaceDN w:val="0"/>
              <w:adjustRightInd w:val="0"/>
              <w:jc w:val="center"/>
              <w:rPr>
                <w:rFonts w:ascii="Arial Narrow" w:hAnsi="Arial Narrow" w:cs="Arial"/>
                <w:sz w:val="20"/>
                <w:szCs w:val="20"/>
              </w:rPr>
            </w:pPr>
            <w:r>
              <w:rPr>
                <w:rFonts w:ascii="Arial Narrow" w:hAnsi="Arial Narrow" w:cs="Arial"/>
                <w:sz w:val="20"/>
                <w:szCs w:val="20"/>
              </w:rPr>
              <w:t>100%</w:t>
            </w:r>
          </w:p>
        </w:tc>
      </w:tr>
      <w:tr w:rsidR="00BA32C5" w:rsidRPr="00867C44" w14:paraId="2397C274" w14:textId="77777777" w:rsidTr="00BA32C5">
        <w:trPr>
          <w:trHeight w:val="290"/>
          <w:jc w:val="center"/>
        </w:trPr>
        <w:tc>
          <w:tcPr>
            <w:tcW w:w="985" w:type="dxa"/>
            <w:tcBorders>
              <w:top w:val="nil"/>
              <w:bottom w:val="nil"/>
            </w:tcBorders>
            <w:vAlign w:val="center"/>
          </w:tcPr>
          <w:p w14:paraId="2BEBC2C5" w14:textId="77777777" w:rsidR="00BA32C5" w:rsidRPr="00867C44" w:rsidRDefault="00BA32C5" w:rsidP="00BA32C5">
            <w:pPr>
              <w:autoSpaceDE w:val="0"/>
              <w:autoSpaceDN w:val="0"/>
              <w:adjustRightInd w:val="0"/>
              <w:jc w:val="center"/>
              <w:rPr>
                <w:rFonts w:ascii="Arial Narrow" w:hAnsi="Arial Narrow" w:cs="Arial"/>
                <w:sz w:val="20"/>
                <w:szCs w:val="20"/>
              </w:rPr>
            </w:pPr>
          </w:p>
        </w:tc>
        <w:tc>
          <w:tcPr>
            <w:tcW w:w="1620" w:type="dxa"/>
            <w:tcBorders>
              <w:top w:val="nil"/>
              <w:bottom w:val="nil"/>
            </w:tcBorders>
            <w:vAlign w:val="center"/>
          </w:tcPr>
          <w:p w14:paraId="0E9BB9DD" w14:textId="77777777" w:rsidR="00BA32C5" w:rsidRPr="00867C44" w:rsidRDefault="00BA32C5" w:rsidP="00BA32C5">
            <w:pPr>
              <w:autoSpaceDE w:val="0"/>
              <w:autoSpaceDN w:val="0"/>
              <w:adjustRightInd w:val="0"/>
              <w:jc w:val="center"/>
              <w:rPr>
                <w:rFonts w:ascii="Arial Narrow" w:hAnsi="Arial Narrow" w:cs="Arial"/>
                <w:sz w:val="20"/>
                <w:szCs w:val="20"/>
              </w:rPr>
            </w:pPr>
          </w:p>
        </w:tc>
        <w:tc>
          <w:tcPr>
            <w:tcW w:w="1710" w:type="dxa"/>
            <w:tcBorders>
              <w:top w:val="nil"/>
              <w:bottom w:val="single" w:sz="4" w:space="0" w:color="auto"/>
            </w:tcBorders>
            <w:vAlign w:val="center"/>
          </w:tcPr>
          <w:p w14:paraId="073612E7" w14:textId="77777777" w:rsidR="00BA32C5" w:rsidRPr="00867C44" w:rsidRDefault="00BA32C5" w:rsidP="00BA32C5">
            <w:pPr>
              <w:autoSpaceDE w:val="0"/>
              <w:autoSpaceDN w:val="0"/>
              <w:adjustRightInd w:val="0"/>
              <w:jc w:val="center"/>
              <w:rPr>
                <w:rFonts w:ascii="Arial Narrow" w:hAnsi="Arial Narrow" w:cs="Arial"/>
                <w:sz w:val="20"/>
                <w:szCs w:val="20"/>
              </w:rPr>
            </w:pPr>
          </w:p>
        </w:tc>
        <w:tc>
          <w:tcPr>
            <w:tcW w:w="1260" w:type="dxa"/>
            <w:tcBorders>
              <w:top w:val="nil"/>
              <w:bottom w:val="single" w:sz="4" w:space="0" w:color="auto"/>
            </w:tcBorders>
            <w:vAlign w:val="center"/>
          </w:tcPr>
          <w:p w14:paraId="407FE390" w14:textId="77777777" w:rsidR="00BA32C5" w:rsidRPr="00D374CF" w:rsidRDefault="00BA32C5" w:rsidP="00BA32C5">
            <w:pPr>
              <w:autoSpaceDE w:val="0"/>
              <w:autoSpaceDN w:val="0"/>
              <w:adjustRightInd w:val="0"/>
              <w:jc w:val="center"/>
              <w:rPr>
                <w:rFonts w:ascii="Arial Narrow" w:hAnsi="Arial Narrow" w:cs="Calibri"/>
                <w:color w:val="000000"/>
                <w:sz w:val="20"/>
                <w:szCs w:val="20"/>
              </w:rPr>
            </w:pPr>
          </w:p>
        </w:tc>
        <w:tc>
          <w:tcPr>
            <w:tcW w:w="1440" w:type="dxa"/>
            <w:vAlign w:val="center"/>
          </w:tcPr>
          <w:p w14:paraId="0549D545" w14:textId="2AC62864" w:rsidR="00BA32C5" w:rsidRDefault="00BA32C5" w:rsidP="00BA32C5">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Reproduction</w:t>
            </w:r>
          </w:p>
        </w:tc>
        <w:tc>
          <w:tcPr>
            <w:tcW w:w="1260" w:type="dxa"/>
            <w:vAlign w:val="center"/>
          </w:tcPr>
          <w:p w14:paraId="7C877641" w14:textId="0F084418" w:rsidR="00BA32C5" w:rsidRDefault="00BA32C5" w:rsidP="00BA32C5">
            <w:pPr>
              <w:autoSpaceDE w:val="0"/>
              <w:autoSpaceDN w:val="0"/>
              <w:adjustRightInd w:val="0"/>
              <w:jc w:val="center"/>
              <w:rPr>
                <w:rFonts w:ascii="Arial Narrow" w:hAnsi="Arial Narrow" w:cs="Arial"/>
                <w:sz w:val="20"/>
                <w:szCs w:val="20"/>
              </w:rPr>
            </w:pPr>
            <w:r>
              <w:rPr>
                <w:rFonts w:ascii="Arial Narrow" w:hAnsi="Arial Narrow" w:cs="Arial"/>
                <w:sz w:val="20"/>
                <w:szCs w:val="20"/>
              </w:rPr>
              <w:t>&gt;100%</w:t>
            </w:r>
          </w:p>
        </w:tc>
        <w:tc>
          <w:tcPr>
            <w:tcW w:w="1208" w:type="dxa"/>
            <w:shd w:val="clear" w:color="auto" w:fill="auto"/>
            <w:vAlign w:val="center"/>
          </w:tcPr>
          <w:p w14:paraId="73D092AC" w14:textId="4B29164C" w:rsidR="00BA32C5" w:rsidRDefault="00BA32C5" w:rsidP="00BA32C5">
            <w:pPr>
              <w:autoSpaceDE w:val="0"/>
              <w:autoSpaceDN w:val="0"/>
              <w:adjustRightInd w:val="0"/>
              <w:jc w:val="center"/>
              <w:rPr>
                <w:rFonts w:ascii="Arial Narrow" w:hAnsi="Arial Narrow" w:cs="Arial"/>
                <w:sz w:val="20"/>
                <w:szCs w:val="20"/>
              </w:rPr>
            </w:pPr>
            <w:r>
              <w:rPr>
                <w:rFonts w:ascii="Arial Narrow" w:hAnsi="Arial Narrow" w:cs="Arial"/>
                <w:sz w:val="20"/>
                <w:szCs w:val="20"/>
              </w:rPr>
              <w:t>100%</w:t>
            </w:r>
          </w:p>
        </w:tc>
      </w:tr>
      <w:tr w:rsidR="00BA32C5" w:rsidRPr="00867C44" w14:paraId="79EAEDBF" w14:textId="77777777" w:rsidTr="00BA32C5">
        <w:trPr>
          <w:trHeight w:val="290"/>
          <w:jc w:val="center"/>
        </w:trPr>
        <w:tc>
          <w:tcPr>
            <w:tcW w:w="985" w:type="dxa"/>
            <w:tcBorders>
              <w:top w:val="nil"/>
              <w:bottom w:val="nil"/>
            </w:tcBorders>
            <w:vAlign w:val="center"/>
          </w:tcPr>
          <w:p w14:paraId="7BE6A272" w14:textId="77777777" w:rsidR="00BA32C5" w:rsidRPr="00867C44" w:rsidRDefault="00BA32C5" w:rsidP="00BA32C5">
            <w:pPr>
              <w:autoSpaceDE w:val="0"/>
              <w:autoSpaceDN w:val="0"/>
              <w:adjustRightInd w:val="0"/>
              <w:jc w:val="center"/>
              <w:rPr>
                <w:rFonts w:ascii="Arial Narrow" w:hAnsi="Arial Narrow" w:cs="Arial"/>
                <w:sz w:val="20"/>
                <w:szCs w:val="20"/>
              </w:rPr>
            </w:pPr>
          </w:p>
        </w:tc>
        <w:tc>
          <w:tcPr>
            <w:tcW w:w="1620" w:type="dxa"/>
            <w:tcBorders>
              <w:top w:val="nil"/>
              <w:bottom w:val="nil"/>
            </w:tcBorders>
            <w:vAlign w:val="center"/>
          </w:tcPr>
          <w:p w14:paraId="59F2DE3B" w14:textId="77777777" w:rsidR="00BA32C5" w:rsidRPr="00867C44" w:rsidRDefault="00BA32C5" w:rsidP="00BA32C5">
            <w:pPr>
              <w:autoSpaceDE w:val="0"/>
              <w:autoSpaceDN w:val="0"/>
              <w:adjustRightInd w:val="0"/>
              <w:jc w:val="center"/>
              <w:rPr>
                <w:rFonts w:ascii="Arial Narrow" w:hAnsi="Arial Narrow" w:cs="Arial"/>
                <w:sz w:val="20"/>
                <w:szCs w:val="20"/>
              </w:rPr>
            </w:pPr>
          </w:p>
        </w:tc>
        <w:tc>
          <w:tcPr>
            <w:tcW w:w="1710" w:type="dxa"/>
            <w:tcBorders>
              <w:top w:val="single" w:sz="4" w:space="0" w:color="auto"/>
              <w:bottom w:val="nil"/>
            </w:tcBorders>
            <w:vAlign w:val="center"/>
          </w:tcPr>
          <w:p w14:paraId="55447026" w14:textId="024949B0" w:rsidR="00BA32C5" w:rsidRPr="00867C44" w:rsidRDefault="00BA32C5" w:rsidP="00BA32C5">
            <w:pPr>
              <w:autoSpaceDE w:val="0"/>
              <w:autoSpaceDN w:val="0"/>
              <w:adjustRightInd w:val="0"/>
              <w:jc w:val="center"/>
              <w:rPr>
                <w:rFonts w:ascii="Arial Narrow" w:hAnsi="Arial Narrow" w:cs="Arial"/>
                <w:sz w:val="20"/>
                <w:szCs w:val="20"/>
              </w:rPr>
            </w:pPr>
            <w:r>
              <w:rPr>
                <w:rFonts w:ascii="Arial Narrow" w:hAnsi="Arial Narrow" w:cs="Arial"/>
                <w:sz w:val="20"/>
                <w:szCs w:val="20"/>
              </w:rPr>
              <w:t>4AROA198.08</w:t>
            </w:r>
          </w:p>
        </w:tc>
        <w:tc>
          <w:tcPr>
            <w:tcW w:w="1260" w:type="dxa"/>
            <w:tcBorders>
              <w:top w:val="single" w:sz="4" w:space="0" w:color="auto"/>
              <w:bottom w:val="nil"/>
            </w:tcBorders>
            <w:vAlign w:val="center"/>
          </w:tcPr>
          <w:p w14:paraId="3D8F3F2A" w14:textId="509CA3E0" w:rsidR="00BA32C5" w:rsidRPr="00D374CF" w:rsidRDefault="00BA32C5" w:rsidP="00BA32C5">
            <w:pPr>
              <w:autoSpaceDE w:val="0"/>
              <w:autoSpaceDN w:val="0"/>
              <w:adjustRightInd w:val="0"/>
              <w:jc w:val="center"/>
              <w:rPr>
                <w:rFonts w:ascii="Arial Narrow" w:hAnsi="Arial Narrow" w:cs="Calibri"/>
                <w:color w:val="000000"/>
                <w:sz w:val="20"/>
                <w:szCs w:val="20"/>
              </w:rPr>
            </w:pPr>
            <w:r w:rsidRPr="004B6268">
              <w:rPr>
                <w:rFonts w:ascii="Arial Narrow" w:hAnsi="Arial Narrow" w:cs="Calibri"/>
                <w:i/>
                <w:color w:val="000000"/>
                <w:sz w:val="20"/>
                <w:szCs w:val="20"/>
              </w:rPr>
              <w:t xml:space="preserve">P. </w:t>
            </w:r>
            <w:proofErr w:type="spellStart"/>
            <w:r w:rsidRPr="004B6268">
              <w:rPr>
                <w:rFonts w:ascii="Arial Narrow" w:hAnsi="Arial Narrow" w:cs="Calibri"/>
                <w:i/>
                <w:color w:val="000000"/>
                <w:sz w:val="20"/>
                <w:szCs w:val="20"/>
              </w:rPr>
              <w:t>promelas</w:t>
            </w:r>
            <w:proofErr w:type="spellEnd"/>
          </w:p>
        </w:tc>
        <w:tc>
          <w:tcPr>
            <w:tcW w:w="1440" w:type="dxa"/>
            <w:vAlign w:val="center"/>
          </w:tcPr>
          <w:p w14:paraId="3B771489" w14:textId="2447B866" w:rsidR="00BA32C5" w:rsidRDefault="00BA32C5" w:rsidP="00BA32C5">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Survival</w:t>
            </w:r>
          </w:p>
        </w:tc>
        <w:tc>
          <w:tcPr>
            <w:tcW w:w="1260" w:type="dxa"/>
            <w:vAlign w:val="center"/>
          </w:tcPr>
          <w:p w14:paraId="625BA349" w14:textId="6E79DA5F" w:rsidR="00BA32C5" w:rsidRDefault="00BA32C5" w:rsidP="00BA32C5">
            <w:pPr>
              <w:autoSpaceDE w:val="0"/>
              <w:autoSpaceDN w:val="0"/>
              <w:adjustRightInd w:val="0"/>
              <w:jc w:val="center"/>
              <w:rPr>
                <w:rFonts w:ascii="Arial Narrow" w:hAnsi="Arial Narrow" w:cs="Arial"/>
                <w:sz w:val="20"/>
                <w:szCs w:val="20"/>
              </w:rPr>
            </w:pPr>
            <w:r>
              <w:rPr>
                <w:rFonts w:ascii="Arial Narrow" w:hAnsi="Arial Narrow" w:cs="Arial"/>
                <w:sz w:val="20"/>
                <w:szCs w:val="20"/>
              </w:rPr>
              <w:t>&gt;100%</w:t>
            </w:r>
          </w:p>
        </w:tc>
        <w:tc>
          <w:tcPr>
            <w:tcW w:w="1208" w:type="dxa"/>
            <w:shd w:val="clear" w:color="auto" w:fill="auto"/>
            <w:vAlign w:val="center"/>
          </w:tcPr>
          <w:p w14:paraId="7094075A" w14:textId="3756ADA0" w:rsidR="00BA32C5" w:rsidRDefault="00BA32C5" w:rsidP="00BA32C5">
            <w:pPr>
              <w:autoSpaceDE w:val="0"/>
              <w:autoSpaceDN w:val="0"/>
              <w:adjustRightInd w:val="0"/>
              <w:jc w:val="center"/>
              <w:rPr>
                <w:rFonts w:ascii="Arial Narrow" w:hAnsi="Arial Narrow" w:cs="Arial"/>
                <w:sz w:val="20"/>
                <w:szCs w:val="20"/>
              </w:rPr>
            </w:pPr>
            <w:r>
              <w:rPr>
                <w:rFonts w:ascii="Arial Narrow" w:hAnsi="Arial Narrow" w:cs="Arial"/>
                <w:sz w:val="20"/>
                <w:szCs w:val="20"/>
              </w:rPr>
              <w:t>12.5%</w:t>
            </w:r>
          </w:p>
        </w:tc>
      </w:tr>
      <w:tr w:rsidR="00BA32C5" w:rsidRPr="00867C44" w14:paraId="39EC339B" w14:textId="77777777" w:rsidTr="00BA32C5">
        <w:trPr>
          <w:trHeight w:val="290"/>
          <w:jc w:val="center"/>
        </w:trPr>
        <w:tc>
          <w:tcPr>
            <w:tcW w:w="985" w:type="dxa"/>
            <w:tcBorders>
              <w:top w:val="nil"/>
              <w:bottom w:val="nil"/>
            </w:tcBorders>
            <w:vAlign w:val="center"/>
          </w:tcPr>
          <w:p w14:paraId="6055EED5" w14:textId="77777777" w:rsidR="00BA32C5" w:rsidRPr="00867C44" w:rsidRDefault="00BA32C5" w:rsidP="00BA32C5">
            <w:pPr>
              <w:autoSpaceDE w:val="0"/>
              <w:autoSpaceDN w:val="0"/>
              <w:adjustRightInd w:val="0"/>
              <w:jc w:val="center"/>
              <w:rPr>
                <w:rFonts w:ascii="Arial Narrow" w:hAnsi="Arial Narrow" w:cs="Arial"/>
                <w:sz w:val="20"/>
                <w:szCs w:val="20"/>
              </w:rPr>
            </w:pPr>
          </w:p>
        </w:tc>
        <w:tc>
          <w:tcPr>
            <w:tcW w:w="1620" w:type="dxa"/>
            <w:tcBorders>
              <w:top w:val="nil"/>
              <w:bottom w:val="nil"/>
            </w:tcBorders>
            <w:vAlign w:val="center"/>
          </w:tcPr>
          <w:p w14:paraId="5BB84DF3" w14:textId="77777777" w:rsidR="00BA32C5" w:rsidRPr="00867C44" w:rsidRDefault="00BA32C5" w:rsidP="00BA32C5">
            <w:pPr>
              <w:autoSpaceDE w:val="0"/>
              <w:autoSpaceDN w:val="0"/>
              <w:adjustRightInd w:val="0"/>
              <w:jc w:val="center"/>
              <w:rPr>
                <w:rFonts w:ascii="Arial Narrow" w:hAnsi="Arial Narrow" w:cs="Arial"/>
                <w:sz w:val="20"/>
                <w:szCs w:val="20"/>
              </w:rPr>
            </w:pPr>
          </w:p>
        </w:tc>
        <w:tc>
          <w:tcPr>
            <w:tcW w:w="1710" w:type="dxa"/>
            <w:tcBorders>
              <w:top w:val="nil"/>
              <w:bottom w:val="nil"/>
            </w:tcBorders>
            <w:vAlign w:val="center"/>
          </w:tcPr>
          <w:p w14:paraId="48935BB0" w14:textId="77777777" w:rsidR="00BA32C5" w:rsidRPr="00867C44" w:rsidRDefault="00BA32C5" w:rsidP="00BA32C5">
            <w:pPr>
              <w:autoSpaceDE w:val="0"/>
              <w:autoSpaceDN w:val="0"/>
              <w:adjustRightInd w:val="0"/>
              <w:jc w:val="center"/>
              <w:rPr>
                <w:rFonts w:ascii="Arial Narrow" w:hAnsi="Arial Narrow" w:cs="Arial"/>
                <w:sz w:val="20"/>
                <w:szCs w:val="20"/>
              </w:rPr>
            </w:pPr>
          </w:p>
        </w:tc>
        <w:tc>
          <w:tcPr>
            <w:tcW w:w="1260" w:type="dxa"/>
            <w:tcBorders>
              <w:top w:val="nil"/>
              <w:bottom w:val="single" w:sz="4" w:space="0" w:color="auto"/>
            </w:tcBorders>
            <w:vAlign w:val="center"/>
          </w:tcPr>
          <w:p w14:paraId="583144CE" w14:textId="77777777" w:rsidR="00BA32C5" w:rsidRPr="00D374CF" w:rsidRDefault="00BA32C5" w:rsidP="00BA32C5">
            <w:pPr>
              <w:autoSpaceDE w:val="0"/>
              <w:autoSpaceDN w:val="0"/>
              <w:adjustRightInd w:val="0"/>
              <w:jc w:val="center"/>
              <w:rPr>
                <w:rFonts w:ascii="Arial Narrow" w:hAnsi="Arial Narrow" w:cs="Calibri"/>
                <w:color w:val="000000"/>
                <w:sz w:val="20"/>
                <w:szCs w:val="20"/>
              </w:rPr>
            </w:pPr>
          </w:p>
        </w:tc>
        <w:tc>
          <w:tcPr>
            <w:tcW w:w="1440" w:type="dxa"/>
            <w:vAlign w:val="center"/>
          </w:tcPr>
          <w:p w14:paraId="752972D1" w14:textId="58511720" w:rsidR="00BA32C5" w:rsidRDefault="00BA32C5" w:rsidP="00BA32C5">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Biomass</w:t>
            </w:r>
          </w:p>
        </w:tc>
        <w:tc>
          <w:tcPr>
            <w:tcW w:w="1260" w:type="dxa"/>
            <w:vAlign w:val="center"/>
          </w:tcPr>
          <w:p w14:paraId="5226AFEA" w14:textId="39F11213" w:rsidR="00BA32C5" w:rsidRDefault="00BA32C5" w:rsidP="00BA32C5">
            <w:pPr>
              <w:autoSpaceDE w:val="0"/>
              <w:autoSpaceDN w:val="0"/>
              <w:adjustRightInd w:val="0"/>
              <w:jc w:val="center"/>
              <w:rPr>
                <w:rFonts w:ascii="Arial Narrow" w:hAnsi="Arial Narrow" w:cs="Arial"/>
                <w:sz w:val="20"/>
                <w:szCs w:val="20"/>
              </w:rPr>
            </w:pPr>
            <w:r>
              <w:rPr>
                <w:rFonts w:ascii="Arial Narrow" w:hAnsi="Arial Narrow" w:cs="Arial"/>
                <w:sz w:val="20"/>
                <w:szCs w:val="20"/>
              </w:rPr>
              <w:t>&gt;100%</w:t>
            </w:r>
          </w:p>
        </w:tc>
        <w:tc>
          <w:tcPr>
            <w:tcW w:w="1208" w:type="dxa"/>
            <w:shd w:val="clear" w:color="auto" w:fill="auto"/>
            <w:vAlign w:val="center"/>
          </w:tcPr>
          <w:p w14:paraId="313784BE" w14:textId="704F2882" w:rsidR="00BA32C5" w:rsidRDefault="00BA32C5" w:rsidP="00BA32C5">
            <w:pPr>
              <w:autoSpaceDE w:val="0"/>
              <w:autoSpaceDN w:val="0"/>
              <w:adjustRightInd w:val="0"/>
              <w:jc w:val="center"/>
              <w:rPr>
                <w:rFonts w:ascii="Arial Narrow" w:hAnsi="Arial Narrow" w:cs="Arial"/>
                <w:sz w:val="20"/>
                <w:szCs w:val="20"/>
              </w:rPr>
            </w:pPr>
            <w:r>
              <w:rPr>
                <w:rFonts w:ascii="Arial Narrow" w:hAnsi="Arial Narrow" w:cs="Arial"/>
                <w:sz w:val="20"/>
                <w:szCs w:val="20"/>
              </w:rPr>
              <w:t>100%</w:t>
            </w:r>
          </w:p>
        </w:tc>
      </w:tr>
      <w:tr w:rsidR="00BA32C5" w:rsidRPr="00867C44" w14:paraId="338D6405" w14:textId="77777777" w:rsidTr="00302983">
        <w:trPr>
          <w:trHeight w:val="290"/>
          <w:jc w:val="center"/>
        </w:trPr>
        <w:tc>
          <w:tcPr>
            <w:tcW w:w="985" w:type="dxa"/>
            <w:tcBorders>
              <w:top w:val="nil"/>
              <w:bottom w:val="nil"/>
            </w:tcBorders>
            <w:vAlign w:val="center"/>
          </w:tcPr>
          <w:p w14:paraId="28001B5F" w14:textId="77777777" w:rsidR="00BA32C5" w:rsidRPr="00867C44" w:rsidRDefault="00BA32C5" w:rsidP="00BA32C5">
            <w:pPr>
              <w:autoSpaceDE w:val="0"/>
              <w:autoSpaceDN w:val="0"/>
              <w:adjustRightInd w:val="0"/>
              <w:jc w:val="center"/>
              <w:rPr>
                <w:rFonts w:ascii="Arial Narrow" w:hAnsi="Arial Narrow" w:cs="Arial"/>
                <w:sz w:val="20"/>
                <w:szCs w:val="20"/>
              </w:rPr>
            </w:pPr>
          </w:p>
        </w:tc>
        <w:tc>
          <w:tcPr>
            <w:tcW w:w="1620" w:type="dxa"/>
            <w:tcBorders>
              <w:top w:val="nil"/>
              <w:bottom w:val="nil"/>
            </w:tcBorders>
            <w:vAlign w:val="center"/>
          </w:tcPr>
          <w:p w14:paraId="2726E08F" w14:textId="77777777" w:rsidR="00BA32C5" w:rsidRPr="00867C44" w:rsidRDefault="00BA32C5" w:rsidP="00BA32C5">
            <w:pPr>
              <w:autoSpaceDE w:val="0"/>
              <w:autoSpaceDN w:val="0"/>
              <w:adjustRightInd w:val="0"/>
              <w:jc w:val="center"/>
              <w:rPr>
                <w:rFonts w:ascii="Arial Narrow" w:hAnsi="Arial Narrow" w:cs="Arial"/>
                <w:sz w:val="20"/>
                <w:szCs w:val="20"/>
              </w:rPr>
            </w:pPr>
          </w:p>
        </w:tc>
        <w:tc>
          <w:tcPr>
            <w:tcW w:w="1710" w:type="dxa"/>
            <w:tcBorders>
              <w:top w:val="nil"/>
              <w:bottom w:val="nil"/>
            </w:tcBorders>
            <w:vAlign w:val="center"/>
          </w:tcPr>
          <w:p w14:paraId="198187A6" w14:textId="77777777" w:rsidR="00BA32C5" w:rsidRPr="00867C44" w:rsidRDefault="00BA32C5" w:rsidP="00BA32C5">
            <w:pPr>
              <w:autoSpaceDE w:val="0"/>
              <w:autoSpaceDN w:val="0"/>
              <w:adjustRightInd w:val="0"/>
              <w:jc w:val="center"/>
              <w:rPr>
                <w:rFonts w:ascii="Arial Narrow" w:hAnsi="Arial Narrow" w:cs="Arial"/>
                <w:sz w:val="20"/>
                <w:szCs w:val="20"/>
              </w:rPr>
            </w:pPr>
          </w:p>
        </w:tc>
        <w:tc>
          <w:tcPr>
            <w:tcW w:w="1260" w:type="dxa"/>
            <w:tcBorders>
              <w:top w:val="single" w:sz="4" w:space="0" w:color="auto"/>
              <w:bottom w:val="nil"/>
            </w:tcBorders>
            <w:vAlign w:val="center"/>
          </w:tcPr>
          <w:p w14:paraId="193D998A" w14:textId="27D1F99D" w:rsidR="00BA32C5" w:rsidRPr="00D374CF" w:rsidRDefault="00BA32C5" w:rsidP="00BA32C5">
            <w:pPr>
              <w:autoSpaceDE w:val="0"/>
              <w:autoSpaceDN w:val="0"/>
              <w:adjustRightInd w:val="0"/>
              <w:jc w:val="center"/>
              <w:rPr>
                <w:rFonts w:ascii="Arial Narrow" w:hAnsi="Arial Narrow" w:cs="Calibri"/>
                <w:color w:val="000000"/>
                <w:sz w:val="20"/>
                <w:szCs w:val="20"/>
              </w:rPr>
            </w:pPr>
            <w:r w:rsidRPr="004B6268">
              <w:rPr>
                <w:rFonts w:ascii="Arial Narrow" w:hAnsi="Arial Narrow" w:cs="Calibri"/>
                <w:i/>
                <w:color w:val="000000"/>
                <w:sz w:val="20"/>
                <w:szCs w:val="20"/>
              </w:rPr>
              <w:t xml:space="preserve">C. </w:t>
            </w:r>
            <w:proofErr w:type="spellStart"/>
            <w:r w:rsidRPr="004B6268">
              <w:rPr>
                <w:rFonts w:ascii="Arial Narrow" w:hAnsi="Arial Narrow" w:cs="Calibri"/>
                <w:i/>
                <w:color w:val="000000"/>
                <w:sz w:val="20"/>
                <w:szCs w:val="20"/>
              </w:rPr>
              <w:t>dubia</w:t>
            </w:r>
            <w:proofErr w:type="spellEnd"/>
          </w:p>
        </w:tc>
        <w:tc>
          <w:tcPr>
            <w:tcW w:w="1440" w:type="dxa"/>
            <w:vAlign w:val="center"/>
          </w:tcPr>
          <w:p w14:paraId="6B37F961" w14:textId="3D61D593" w:rsidR="00BA32C5" w:rsidRDefault="00BA32C5" w:rsidP="00BA32C5">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Survival</w:t>
            </w:r>
          </w:p>
        </w:tc>
        <w:tc>
          <w:tcPr>
            <w:tcW w:w="1260" w:type="dxa"/>
            <w:vAlign w:val="center"/>
          </w:tcPr>
          <w:p w14:paraId="5D66EB8F" w14:textId="6D4B4490" w:rsidR="00BA32C5" w:rsidRDefault="00BA32C5" w:rsidP="00BA32C5">
            <w:pPr>
              <w:autoSpaceDE w:val="0"/>
              <w:autoSpaceDN w:val="0"/>
              <w:adjustRightInd w:val="0"/>
              <w:jc w:val="center"/>
              <w:rPr>
                <w:rFonts w:ascii="Arial Narrow" w:hAnsi="Arial Narrow" w:cs="Arial"/>
                <w:sz w:val="20"/>
                <w:szCs w:val="20"/>
              </w:rPr>
            </w:pPr>
            <w:r>
              <w:rPr>
                <w:rFonts w:ascii="Arial Narrow" w:hAnsi="Arial Narrow" w:cs="Arial"/>
                <w:sz w:val="20"/>
                <w:szCs w:val="20"/>
              </w:rPr>
              <w:t>&gt;100%</w:t>
            </w:r>
          </w:p>
        </w:tc>
        <w:tc>
          <w:tcPr>
            <w:tcW w:w="1208" w:type="dxa"/>
            <w:shd w:val="clear" w:color="auto" w:fill="auto"/>
            <w:vAlign w:val="center"/>
          </w:tcPr>
          <w:p w14:paraId="5067A763" w14:textId="7B92322F" w:rsidR="00BA32C5" w:rsidRDefault="00BA32C5" w:rsidP="00BA32C5">
            <w:pPr>
              <w:autoSpaceDE w:val="0"/>
              <w:autoSpaceDN w:val="0"/>
              <w:adjustRightInd w:val="0"/>
              <w:jc w:val="center"/>
              <w:rPr>
                <w:rFonts w:ascii="Arial Narrow" w:hAnsi="Arial Narrow" w:cs="Arial"/>
                <w:sz w:val="20"/>
                <w:szCs w:val="20"/>
              </w:rPr>
            </w:pPr>
            <w:r>
              <w:rPr>
                <w:rFonts w:ascii="Arial Narrow" w:hAnsi="Arial Narrow" w:cs="Arial"/>
                <w:sz w:val="20"/>
                <w:szCs w:val="20"/>
              </w:rPr>
              <w:t>100%</w:t>
            </w:r>
          </w:p>
        </w:tc>
      </w:tr>
      <w:tr w:rsidR="00BA32C5" w:rsidRPr="00867C44" w14:paraId="591FF5D4" w14:textId="77777777" w:rsidTr="00302983">
        <w:trPr>
          <w:trHeight w:val="290"/>
          <w:jc w:val="center"/>
        </w:trPr>
        <w:tc>
          <w:tcPr>
            <w:tcW w:w="985" w:type="dxa"/>
            <w:tcBorders>
              <w:top w:val="nil"/>
              <w:bottom w:val="single" w:sz="4" w:space="0" w:color="auto"/>
            </w:tcBorders>
            <w:vAlign w:val="center"/>
          </w:tcPr>
          <w:p w14:paraId="5D6FF07B" w14:textId="77777777" w:rsidR="00BA32C5" w:rsidRPr="00867C44" w:rsidRDefault="00BA32C5" w:rsidP="00BA32C5">
            <w:pPr>
              <w:autoSpaceDE w:val="0"/>
              <w:autoSpaceDN w:val="0"/>
              <w:adjustRightInd w:val="0"/>
              <w:jc w:val="center"/>
              <w:rPr>
                <w:rFonts w:ascii="Arial Narrow" w:hAnsi="Arial Narrow" w:cs="Arial"/>
                <w:sz w:val="20"/>
                <w:szCs w:val="20"/>
              </w:rPr>
            </w:pPr>
          </w:p>
        </w:tc>
        <w:tc>
          <w:tcPr>
            <w:tcW w:w="1620" w:type="dxa"/>
            <w:tcBorders>
              <w:top w:val="nil"/>
              <w:bottom w:val="single" w:sz="4" w:space="0" w:color="auto"/>
            </w:tcBorders>
            <w:vAlign w:val="center"/>
          </w:tcPr>
          <w:p w14:paraId="2A697CA5" w14:textId="77777777" w:rsidR="00BA32C5" w:rsidRPr="00867C44" w:rsidRDefault="00BA32C5" w:rsidP="00BA32C5">
            <w:pPr>
              <w:autoSpaceDE w:val="0"/>
              <w:autoSpaceDN w:val="0"/>
              <w:adjustRightInd w:val="0"/>
              <w:jc w:val="center"/>
              <w:rPr>
                <w:rFonts w:ascii="Arial Narrow" w:hAnsi="Arial Narrow" w:cs="Arial"/>
                <w:sz w:val="20"/>
                <w:szCs w:val="20"/>
              </w:rPr>
            </w:pPr>
          </w:p>
        </w:tc>
        <w:tc>
          <w:tcPr>
            <w:tcW w:w="1710" w:type="dxa"/>
            <w:tcBorders>
              <w:top w:val="nil"/>
              <w:bottom w:val="single" w:sz="4" w:space="0" w:color="auto"/>
            </w:tcBorders>
            <w:vAlign w:val="center"/>
          </w:tcPr>
          <w:p w14:paraId="2BDF973D" w14:textId="77777777" w:rsidR="00BA32C5" w:rsidRPr="00867C44" w:rsidRDefault="00BA32C5" w:rsidP="00BA32C5">
            <w:pPr>
              <w:autoSpaceDE w:val="0"/>
              <w:autoSpaceDN w:val="0"/>
              <w:adjustRightInd w:val="0"/>
              <w:jc w:val="center"/>
              <w:rPr>
                <w:rFonts w:ascii="Arial Narrow" w:hAnsi="Arial Narrow" w:cs="Arial"/>
                <w:sz w:val="20"/>
                <w:szCs w:val="20"/>
              </w:rPr>
            </w:pPr>
          </w:p>
        </w:tc>
        <w:tc>
          <w:tcPr>
            <w:tcW w:w="1260" w:type="dxa"/>
            <w:tcBorders>
              <w:top w:val="nil"/>
              <w:bottom w:val="single" w:sz="4" w:space="0" w:color="auto"/>
            </w:tcBorders>
            <w:vAlign w:val="center"/>
          </w:tcPr>
          <w:p w14:paraId="3BB9DC12" w14:textId="77777777" w:rsidR="00BA32C5" w:rsidRPr="00D374CF" w:rsidRDefault="00BA32C5" w:rsidP="00BA32C5">
            <w:pPr>
              <w:autoSpaceDE w:val="0"/>
              <w:autoSpaceDN w:val="0"/>
              <w:adjustRightInd w:val="0"/>
              <w:jc w:val="center"/>
              <w:rPr>
                <w:rFonts w:ascii="Arial Narrow" w:hAnsi="Arial Narrow" w:cs="Calibri"/>
                <w:color w:val="000000"/>
                <w:sz w:val="20"/>
                <w:szCs w:val="20"/>
              </w:rPr>
            </w:pPr>
          </w:p>
        </w:tc>
        <w:tc>
          <w:tcPr>
            <w:tcW w:w="1440" w:type="dxa"/>
            <w:vAlign w:val="center"/>
          </w:tcPr>
          <w:p w14:paraId="643C815E" w14:textId="329C283D" w:rsidR="00BA32C5" w:rsidRDefault="00BA32C5" w:rsidP="00BA32C5">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Reproduction</w:t>
            </w:r>
          </w:p>
        </w:tc>
        <w:tc>
          <w:tcPr>
            <w:tcW w:w="1260" w:type="dxa"/>
            <w:vAlign w:val="center"/>
          </w:tcPr>
          <w:p w14:paraId="003BE365" w14:textId="2BC08D0B" w:rsidR="00BA32C5" w:rsidRDefault="00BA32C5" w:rsidP="00BA32C5">
            <w:pPr>
              <w:autoSpaceDE w:val="0"/>
              <w:autoSpaceDN w:val="0"/>
              <w:adjustRightInd w:val="0"/>
              <w:jc w:val="center"/>
              <w:rPr>
                <w:rFonts w:ascii="Arial Narrow" w:hAnsi="Arial Narrow" w:cs="Arial"/>
                <w:sz w:val="20"/>
                <w:szCs w:val="20"/>
              </w:rPr>
            </w:pPr>
            <w:r>
              <w:rPr>
                <w:rFonts w:ascii="Arial Narrow" w:hAnsi="Arial Narrow" w:cs="Arial"/>
                <w:sz w:val="20"/>
                <w:szCs w:val="20"/>
              </w:rPr>
              <w:t>&gt;100%</w:t>
            </w:r>
          </w:p>
        </w:tc>
        <w:tc>
          <w:tcPr>
            <w:tcW w:w="1208" w:type="dxa"/>
            <w:shd w:val="clear" w:color="auto" w:fill="auto"/>
            <w:vAlign w:val="center"/>
          </w:tcPr>
          <w:p w14:paraId="148F50EB" w14:textId="14EFB385" w:rsidR="00BA32C5" w:rsidRDefault="00BA32C5" w:rsidP="00BA32C5">
            <w:pPr>
              <w:autoSpaceDE w:val="0"/>
              <w:autoSpaceDN w:val="0"/>
              <w:adjustRightInd w:val="0"/>
              <w:jc w:val="center"/>
              <w:rPr>
                <w:rFonts w:ascii="Arial Narrow" w:hAnsi="Arial Narrow" w:cs="Arial"/>
                <w:sz w:val="20"/>
                <w:szCs w:val="20"/>
              </w:rPr>
            </w:pPr>
            <w:r>
              <w:rPr>
                <w:rFonts w:ascii="Arial Narrow" w:hAnsi="Arial Narrow" w:cs="Arial"/>
                <w:sz w:val="20"/>
                <w:szCs w:val="20"/>
              </w:rPr>
              <w:t>100%</w:t>
            </w:r>
          </w:p>
        </w:tc>
      </w:tr>
    </w:tbl>
    <w:p w14:paraId="5C2CBD69" w14:textId="77777777" w:rsidR="00C56DE0" w:rsidRDefault="00C56DE0" w:rsidP="00C56DE0">
      <w:pPr>
        <w:pStyle w:val="BlockText"/>
        <w:spacing w:before="0" w:after="0" w:line="240" w:lineRule="auto"/>
        <w:rPr>
          <w:rFonts w:ascii="Arial Narrow" w:hAnsi="Arial Narrow"/>
          <w:sz w:val="20"/>
          <w:szCs w:val="20"/>
        </w:rPr>
      </w:pPr>
      <w:r w:rsidRPr="00FA5004">
        <w:rPr>
          <w:rFonts w:ascii="Arial Narrow" w:hAnsi="Arial Narrow"/>
          <w:sz w:val="20"/>
          <w:szCs w:val="20"/>
          <w:vertAlign w:val="superscript"/>
        </w:rPr>
        <w:t>1</w:t>
      </w:r>
      <w:r>
        <w:rPr>
          <w:rFonts w:ascii="Arial Narrow" w:hAnsi="Arial Narrow"/>
          <w:sz w:val="20"/>
          <w:szCs w:val="20"/>
        </w:rPr>
        <w:t xml:space="preserve"> LC50 for survival endpoints and IC25 for biomass and reproduction endpoints.</w:t>
      </w:r>
    </w:p>
    <w:p w14:paraId="3B6B3BB0" w14:textId="0975181D" w:rsidR="00C56DE0" w:rsidRDefault="00C56DE0" w:rsidP="00C56DE0">
      <w:pPr>
        <w:pStyle w:val="BlockText"/>
        <w:spacing w:before="0" w:after="0" w:line="240" w:lineRule="auto"/>
        <w:rPr>
          <w:rFonts w:ascii="Arial Narrow" w:hAnsi="Arial Narrow"/>
          <w:sz w:val="20"/>
          <w:szCs w:val="20"/>
        </w:rPr>
      </w:pPr>
      <w:r w:rsidRPr="004B6268">
        <w:rPr>
          <w:rFonts w:ascii="Arial Narrow" w:hAnsi="Arial Narrow"/>
          <w:sz w:val="20"/>
          <w:szCs w:val="20"/>
          <w:vertAlign w:val="superscript"/>
        </w:rPr>
        <w:t>2</w:t>
      </w:r>
      <w:r>
        <w:rPr>
          <w:rFonts w:ascii="Arial Narrow" w:hAnsi="Arial Narrow"/>
          <w:sz w:val="20"/>
          <w:szCs w:val="20"/>
        </w:rPr>
        <w:t xml:space="preserve"> Based on EPA’s WET Method Guidance for dose-response evaluation, the statistically significant difference observed would be determined to be anomalous and the NOEC result would be revised to 100%.</w:t>
      </w:r>
    </w:p>
    <w:p w14:paraId="48F43EC7" w14:textId="77659BB0" w:rsidR="00C56DE0" w:rsidRDefault="00C56DE0" w:rsidP="005E4B50">
      <w:pPr>
        <w:pStyle w:val="BlockText"/>
        <w:spacing w:before="0" w:after="0" w:line="240" w:lineRule="auto"/>
        <w:rPr>
          <w:rFonts w:ascii="Arial Narrow" w:hAnsi="Arial Narrow"/>
          <w:sz w:val="20"/>
          <w:szCs w:val="20"/>
        </w:rPr>
      </w:pPr>
    </w:p>
    <w:p w14:paraId="1012A6AE" w14:textId="36910F71" w:rsidR="00C711F3" w:rsidRDefault="00C711F3" w:rsidP="005E4B50">
      <w:pPr>
        <w:pStyle w:val="BlockText"/>
        <w:spacing w:before="0" w:after="0" w:line="240" w:lineRule="auto"/>
        <w:rPr>
          <w:rFonts w:ascii="Arial Narrow" w:hAnsi="Arial Narrow"/>
          <w:sz w:val="20"/>
          <w:szCs w:val="20"/>
        </w:rPr>
      </w:pPr>
    </w:p>
    <w:p w14:paraId="2A20FE6E" w14:textId="3AD5383D" w:rsidR="00C711F3" w:rsidRPr="00207827" w:rsidRDefault="00C711F3" w:rsidP="00C711F3">
      <w:pPr>
        <w:pStyle w:val="Heading3"/>
      </w:pPr>
      <w:bookmarkStart w:id="164" w:name="_Toc162948177"/>
      <w:r>
        <w:t>PFAS</w:t>
      </w:r>
      <w:bookmarkEnd w:id="164"/>
    </w:p>
    <w:p w14:paraId="4C10C001" w14:textId="77777777" w:rsidR="005B2525" w:rsidRDefault="00C711F3" w:rsidP="00C711F3">
      <w:pPr>
        <w:pStyle w:val="BlockText"/>
      </w:pPr>
      <w:r>
        <w:t>P</w:t>
      </w:r>
      <w:r w:rsidRPr="00C711F3">
        <w:t>er- and polyfluoroalkyl substances</w:t>
      </w:r>
      <w:r>
        <w:t>,</w:t>
      </w:r>
      <w:r w:rsidRPr="00C711F3">
        <w:t xml:space="preserve"> </w:t>
      </w:r>
      <w:r>
        <w:t>or PFAS, are a group of man-made chemicals that are used in a wide variety of products, including firefighting foam</w:t>
      </w:r>
      <w:r w:rsidR="000549E8">
        <w:t>s</w:t>
      </w:r>
      <w:r>
        <w:t>, non-stick coatings, water and stain repellents</w:t>
      </w:r>
      <w:r w:rsidR="00421F3D">
        <w:t>, and cosmetics and personal care products</w:t>
      </w:r>
      <w:r>
        <w:t xml:space="preserve">. These compounds </w:t>
      </w:r>
      <w:r w:rsidR="00421F3D">
        <w:t>are persistent in the environment and may be toxic.</w:t>
      </w:r>
    </w:p>
    <w:p w14:paraId="5FB6023B" w14:textId="59567BDE" w:rsidR="00421F3D" w:rsidRDefault="005B2525" w:rsidP="00C711F3">
      <w:pPr>
        <w:pStyle w:val="BlockText"/>
      </w:pPr>
      <w:r>
        <w:t xml:space="preserve">In 2020, high levels of a PFAS compound was identified in the Roanoke River and the Spring Hollow Reservoir. This compound was hexafluoropropylene oxide dimer acid (HFPO-DA), commonly referred to as </w:t>
      </w:r>
      <w:proofErr w:type="spellStart"/>
      <w:r>
        <w:t>GenX</w:t>
      </w:r>
      <w:proofErr w:type="spellEnd"/>
      <w:r>
        <w:t xml:space="preserve">. The source of </w:t>
      </w:r>
      <w:proofErr w:type="spellStart"/>
      <w:r>
        <w:t>GenX</w:t>
      </w:r>
      <w:proofErr w:type="spellEnd"/>
      <w:r>
        <w:t xml:space="preserve"> in the Roanoke River was determined to be from the </w:t>
      </w:r>
      <w:proofErr w:type="spellStart"/>
      <w:r>
        <w:t>ProChem</w:t>
      </w:r>
      <w:proofErr w:type="spellEnd"/>
      <w:r w:rsidR="00421F3D">
        <w:t xml:space="preserve"> </w:t>
      </w:r>
      <w:r>
        <w:t xml:space="preserve">facility in Elliston, VA. </w:t>
      </w:r>
      <w:proofErr w:type="spellStart"/>
      <w:r>
        <w:t>ProChem</w:t>
      </w:r>
      <w:proofErr w:type="spellEnd"/>
      <w:r>
        <w:t xml:space="preserve"> was responsible for cleaning equipment from the Chemours Company in West Virginia. </w:t>
      </w:r>
      <w:proofErr w:type="spellStart"/>
      <w:r>
        <w:t>GenX</w:t>
      </w:r>
      <w:proofErr w:type="spellEnd"/>
      <w:r>
        <w:t xml:space="preserve"> residue from the cleaned equipment was </w:t>
      </w:r>
      <w:r w:rsidR="00913B96">
        <w:t xml:space="preserve">periodically </w:t>
      </w:r>
      <w:r>
        <w:t>discharged into the South Fork Roanoke River</w:t>
      </w:r>
      <w:r w:rsidR="00913B96">
        <w:t xml:space="preserve"> for several years.</w:t>
      </w:r>
    </w:p>
    <w:p w14:paraId="225DE77F" w14:textId="4DA4C447" w:rsidR="00BD457C" w:rsidRDefault="00913B96" w:rsidP="00C711F3">
      <w:pPr>
        <w:pStyle w:val="BlockText"/>
      </w:pPr>
      <w:r>
        <w:t xml:space="preserve">Based on the finding of PFAS contamination in the Roanoke River system, VDEQ conducted monitoring for a range of PFAS compounds in 2022 and 2023. </w:t>
      </w:r>
      <w:r w:rsidR="000477C0">
        <w:fldChar w:fldCharType="begin"/>
      </w:r>
      <w:r w:rsidR="000477C0">
        <w:instrText xml:space="preserve"> REF _Ref158015031 \h </w:instrText>
      </w:r>
      <w:r w:rsidR="000477C0">
        <w:fldChar w:fldCharType="separate"/>
      </w:r>
      <w:r w:rsidR="004A78BF">
        <w:t xml:space="preserve">Table </w:t>
      </w:r>
      <w:r w:rsidR="004A78BF">
        <w:rPr>
          <w:noProof/>
        </w:rPr>
        <w:t>16</w:t>
      </w:r>
      <w:r w:rsidR="000477C0">
        <w:fldChar w:fldCharType="end"/>
      </w:r>
      <w:r w:rsidR="000477C0">
        <w:t xml:space="preserve"> shows the results of </w:t>
      </w:r>
      <w:r w:rsidR="006C18CA">
        <w:t xml:space="preserve">sampling throughout the Roanoke River system. </w:t>
      </w:r>
      <w:r w:rsidR="00BD457C">
        <w:t>PFAS levels were variable over time, but the</w:t>
      </w:r>
      <w:r w:rsidR="006C18CA">
        <w:t xml:space="preserve"> highest </w:t>
      </w:r>
      <w:r w:rsidR="00BD457C">
        <w:t xml:space="preserve">average </w:t>
      </w:r>
      <w:r w:rsidR="006C18CA">
        <w:t xml:space="preserve">levels of </w:t>
      </w:r>
      <w:proofErr w:type="spellStart"/>
      <w:r w:rsidR="006C18CA">
        <w:t>GenX</w:t>
      </w:r>
      <w:proofErr w:type="spellEnd"/>
      <w:r w:rsidR="006C18CA">
        <w:t xml:space="preserve"> and total PFAS were observed in the upper reaches of the Roanoke River (4AROA225.49). This is consistent with the source of </w:t>
      </w:r>
      <w:proofErr w:type="spellStart"/>
      <w:r w:rsidR="006C18CA">
        <w:t>GenX</w:t>
      </w:r>
      <w:proofErr w:type="spellEnd"/>
      <w:r w:rsidR="006C18CA">
        <w:t xml:space="preserve"> </w:t>
      </w:r>
      <w:r w:rsidR="00BD457C">
        <w:t>being near the confluence of the North and South Forks of the Roanoke River. At this location, benthic conditions are unimpaired, so it is unlikely that PFAS are the cause of downstream benthic impairments.</w:t>
      </w:r>
    </w:p>
    <w:p w14:paraId="65DACE4F" w14:textId="495E71E1" w:rsidR="00913B96" w:rsidRDefault="00BD457C" w:rsidP="00C711F3">
      <w:pPr>
        <w:pStyle w:val="BlockText"/>
      </w:pPr>
      <w:r>
        <w:t xml:space="preserve">In addition, PFAS concentrations were relatively low in the Roanoke River. </w:t>
      </w:r>
      <w:r w:rsidR="006746AD">
        <w:t xml:space="preserve">The maximum </w:t>
      </w:r>
      <w:r w:rsidR="00726F1C">
        <w:t xml:space="preserve">total PFAS concentration was 58.5 ng/L at station 4ARSF000.05. While thresholds for toxic effects on aquatic life have not been developed specifically for </w:t>
      </w:r>
      <w:proofErr w:type="spellStart"/>
      <w:r w:rsidR="00726F1C">
        <w:t>GenX</w:t>
      </w:r>
      <w:proofErr w:type="spellEnd"/>
      <w:r w:rsidR="00726F1C">
        <w:t xml:space="preserve"> or total PFAS, USEPA has recommended aquatic life water quality criteria for </w:t>
      </w:r>
      <w:r w:rsidR="00475446">
        <w:t>p</w:t>
      </w:r>
      <w:r w:rsidR="00475446" w:rsidRPr="00475446">
        <w:t xml:space="preserve">erfluorooctanoic acid </w:t>
      </w:r>
      <w:r w:rsidR="00475446">
        <w:t>(</w:t>
      </w:r>
      <w:r w:rsidR="00726F1C">
        <w:t>PFOA</w:t>
      </w:r>
      <w:r w:rsidR="00475446">
        <w:t>)</w:t>
      </w:r>
      <w:r w:rsidR="00726F1C">
        <w:t xml:space="preserve"> and </w:t>
      </w:r>
      <w:proofErr w:type="spellStart"/>
      <w:r w:rsidR="00475446">
        <w:t>p</w:t>
      </w:r>
      <w:r w:rsidR="00475446" w:rsidRPr="00475446">
        <w:t>erfluorooctanesulfonic</w:t>
      </w:r>
      <w:proofErr w:type="spellEnd"/>
      <w:r w:rsidR="00475446" w:rsidRPr="00475446">
        <w:t xml:space="preserve"> acid </w:t>
      </w:r>
      <w:r w:rsidR="00475446">
        <w:t>(</w:t>
      </w:r>
      <w:r w:rsidR="00726F1C">
        <w:t>PFOS</w:t>
      </w:r>
      <w:r w:rsidR="00475446">
        <w:t>)</w:t>
      </w:r>
      <w:r w:rsidR="00726F1C">
        <w:t xml:space="preserve"> (USEPA, 2022). The recommended chronic water column </w:t>
      </w:r>
      <w:r w:rsidR="00475446">
        <w:t>criteria continuous concentration</w:t>
      </w:r>
      <w:r w:rsidR="00726F1C">
        <w:t xml:space="preserve"> (CCC) for these compounds </w:t>
      </w:r>
      <w:r w:rsidR="00475446">
        <w:t>are</w:t>
      </w:r>
      <w:r w:rsidR="00726F1C">
        <w:t xml:space="preserve"> 94,000 ng/L and 8,400 ng/L, respectively. These values are orders of magnitude above those measured in the Roanoke River. </w:t>
      </w:r>
      <w:r>
        <w:t xml:space="preserve"> </w:t>
      </w:r>
    </w:p>
    <w:p w14:paraId="52B451F9" w14:textId="77777777" w:rsidR="00CD6528" w:rsidRDefault="00CD6528" w:rsidP="00C711F3">
      <w:pPr>
        <w:pStyle w:val="BlockText"/>
      </w:pPr>
    </w:p>
    <w:p w14:paraId="4465A755" w14:textId="3838F40A" w:rsidR="00CD6528" w:rsidRDefault="00CD6528" w:rsidP="00CD6528">
      <w:pPr>
        <w:pStyle w:val="Caption"/>
      </w:pPr>
      <w:bookmarkStart w:id="165" w:name="_Ref158015031"/>
      <w:bookmarkStart w:id="166" w:name="_Toc162948283"/>
      <w:r>
        <w:t xml:space="preserve">Table </w:t>
      </w:r>
      <w:r w:rsidR="00A9549B">
        <w:rPr>
          <w:noProof/>
        </w:rPr>
        <w:fldChar w:fldCharType="begin"/>
      </w:r>
      <w:r w:rsidR="00A9549B">
        <w:rPr>
          <w:noProof/>
        </w:rPr>
        <w:instrText xml:space="preserve"> SEQ Table \* ARABIC </w:instrText>
      </w:r>
      <w:r w:rsidR="00A9549B">
        <w:rPr>
          <w:noProof/>
        </w:rPr>
        <w:fldChar w:fldCharType="separate"/>
      </w:r>
      <w:r w:rsidR="004A78BF">
        <w:rPr>
          <w:noProof/>
        </w:rPr>
        <w:t>16</w:t>
      </w:r>
      <w:r w:rsidR="00A9549B">
        <w:rPr>
          <w:noProof/>
        </w:rPr>
        <w:fldChar w:fldCharType="end"/>
      </w:r>
      <w:bookmarkEnd w:id="165"/>
      <w:r>
        <w:t>. PFAS concentrations in Roanoke River Project streams.</w:t>
      </w:r>
      <w:bookmarkEnd w:id="166"/>
    </w:p>
    <w:tbl>
      <w:tblPr>
        <w:tblW w:w="9393"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4"/>
        <w:gridCol w:w="1289"/>
        <w:gridCol w:w="900"/>
        <w:gridCol w:w="1620"/>
        <w:gridCol w:w="1102"/>
        <w:gridCol w:w="1103"/>
        <w:gridCol w:w="1035"/>
        <w:gridCol w:w="1170"/>
      </w:tblGrid>
      <w:tr w:rsidR="00913B96" w:rsidRPr="00C9297B" w14:paraId="20EF1C90" w14:textId="77777777" w:rsidTr="000477C0">
        <w:trPr>
          <w:trHeight w:val="732"/>
        </w:trPr>
        <w:tc>
          <w:tcPr>
            <w:tcW w:w="1174" w:type="dxa"/>
            <w:tcBorders>
              <w:bottom w:val="single" w:sz="4" w:space="0" w:color="auto"/>
            </w:tcBorders>
            <w:shd w:val="clear" w:color="auto" w:fill="D9D9D9" w:themeFill="background1" w:themeFillShade="D9"/>
            <w:vAlign w:val="center"/>
          </w:tcPr>
          <w:p w14:paraId="15EB20DA" w14:textId="32827EFF" w:rsidR="00913B96" w:rsidRDefault="00913B96" w:rsidP="00CD6528">
            <w:pPr>
              <w:autoSpaceDE w:val="0"/>
              <w:autoSpaceDN w:val="0"/>
              <w:adjustRightInd w:val="0"/>
              <w:jc w:val="center"/>
              <w:rPr>
                <w:rFonts w:ascii="Arial Narrow" w:hAnsi="Arial Narrow" w:cs="Calibri"/>
                <w:b/>
                <w:bCs/>
                <w:color w:val="000000"/>
                <w:sz w:val="20"/>
                <w:szCs w:val="20"/>
              </w:rPr>
            </w:pPr>
            <w:r>
              <w:rPr>
                <w:rFonts w:ascii="Arial Narrow" w:hAnsi="Arial Narrow" w:cs="Calibri"/>
                <w:b/>
                <w:bCs/>
                <w:color w:val="000000"/>
                <w:sz w:val="20"/>
                <w:szCs w:val="20"/>
              </w:rPr>
              <w:t>Stream</w:t>
            </w:r>
          </w:p>
        </w:tc>
        <w:tc>
          <w:tcPr>
            <w:tcW w:w="1289" w:type="dxa"/>
            <w:shd w:val="clear" w:color="auto" w:fill="D9D9D9" w:themeFill="background1" w:themeFillShade="D9"/>
            <w:vAlign w:val="center"/>
          </w:tcPr>
          <w:p w14:paraId="78580543" w14:textId="534EC458" w:rsidR="00913B96" w:rsidRDefault="00913B96" w:rsidP="00CD6528">
            <w:pPr>
              <w:autoSpaceDE w:val="0"/>
              <w:autoSpaceDN w:val="0"/>
              <w:adjustRightInd w:val="0"/>
              <w:jc w:val="center"/>
              <w:rPr>
                <w:rFonts w:ascii="Arial Narrow" w:hAnsi="Arial Narrow" w:cs="Calibri"/>
                <w:b/>
                <w:bCs/>
                <w:color w:val="000000"/>
                <w:sz w:val="20"/>
                <w:szCs w:val="20"/>
              </w:rPr>
            </w:pPr>
            <w:r>
              <w:rPr>
                <w:rFonts w:ascii="Arial Narrow" w:hAnsi="Arial Narrow" w:cs="Calibri"/>
                <w:b/>
                <w:bCs/>
                <w:color w:val="000000"/>
                <w:sz w:val="20"/>
                <w:szCs w:val="20"/>
              </w:rPr>
              <w:t>Station</w:t>
            </w:r>
          </w:p>
        </w:tc>
        <w:tc>
          <w:tcPr>
            <w:tcW w:w="900" w:type="dxa"/>
            <w:shd w:val="clear" w:color="auto" w:fill="D9D9D9" w:themeFill="background1" w:themeFillShade="D9"/>
            <w:vAlign w:val="center"/>
          </w:tcPr>
          <w:p w14:paraId="63CED2C6" w14:textId="0FCF374B" w:rsidR="00913B96" w:rsidRDefault="00913B96" w:rsidP="00CD6528">
            <w:pPr>
              <w:autoSpaceDE w:val="0"/>
              <w:autoSpaceDN w:val="0"/>
              <w:adjustRightInd w:val="0"/>
              <w:jc w:val="center"/>
              <w:rPr>
                <w:rFonts w:ascii="Arial Narrow" w:hAnsi="Arial Narrow" w:cs="Calibri"/>
                <w:b/>
                <w:bCs/>
                <w:color w:val="000000"/>
                <w:sz w:val="20"/>
                <w:szCs w:val="20"/>
              </w:rPr>
            </w:pPr>
            <w:r>
              <w:rPr>
                <w:rFonts w:ascii="Arial Narrow" w:hAnsi="Arial Narrow" w:cs="Calibri"/>
                <w:b/>
                <w:bCs/>
                <w:color w:val="000000"/>
                <w:sz w:val="20"/>
                <w:szCs w:val="20"/>
              </w:rPr>
              <w:t>Number of Samples</w:t>
            </w:r>
          </w:p>
        </w:tc>
        <w:tc>
          <w:tcPr>
            <w:tcW w:w="1620" w:type="dxa"/>
            <w:shd w:val="clear" w:color="auto" w:fill="D9D9D9" w:themeFill="background1" w:themeFillShade="D9"/>
            <w:vAlign w:val="center"/>
          </w:tcPr>
          <w:p w14:paraId="1078E474" w14:textId="1B88EB20" w:rsidR="00913B96" w:rsidRDefault="00913B96" w:rsidP="00CD6528">
            <w:pPr>
              <w:autoSpaceDE w:val="0"/>
              <w:autoSpaceDN w:val="0"/>
              <w:adjustRightInd w:val="0"/>
              <w:jc w:val="center"/>
              <w:rPr>
                <w:rFonts w:ascii="Arial Narrow" w:hAnsi="Arial Narrow" w:cs="Calibri"/>
                <w:b/>
                <w:bCs/>
                <w:color w:val="000000"/>
                <w:sz w:val="20"/>
                <w:szCs w:val="20"/>
              </w:rPr>
            </w:pPr>
            <w:r>
              <w:rPr>
                <w:rFonts w:ascii="Arial Narrow" w:hAnsi="Arial Narrow" w:cs="Calibri"/>
                <w:b/>
                <w:bCs/>
                <w:color w:val="000000"/>
                <w:sz w:val="20"/>
                <w:szCs w:val="20"/>
              </w:rPr>
              <w:t>Dates</w:t>
            </w:r>
          </w:p>
        </w:tc>
        <w:tc>
          <w:tcPr>
            <w:tcW w:w="1102" w:type="dxa"/>
            <w:shd w:val="clear" w:color="auto" w:fill="D9D9D9" w:themeFill="background1" w:themeFillShade="D9"/>
            <w:vAlign w:val="center"/>
          </w:tcPr>
          <w:p w14:paraId="08E0E68C" w14:textId="0BCC79B6" w:rsidR="00913B96" w:rsidRDefault="00913B96" w:rsidP="00CD6528">
            <w:pPr>
              <w:autoSpaceDE w:val="0"/>
              <w:autoSpaceDN w:val="0"/>
              <w:adjustRightInd w:val="0"/>
              <w:jc w:val="center"/>
              <w:rPr>
                <w:rFonts w:ascii="Arial Narrow" w:hAnsi="Arial Narrow" w:cs="Calibri"/>
                <w:b/>
                <w:bCs/>
                <w:color w:val="000000"/>
                <w:sz w:val="20"/>
                <w:szCs w:val="20"/>
              </w:rPr>
            </w:pPr>
            <w:r>
              <w:rPr>
                <w:rFonts w:ascii="Arial Narrow" w:hAnsi="Arial Narrow" w:cs="Calibri"/>
                <w:b/>
                <w:bCs/>
                <w:color w:val="000000"/>
                <w:sz w:val="20"/>
                <w:szCs w:val="20"/>
              </w:rPr>
              <w:t>Average GenX</w:t>
            </w:r>
            <w:r w:rsidR="000477C0" w:rsidRPr="000477C0">
              <w:rPr>
                <w:rFonts w:ascii="Arial Narrow" w:hAnsi="Arial Narrow" w:cs="Calibri"/>
                <w:b/>
                <w:bCs/>
                <w:color w:val="000000"/>
                <w:sz w:val="20"/>
                <w:szCs w:val="20"/>
                <w:vertAlign w:val="superscript"/>
              </w:rPr>
              <w:t>1</w:t>
            </w:r>
            <w:r>
              <w:rPr>
                <w:rFonts w:ascii="Arial Narrow" w:hAnsi="Arial Narrow" w:cs="Calibri"/>
                <w:b/>
                <w:bCs/>
                <w:color w:val="000000"/>
                <w:sz w:val="20"/>
                <w:szCs w:val="20"/>
              </w:rPr>
              <w:t xml:space="preserve"> Conc. (ng/L)</w:t>
            </w:r>
          </w:p>
        </w:tc>
        <w:tc>
          <w:tcPr>
            <w:tcW w:w="1103" w:type="dxa"/>
            <w:shd w:val="clear" w:color="auto" w:fill="D9D9D9" w:themeFill="background1" w:themeFillShade="D9"/>
            <w:vAlign w:val="center"/>
          </w:tcPr>
          <w:p w14:paraId="36F94960" w14:textId="3E65E29B" w:rsidR="00913B96" w:rsidRDefault="00913B96" w:rsidP="00CD6528">
            <w:pPr>
              <w:autoSpaceDE w:val="0"/>
              <w:autoSpaceDN w:val="0"/>
              <w:adjustRightInd w:val="0"/>
              <w:jc w:val="center"/>
              <w:rPr>
                <w:rFonts w:ascii="Arial Narrow" w:hAnsi="Arial Narrow" w:cs="Calibri"/>
                <w:b/>
                <w:bCs/>
                <w:color w:val="000000"/>
                <w:sz w:val="20"/>
                <w:szCs w:val="20"/>
              </w:rPr>
            </w:pPr>
            <w:r>
              <w:rPr>
                <w:rFonts w:ascii="Arial Narrow" w:hAnsi="Arial Narrow" w:cs="Calibri"/>
                <w:b/>
                <w:bCs/>
                <w:color w:val="000000"/>
                <w:sz w:val="20"/>
                <w:szCs w:val="20"/>
              </w:rPr>
              <w:t>Average PFOA</w:t>
            </w:r>
            <w:r w:rsidR="000477C0" w:rsidRPr="000477C0">
              <w:rPr>
                <w:rFonts w:ascii="Arial Narrow" w:hAnsi="Arial Narrow" w:cs="Calibri"/>
                <w:b/>
                <w:bCs/>
                <w:color w:val="000000"/>
                <w:sz w:val="20"/>
                <w:szCs w:val="20"/>
                <w:vertAlign w:val="superscript"/>
              </w:rPr>
              <w:t>2</w:t>
            </w:r>
            <w:r>
              <w:rPr>
                <w:rFonts w:ascii="Arial Narrow" w:hAnsi="Arial Narrow" w:cs="Calibri"/>
                <w:b/>
                <w:bCs/>
                <w:color w:val="000000"/>
                <w:sz w:val="20"/>
                <w:szCs w:val="20"/>
              </w:rPr>
              <w:t xml:space="preserve"> Conc. (ng/L)</w:t>
            </w:r>
          </w:p>
        </w:tc>
        <w:tc>
          <w:tcPr>
            <w:tcW w:w="1035" w:type="dxa"/>
            <w:shd w:val="clear" w:color="auto" w:fill="D9D9D9" w:themeFill="background1" w:themeFillShade="D9"/>
            <w:vAlign w:val="center"/>
          </w:tcPr>
          <w:p w14:paraId="1480AA6A" w14:textId="65B32395" w:rsidR="00913B96" w:rsidRDefault="00913B96" w:rsidP="00CD6528">
            <w:pPr>
              <w:autoSpaceDE w:val="0"/>
              <w:autoSpaceDN w:val="0"/>
              <w:adjustRightInd w:val="0"/>
              <w:jc w:val="center"/>
              <w:rPr>
                <w:rFonts w:ascii="Arial Narrow" w:hAnsi="Arial Narrow" w:cs="Calibri"/>
                <w:b/>
                <w:bCs/>
                <w:color w:val="000000"/>
                <w:sz w:val="20"/>
                <w:szCs w:val="20"/>
              </w:rPr>
            </w:pPr>
            <w:r>
              <w:rPr>
                <w:rFonts w:ascii="Arial Narrow" w:hAnsi="Arial Narrow" w:cs="Calibri"/>
                <w:b/>
                <w:bCs/>
                <w:color w:val="000000"/>
                <w:sz w:val="20"/>
                <w:szCs w:val="20"/>
              </w:rPr>
              <w:t>Average PFOS</w:t>
            </w:r>
            <w:r w:rsidR="000477C0" w:rsidRPr="000477C0">
              <w:rPr>
                <w:rFonts w:ascii="Arial Narrow" w:hAnsi="Arial Narrow" w:cs="Calibri"/>
                <w:b/>
                <w:bCs/>
                <w:color w:val="000000"/>
                <w:sz w:val="20"/>
                <w:szCs w:val="20"/>
                <w:vertAlign w:val="superscript"/>
              </w:rPr>
              <w:t>3</w:t>
            </w:r>
            <w:r>
              <w:rPr>
                <w:rFonts w:ascii="Arial Narrow" w:hAnsi="Arial Narrow" w:cs="Calibri"/>
                <w:b/>
                <w:bCs/>
                <w:color w:val="000000"/>
                <w:sz w:val="20"/>
                <w:szCs w:val="20"/>
              </w:rPr>
              <w:t xml:space="preserve"> Conc. (ng/L)</w:t>
            </w:r>
          </w:p>
        </w:tc>
        <w:tc>
          <w:tcPr>
            <w:tcW w:w="1170" w:type="dxa"/>
            <w:shd w:val="clear" w:color="auto" w:fill="D9D9D9" w:themeFill="background1" w:themeFillShade="D9"/>
            <w:vAlign w:val="center"/>
          </w:tcPr>
          <w:p w14:paraId="27166360" w14:textId="2468EBB7" w:rsidR="00913B96" w:rsidRDefault="00913B96" w:rsidP="00CD6528">
            <w:pPr>
              <w:autoSpaceDE w:val="0"/>
              <w:autoSpaceDN w:val="0"/>
              <w:adjustRightInd w:val="0"/>
              <w:jc w:val="center"/>
              <w:rPr>
                <w:rFonts w:ascii="Arial Narrow" w:hAnsi="Arial Narrow" w:cs="Calibri"/>
                <w:b/>
                <w:bCs/>
                <w:color w:val="000000"/>
                <w:sz w:val="20"/>
                <w:szCs w:val="20"/>
              </w:rPr>
            </w:pPr>
            <w:r>
              <w:rPr>
                <w:rFonts w:ascii="Arial Narrow" w:hAnsi="Arial Narrow" w:cs="Calibri"/>
                <w:b/>
                <w:bCs/>
                <w:color w:val="000000"/>
                <w:sz w:val="20"/>
                <w:szCs w:val="20"/>
              </w:rPr>
              <w:t>Average Total PFAS</w:t>
            </w:r>
            <w:r w:rsidR="000477C0" w:rsidRPr="000477C0">
              <w:rPr>
                <w:rFonts w:ascii="Arial Narrow" w:hAnsi="Arial Narrow" w:cs="Calibri"/>
                <w:b/>
                <w:bCs/>
                <w:color w:val="000000"/>
                <w:sz w:val="20"/>
                <w:szCs w:val="20"/>
                <w:vertAlign w:val="superscript"/>
              </w:rPr>
              <w:t>4</w:t>
            </w:r>
            <w:r>
              <w:rPr>
                <w:rFonts w:ascii="Arial Narrow" w:hAnsi="Arial Narrow" w:cs="Calibri"/>
                <w:b/>
                <w:bCs/>
                <w:color w:val="000000"/>
                <w:sz w:val="20"/>
                <w:szCs w:val="20"/>
              </w:rPr>
              <w:t xml:space="preserve"> Conc. (ng/L)</w:t>
            </w:r>
          </w:p>
        </w:tc>
      </w:tr>
      <w:tr w:rsidR="00913B96" w:rsidRPr="00C9297B" w14:paraId="60A1317C" w14:textId="77777777" w:rsidTr="000477C0">
        <w:trPr>
          <w:trHeight w:val="290"/>
        </w:trPr>
        <w:tc>
          <w:tcPr>
            <w:tcW w:w="1174" w:type="dxa"/>
            <w:tcBorders>
              <w:bottom w:val="nil"/>
            </w:tcBorders>
            <w:vAlign w:val="center"/>
          </w:tcPr>
          <w:p w14:paraId="385E0469" w14:textId="3DA6879B" w:rsidR="00913B96" w:rsidRPr="00913B96" w:rsidRDefault="00913B96" w:rsidP="00CD6528">
            <w:pPr>
              <w:autoSpaceDE w:val="0"/>
              <w:autoSpaceDN w:val="0"/>
              <w:adjustRightInd w:val="0"/>
              <w:jc w:val="center"/>
              <w:rPr>
                <w:rFonts w:ascii="Arial Narrow" w:hAnsi="Arial Narrow" w:cs="Calibri"/>
                <w:color w:val="000000"/>
                <w:sz w:val="20"/>
                <w:szCs w:val="20"/>
              </w:rPr>
            </w:pPr>
            <w:r w:rsidRPr="00913B96">
              <w:rPr>
                <w:rFonts w:ascii="Arial Narrow" w:hAnsi="Arial Narrow" w:cs="Calibri"/>
                <w:color w:val="000000"/>
                <w:sz w:val="20"/>
                <w:szCs w:val="20"/>
              </w:rPr>
              <w:t>North Fork Roanoke River</w:t>
            </w:r>
          </w:p>
        </w:tc>
        <w:tc>
          <w:tcPr>
            <w:tcW w:w="1289" w:type="dxa"/>
            <w:vAlign w:val="center"/>
          </w:tcPr>
          <w:p w14:paraId="09DC129B" w14:textId="63BC100B" w:rsidR="00913B96" w:rsidRPr="00913B96" w:rsidRDefault="00913B96" w:rsidP="00CD6528">
            <w:pPr>
              <w:autoSpaceDE w:val="0"/>
              <w:autoSpaceDN w:val="0"/>
              <w:adjustRightInd w:val="0"/>
              <w:jc w:val="center"/>
              <w:rPr>
                <w:rFonts w:ascii="Arial Narrow" w:hAnsi="Arial Narrow" w:cs="Arial"/>
                <w:sz w:val="20"/>
                <w:szCs w:val="20"/>
              </w:rPr>
            </w:pPr>
            <w:r w:rsidRPr="00913B96">
              <w:rPr>
                <w:rFonts w:ascii="Arial Narrow" w:hAnsi="Arial Narrow" w:cs="Calibri"/>
                <w:color w:val="000000"/>
                <w:sz w:val="20"/>
                <w:szCs w:val="20"/>
              </w:rPr>
              <w:t>4ARNF013.66</w:t>
            </w:r>
          </w:p>
        </w:tc>
        <w:tc>
          <w:tcPr>
            <w:tcW w:w="900" w:type="dxa"/>
            <w:vAlign w:val="center"/>
          </w:tcPr>
          <w:p w14:paraId="5AC26B58" w14:textId="32275857" w:rsidR="00913B96" w:rsidRPr="00913B96" w:rsidRDefault="00913B96" w:rsidP="00CD6528">
            <w:pPr>
              <w:autoSpaceDE w:val="0"/>
              <w:autoSpaceDN w:val="0"/>
              <w:adjustRightInd w:val="0"/>
              <w:jc w:val="center"/>
              <w:rPr>
                <w:rFonts w:ascii="Arial Narrow" w:hAnsi="Arial Narrow" w:cs="Calibri"/>
                <w:color w:val="000000"/>
                <w:sz w:val="20"/>
                <w:szCs w:val="20"/>
              </w:rPr>
            </w:pPr>
            <w:r w:rsidRPr="00913B96">
              <w:rPr>
                <w:rFonts w:ascii="Arial Narrow" w:hAnsi="Arial Narrow" w:cs="Calibri"/>
                <w:color w:val="000000"/>
                <w:sz w:val="20"/>
                <w:szCs w:val="20"/>
              </w:rPr>
              <w:t>2</w:t>
            </w:r>
          </w:p>
        </w:tc>
        <w:tc>
          <w:tcPr>
            <w:tcW w:w="1620" w:type="dxa"/>
            <w:vAlign w:val="center"/>
          </w:tcPr>
          <w:p w14:paraId="3AFE441B" w14:textId="2A74C56B" w:rsidR="00913B96" w:rsidRPr="00913B96" w:rsidRDefault="00913B96" w:rsidP="00CD6528">
            <w:pPr>
              <w:autoSpaceDE w:val="0"/>
              <w:autoSpaceDN w:val="0"/>
              <w:adjustRightInd w:val="0"/>
              <w:jc w:val="center"/>
              <w:rPr>
                <w:rFonts w:ascii="Arial Narrow" w:hAnsi="Arial Narrow" w:cs="Calibri"/>
                <w:color w:val="000000"/>
                <w:sz w:val="20"/>
                <w:szCs w:val="20"/>
              </w:rPr>
            </w:pPr>
            <w:r w:rsidRPr="00913B96">
              <w:rPr>
                <w:rFonts w:ascii="Arial Narrow" w:hAnsi="Arial Narrow" w:cs="Calibri"/>
                <w:color w:val="000000"/>
                <w:sz w:val="20"/>
                <w:szCs w:val="20"/>
              </w:rPr>
              <w:t>2/27/23 - 4/26/23</w:t>
            </w:r>
          </w:p>
        </w:tc>
        <w:tc>
          <w:tcPr>
            <w:tcW w:w="1102" w:type="dxa"/>
            <w:vAlign w:val="center"/>
          </w:tcPr>
          <w:p w14:paraId="6F9D0128" w14:textId="745A17C8" w:rsidR="00913B96" w:rsidRPr="00913B96" w:rsidRDefault="000477C0" w:rsidP="00CD6528">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n</w:t>
            </w:r>
            <w:r w:rsidR="00913B96">
              <w:rPr>
                <w:rFonts w:ascii="Arial Narrow" w:hAnsi="Arial Narrow" w:cs="Calibri"/>
                <w:color w:val="000000"/>
                <w:sz w:val="20"/>
                <w:szCs w:val="20"/>
              </w:rPr>
              <w:t>d</w:t>
            </w:r>
            <w:r>
              <w:rPr>
                <w:rFonts w:ascii="Arial Narrow" w:hAnsi="Arial Narrow" w:cs="Calibri"/>
                <w:color w:val="000000"/>
                <w:sz w:val="20"/>
                <w:szCs w:val="20"/>
                <w:vertAlign w:val="superscript"/>
              </w:rPr>
              <w:t>5</w:t>
            </w:r>
          </w:p>
        </w:tc>
        <w:tc>
          <w:tcPr>
            <w:tcW w:w="1103" w:type="dxa"/>
            <w:vAlign w:val="center"/>
          </w:tcPr>
          <w:p w14:paraId="5479A06E" w14:textId="63387936" w:rsidR="00913B96" w:rsidRPr="00913B96" w:rsidRDefault="00913B96" w:rsidP="00CD6528">
            <w:pPr>
              <w:autoSpaceDE w:val="0"/>
              <w:autoSpaceDN w:val="0"/>
              <w:adjustRightInd w:val="0"/>
              <w:jc w:val="center"/>
              <w:rPr>
                <w:rFonts w:ascii="Arial Narrow" w:hAnsi="Arial Narrow" w:cs="Calibri"/>
                <w:color w:val="000000"/>
                <w:sz w:val="20"/>
                <w:szCs w:val="20"/>
              </w:rPr>
            </w:pPr>
            <w:r w:rsidRPr="00913B96">
              <w:rPr>
                <w:rFonts w:ascii="Arial Narrow" w:hAnsi="Arial Narrow" w:cs="Calibri"/>
                <w:color w:val="000000"/>
                <w:sz w:val="20"/>
                <w:szCs w:val="20"/>
              </w:rPr>
              <w:t>0.2</w:t>
            </w:r>
          </w:p>
        </w:tc>
        <w:tc>
          <w:tcPr>
            <w:tcW w:w="1035" w:type="dxa"/>
            <w:vAlign w:val="center"/>
          </w:tcPr>
          <w:p w14:paraId="3F1B5E49" w14:textId="36732B7A" w:rsidR="00913B96" w:rsidRPr="00913B96" w:rsidRDefault="00913B96" w:rsidP="00CD6528">
            <w:pPr>
              <w:autoSpaceDE w:val="0"/>
              <w:autoSpaceDN w:val="0"/>
              <w:adjustRightInd w:val="0"/>
              <w:jc w:val="center"/>
              <w:rPr>
                <w:rFonts w:ascii="Arial Narrow" w:hAnsi="Arial Narrow" w:cs="Calibri"/>
                <w:color w:val="000000"/>
                <w:sz w:val="20"/>
                <w:szCs w:val="20"/>
              </w:rPr>
            </w:pPr>
            <w:proofErr w:type="spellStart"/>
            <w:r>
              <w:rPr>
                <w:rFonts w:ascii="Arial Narrow" w:hAnsi="Arial Narrow" w:cs="Calibri"/>
                <w:color w:val="000000"/>
                <w:sz w:val="20"/>
                <w:szCs w:val="20"/>
              </w:rPr>
              <w:t>nd</w:t>
            </w:r>
            <w:proofErr w:type="spellEnd"/>
          </w:p>
        </w:tc>
        <w:tc>
          <w:tcPr>
            <w:tcW w:w="1170" w:type="dxa"/>
            <w:shd w:val="clear" w:color="auto" w:fill="auto"/>
            <w:vAlign w:val="center"/>
          </w:tcPr>
          <w:p w14:paraId="0CBD98F2" w14:textId="43EE68F8" w:rsidR="00913B96" w:rsidRPr="00913B96" w:rsidRDefault="00913B96" w:rsidP="00CD6528">
            <w:pPr>
              <w:autoSpaceDE w:val="0"/>
              <w:autoSpaceDN w:val="0"/>
              <w:adjustRightInd w:val="0"/>
              <w:jc w:val="center"/>
              <w:rPr>
                <w:rFonts w:ascii="Arial Narrow" w:hAnsi="Arial Narrow" w:cs="Calibri"/>
                <w:color w:val="000000"/>
                <w:sz w:val="20"/>
                <w:szCs w:val="20"/>
              </w:rPr>
            </w:pPr>
            <w:r w:rsidRPr="00913B96">
              <w:rPr>
                <w:rFonts w:ascii="Arial Narrow" w:hAnsi="Arial Narrow" w:cs="Calibri"/>
                <w:color w:val="000000"/>
                <w:sz w:val="20"/>
                <w:szCs w:val="20"/>
              </w:rPr>
              <w:t>2.8</w:t>
            </w:r>
          </w:p>
        </w:tc>
      </w:tr>
      <w:tr w:rsidR="00913B96" w:rsidRPr="00C9297B" w14:paraId="707FD674" w14:textId="77777777" w:rsidTr="000477C0">
        <w:trPr>
          <w:trHeight w:val="290"/>
        </w:trPr>
        <w:tc>
          <w:tcPr>
            <w:tcW w:w="1174" w:type="dxa"/>
            <w:tcBorders>
              <w:top w:val="nil"/>
              <w:bottom w:val="nil"/>
            </w:tcBorders>
            <w:vAlign w:val="center"/>
          </w:tcPr>
          <w:p w14:paraId="22F45D62" w14:textId="2C3DC471" w:rsidR="00913B96" w:rsidRPr="00913B96" w:rsidRDefault="00913B96" w:rsidP="00CD6528">
            <w:pPr>
              <w:autoSpaceDE w:val="0"/>
              <w:autoSpaceDN w:val="0"/>
              <w:adjustRightInd w:val="0"/>
              <w:jc w:val="center"/>
              <w:rPr>
                <w:rFonts w:ascii="Arial Narrow" w:hAnsi="Arial Narrow" w:cs="Calibri"/>
                <w:color w:val="000000"/>
                <w:sz w:val="20"/>
                <w:szCs w:val="20"/>
              </w:rPr>
            </w:pPr>
          </w:p>
        </w:tc>
        <w:tc>
          <w:tcPr>
            <w:tcW w:w="1289" w:type="dxa"/>
            <w:vAlign w:val="center"/>
          </w:tcPr>
          <w:p w14:paraId="13AF2B55" w14:textId="70B8C175" w:rsidR="00913B96" w:rsidRPr="00913B96" w:rsidRDefault="00913B96" w:rsidP="00CD6528">
            <w:pPr>
              <w:autoSpaceDE w:val="0"/>
              <w:autoSpaceDN w:val="0"/>
              <w:adjustRightInd w:val="0"/>
              <w:jc w:val="center"/>
              <w:rPr>
                <w:rFonts w:ascii="Arial Narrow" w:hAnsi="Arial Narrow" w:cs="Arial"/>
                <w:sz w:val="20"/>
                <w:szCs w:val="20"/>
              </w:rPr>
            </w:pPr>
            <w:r w:rsidRPr="00913B96">
              <w:rPr>
                <w:rFonts w:ascii="Arial Narrow" w:hAnsi="Arial Narrow" w:cs="Calibri"/>
                <w:color w:val="000000"/>
                <w:sz w:val="20"/>
                <w:szCs w:val="20"/>
              </w:rPr>
              <w:t>4ARNF002.97</w:t>
            </w:r>
          </w:p>
        </w:tc>
        <w:tc>
          <w:tcPr>
            <w:tcW w:w="900" w:type="dxa"/>
            <w:vAlign w:val="center"/>
          </w:tcPr>
          <w:p w14:paraId="421E0E3B" w14:textId="6260D4EB" w:rsidR="00913B96" w:rsidRPr="00913B96" w:rsidRDefault="00913B96" w:rsidP="00CD6528">
            <w:pPr>
              <w:autoSpaceDE w:val="0"/>
              <w:autoSpaceDN w:val="0"/>
              <w:adjustRightInd w:val="0"/>
              <w:jc w:val="center"/>
              <w:rPr>
                <w:rFonts w:ascii="Arial Narrow" w:hAnsi="Arial Narrow" w:cs="Arial Narrow"/>
                <w:color w:val="000000"/>
                <w:sz w:val="20"/>
                <w:szCs w:val="20"/>
              </w:rPr>
            </w:pPr>
            <w:r w:rsidRPr="00913B96">
              <w:rPr>
                <w:rFonts w:ascii="Arial Narrow" w:hAnsi="Arial Narrow" w:cs="Calibri"/>
                <w:color w:val="000000"/>
                <w:sz w:val="20"/>
                <w:szCs w:val="20"/>
              </w:rPr>
              <w:t>3</w:t>
            </w:r>
          </w:p>
        </w:tc>
        <w:tc>
          <w:tcPr>
            <w:tcW w:w="1620" w:type="dxa"/>
            <w:vAlign w:val="center"/>
          </w:tcPr>
          <w:p w14:paraId="34BA2E09" w14:textId="37D522B3" w:rsidR="00913B96" w:rsidRPr="00913B96" w:rsidRDefault="00913B96" w:rsidP="00CD6528">
            <w:pPr>
              <w:autoSpaceDE w:val="0"/>
              <w:autoSpaceDN w:val="0"/>
              <w:adjustRightInd w:val="0"/>
              <w:jc w:val="center"/>
              <w:rPr>
                <w:rFonts w:ascii="Arial Narrow" w:hAnsi="Arial Narrow" w:cs="Calibri"/>
                <w:color w:val="000000"/>
                <w:sz w:val="20"/>
                <w:szCs w:val="20"/>
              </w:rPr>
            </w:pPr>
            <w:r w:rsidRPr="00913B96">
              <w:rPr>
                <w:rFonts w:ascii="Arial Narrow" w:hAnsi="Arial Narrow" w:cs="Calibri"/>
                <w:color w:val="000000"/>
                <w:sz w:val="20"/>
                <w:szCs w:val="20"/>
              </w:rPr>
              <w:t>2/23/23 - 6/20/23</w:t>
            </w:r>
          </w:p>
        </w:tc>
        <w:tc>
          <w:tcPr>
            <w:tcW w:w="1102" w:type="dxa"/>
            <w:vAlign w:val="center"/>
          </w:tcPr>
          <w:p w14:paraId="1614C9AC" w14:textId="0A6AFE75" w:rsidR="00913B96" w:rsidRPr="00913B96" w:rsidRDefault="00913B96" w:rsidP="00CD6528">
            <w:pPr>
              <w:autoSpaceDE w:val="0"/>
              <w:autoSpaceDN w:val="0"/>
              <w:adjustRightInd w:val="0"/>
              <w:jc w:val="center"/>
              <w:rPr>
                <w:rFonts w:ascii="Arial Narrow" w:hAnsi="Arial Narrow" w:cs="Arial Narrow"/>
                <w:color w:val="000000"/>
                <w:sz w:val="20"/>
                <w:szCs w:val="20"/>
              </w:rPr>
            </w:pPr>
            <w:proofErr w:type="spellStart"/>
            <w:r>
              <w:rPr>
                <w:rFonts w:ascii="Arial Narrow" w:hAnsi="Arial Narrow" w:cs="Calibri"/>
                <w:color w:val="000000"/>
                <w:sz w:val="20"/>
                <w:szCs w:val="20"/>
              </w:rPr>
              <w:t>nd</w:t>
            </w:r>
            <w:proofErr w:type="spellEnd"/>
          </w:p>
        </w:tc>
        <w:tc>
          <w:tcPr>
            <w:tcW w:w="1103" w:type="dxa"/>
            <w:vAlign w:val="center"/>
          </w:tcPr>
          <w:p w14:paraId="4CD0F980" w14:textId="60FC2A28" w:rsidR="00913B96" w:rsidRPr="00913B96" w:rsidRDefault="00913B96" w:rsidP="00CD6528">
            <w:pPr>
              <w:autoSpaceDE w:val="0"/>
              <w:autoSpaceDN w:val="0"/>
              <w:adjustRightInd w:val="0"/>
              <w:jc w:val="center"/>
              <w:rPr>
                <w:rFonts w:ascii="Arial Narrow" w:hAnsi="Arial Narrow" w:cs="Calibri"/>
                <w:color w:val="000000"/>
                <w:sz w:val="20"/>
                <w:szCs w:val="20"/>
              </w:rPr>
            </w:pPr>
            <w:proofErr w:type="spellStart"/>
            <w:r>
              <w:rPr>
                <w:rFonts w:ascii="Arial Narrow" w:hAnsi="Arial Narrow" w:cs="Calibri"/>
                <w:color w:val="000000"/>
                <w:sz w:val="20"/>
                <w:szCs w:val="20"/>
              </w:rPr>
              <w:t>nd</w:t>
            </w:r>
            <w:proofErr w:type="spellEnd"/>
          </w:p>
        </w:tc>
        <w:tc>
          <w:tcPr>
            <w:tcW w:w="1035" w:type="dxa"/>
            <w:vAlign w:val="center"/>
          </w:tcPr>
          <w:p w14:paraId="5BE8DEC0" w14:textId="6691E2B2" w:rsidR="00913B96" w:rsidRPr="00913B96" w:rsidRDefault="00913B96" w:rsidP="00CD6528">
            <w:pPr>
              <w:autoSpaceDE w:val="0"/>
              <w:autoSpaceDN w:val="0"/>
              <w:adjustRightInd w:val="0"/>
              <w:jc w:val="center"/>
              <w:rPr>
                <w:rFonts w:ascii="Arial Narrow" w:hAnsi="Arial Narrow" w:cs="Calibri"/>
                <w:color w:val="000000"/>
                <w:sz w:val="20"/>
                <w:szCs w:val="20"/>
              </w:rPr>
            </w:pPr>
            <w:proofErr w:type="spellStart"/>
            <w:r>
              <w:rPr>
                <w:rFonts w:ascii="Arial Narrow" w:hAnsi="Arial Narrow" w:cs="Calibri"/>
                <w:color w:val="000000"/>
                <w:sz w:val="20"/>
                <w:szCs w:val="20"/>
              </w:rPr>
              <w:t>nd</w:t>
            </w:r>
            <w:proofErr w:type="spellEnd"/>
          </w:p>
        </w:tc>
        <w:tc>
          <w:tcPr>
            <w:tcW w:w="1170" w:type="dxa"/>
            <w:shd w:val="clear" w:color="auto" w:fill="auto"/>
            <w:vAlign w:val="center"/>
          </w:tcPr>
          <w:p w14:paraId="574AED56" w14:textId="58831678" w:rsidR="00913B96" w:rsidRPr="00913B96" w:rsidRDefault="00913B96" w:rsidP="00CD6528">
            <w:pPr>
              <w:autoSpaceDE w:val="0"/>
              <w:autoSpaceDN w:val="0"/>
              <w:adjustRightInd w:val="0"/>
              <w:jc w:val="center"/>
              <w:rPr>
                <w:rFonts w:ascii="Arial Narrow" w:hAnsi="Arial Narrow" w:cs="Calibri"/>
                <w:color w:val="000000"/>
                <w:sz w:val="20"/>
                <w:szCs w:val="20"/>
              </w:rPr>
            </w:pPr>
            <w:r w:rsidRPr="00913B96">
              <w:rPr>
                <w:rFonts w:ascii="Arial Narrow" w:hAnsi="Arial Narrow" w:cs="Calibri"/>
                <w:color w:val="000000"/>
                <w:sz w:val="20"/>
                <w:szCs w:val="20"/>
              </w:rPr>
              <w:t>4.4</w:t>
            </w:r>
          </w:p>
        </w:tc>
      </w:tr>
      <w:tr w:rsidR="00913B96" w:rsidRPr="00C9297B" w14:paraId="3552B305" w14:textId="77777777" w:rsidTr="000477C0">
        <w:trPr>
          <w:trHeight w:val="290"/>
        </w:trPr>
        <w:tc>
          <w:tcPr>
            <w:tcW w:w="1174" w:type="dxa"/>
            <w:tcBorders>
              <w:top w:val="nil"/>
              <w:bottom w:val="single" w:sz="4" w:space="0" w:color="auto"/>
            </w:tcBorders>
            <w:vAlign w:val="center"/>
          </w:tcPr>
          <w:p w14:paraId="735314A7" w14:textId="77777777" w:rsidR="00913B96" w:rsidRPr="00913B96" w:rsidRDefault="00913B96" w:rsidP="00CD6528">
            <w:pPr>
              <w:autoSpaceDE w:val="0"/>
              <w:autoSpaceDN w:val="0"/>
              <w:adjustRightInd w:val="0"/>
              <w:jc w:val="center"/>
              <w:rPr>
                <w:rFonts w:ascii="Arial Narrow" w:hAnsi="Arial Narrow" w:cs="Arial Narrow"/>
                <w:color w:val="000000"/>
                <w:sz w:val="20"/>
                <w:szCs w:val="20"/>
              </w:rPr>
            </w:pPr>
          </w:p>
        </w:tc>
        <w:tc>
          <w:tcPr>
            <w:tcW w:w="1289" w:type="dxa"/>
            <w:vAlign w:val="center"/>
          </w:tcPr>
          <w:p w14:paraId="554C35E4" w14:textId="3801EABC" w:rsidR="00913B96" w:rsidRPr="00913B96" w:rsidRDefault="00913B96" w:rsidP="00CD6528">
            <w:pPr>
              <w:autoSpaceDE w:val="0"/>
              <w:autoSpaceDN w:val="0"/>
              <w:adjustRightInd w:val="0"/>
              <w:jc w:val="center"/>
              <w:rPr>
                <w:rFonts w:ascii="Arial Narrow" w:hAnsi="Arial Narrow" w:cs="Arial"/>
                <w:sz w:val="20"/>
                <w:szCs w:val="20"/>
              </w:rPr>
            </w:pPr>
            <w:r w:rsidRPr="00913B96">
              <w:rPr>
                <w:rFonts w:ascii="Arial Narrow" w:hAnsi="Arial Narrow" w:cs="Calibri"/>
                <w:color w:val="000000"/>
                <w:sz w:val="20"/>
                <w:szCs w:val="20"/>
              </w:rPr>
              <w:t>4ARNF000.04</w:t>
            </w:r>
          </w:p>
        </w:tc>
        <w:tc>
          <w:tcPr>
            <w:tcW w:w="900" w:type="dxa"/>
            <w:vAlign w:val="center"/>
          </w:tcPr>
          <w:p w14:paraId="67BC42F8" w14:textId="0AB82607" w:rsidR="00913B96" w:rsidRPr="00913B96" w:rsidRDefault="00913B96" w:rsidP="00CD6528">
            <w:pPr>
              <w:autoSpaceDE w:val="0"/>
              <w:autoSpaceDN w:val="0"/>
              <w:adjustRightInd w:val="0"/>
              <w:jc w:val="center"/>
              <w:rPr>
                <w:rFonts w:ascii="Arial Narrow" w:hAnsi="Arial Narrow" w:cs="Arial Narrow"/>
                <w:color w:val="000000"/>
                <w:sz w:val="20"/>
                <w:szCs w:val="20"/>
              </w:rPr>
            </w:pPr>
            <w:r w:rsidRPr="00913B96">
              <w:rPr>
                <w:rFonts w:ascii="Arial Narrow" w:hAnsi="Arial Narrow" w:cs="Calibri"/>
                <w:color w:val="000000"/>
                <w:sz w:val="20"/>
                <w:szCs w:val="20"/>
              </w:rPr>
              <w:t>7</w:t>
            </w:r>
          </w:p>
        </w:tc>
        <w:tc>
          <w:tcPr>
            <w:tcW w:w="1620" w:type="dxa"/>
            <w:vAlign w:val="center"/>
          </w:tcPr>
          <w:p w14:paraId="33A84E9C" w14:textId="559783D4" w:rsidR="00913B96" w:rsidRPr="00913B96" w:rsidRDefault="00913B96" w:rsidP="00CD6528">
            <w:pPr>
              <w:autoSpaceDE w:val="0"/>
              <w:autoSpaceDN w:val="0"/>
              <w:adjustRightInd w:val="0"/>
              <w:jc w:val="center"/>
              <w:rPr>
                <w:rFonts w:ascii="Arial Narrow" w:hAnsi="Arial Narrow" w:cs="Calibri"/>
                <w:color w:val="000000"/>
                <w:sz w:val="20"/>
                <w:szCs w:val="20"/>
              </w:rPr>
            </w:pPr>
            <w:r w:rsidRPr="00913B96">
              <w:rPr>
                <w:rFonts w:ascii="Arial Narrow" w:hAnsi="Arial Narrow" w:cs="Calibri"/>
                <w:color w:val="000000"/>
                <w:sz w:val="20"/>
                <w:szCs w:val="20"/>
              </w:rPr>
              <w:t>11/4/22 - 6/20/23</w:t>
            </w:r>
          </w:p>
        </w:tc>
        <w:tc>
          <w:tcPr>
            <w:tcW w:w="1102" w:type="dxa"/>
            <w:vAlign w:val="center"/>
          </w:tcPr>
          <w:p w14:paraId="3C620773" w14:textId="21E42FEC" w:rsidR="00913B96" w:rsidRPr="00913B96" w:rsidRDefault="00913B96" w:rsidP="00CD6528">
            <w:pPr>
              <w:autoSpaceDE w:val="0"/>
              <w:autoSpaceDN w:val="0"/>
              <w:adjustRightInd w:val="0"/>
              <w:jc w:val="center"/>
              <w:rPr>
                <w:rFonts w:ascii="Arial Narrow" w:hAnsi="Arial Narrow" w:cs="Arial Narrow"/>
                <w:color w:val="000000"/>
                <w:sz w:val="20"/>
                <w:szCs w:val="20"/>
              </w:rPr>
            </w:pPr>
            <w:proofErr w:type="spellStart"/>
            <w:r>
              <w:rPr>
                <w:rFonts w:ascii="Arial Narrow" w:hAnsi="Arial Narrow" w:cs="Calibri"/>
                <w:color w:val="000000"/>
                <w:sz w:val="20"/>
                <w:szCs w:val="20"/>
              </w:rPr>
              <w:t>nd</w:t>
            </w:r>
            <w:proofErr w:type="spellEnd"/>
          </w:p>
        </w:tc>
        <w:tc>
          <w:tcPr>
            <w:tcW w:w="1103" w:type="dxa"/>
            <w:vAlign w:val="center"/>
          </w:tcPr>
          <w:p w14:paraId="1553EA1A" w14:textId="72AB4E1E" w:rsidR="00913B96" w:rsidRPr="00913B96" w:rsidRDefault="00913B96" w:rsidP="00CD6528">
            <w:pPr>
              <w:autoSpaceDE w:val="0"/>
              <w:autoSpaceDN w:val="0"/>
              <w:adjustRightInd w:val="0"/>
              <w:jc w:val="center"/>
              <w:rPr>
                <w:rFonts w:ascii="Arial Narrow" w:hAnsi="Arial Narrow" w:cs="Calibri"/>
                <w:color w:val="000000"/>
                <w:sz w:val="20"/>
                <w:szCs w:val="20"/>
              </w:rPr>
            </w:pPr>
            <w:r w:rsidRPr="00913B96">
              <w:rPr>
                <w:rFonts w:ascii="Arial Narrow" w:hAnsi="Arial Narrow" w:cs="Calibri"/>
                <w:color w:val="000000"/>
                <w:sz w:val="20"/>
                <w:szCs w:val="20"/>
              </w:rPr>
              <w:t>0.2</w:t>
            </w:r>
          </w:p>
        </w:tc>
        <w:tc>
          <w:tcPr>
            <w:tcW w:w="1035" w:type="dxa"/>
            <w:vAlign w:val="center"/>
          </w:tcPr>
          <w:p w14:paraId="606A2E93" w14:textId="30E0D999" w:rsidR="00913B96" w:rsidRPr="00913B96" w:rsidRDefault="00913B96" w:rsidP="00CD6528">
            <w:pPr>
              <w:autoSpaceDE w:val="0"/>
              <w:autoSpaceDN w:val="0"/>
              <w:adjustRightInd w:val="0"/>
              <w:jc w:val="center"/>
              <w:rPr>
                <w:rFonts w:ascii="Arial Narrow" w:hAnsi="Arial Narrow" w:cs="Calibri"/>
                <w:color w:val="000000"/>
                <w:sz w:val="20"/>
                <w:szCs w:val="20"/>
              </w:rPr>
            </w:pPr>
            <w:r w:rsidRPr="00913B96">
              <w:rPr>
                <w:rFonts w:ascii="Arial Narrow" w:hAnsi="Arial Narrow" w:cs="Calibri"/>
                <w:color w:val="000000"/>
                <w:sz w:val="20"/>
                <w:szCs w:val="20"/>
              </w:rPr>
              <w:t>0.1</w:t>
            </w:r>
          </w:p>
        </w:tc>
        <w:tc>
          <w:tcPr>
            <w:tcW w:w="1170" w:type="dxa"/>
            <w:shd w:val="clear" w:color="auto" w:fill="auto"/>
            <w:vAlign w:val="center"/>
          </w:tcPr>
          <w:p w14:paraId="6C7DE8A3" w14:textId="0C99C19A" w:rsidR="00913B96" w:rsidRPr="00913B96" w:rsidRDefault="00913B96" w:rsidP="00CD6528">
            <w:pPr>
              <w:autoSpaceDE w:val="0"/>
              <w:autoSpaceDN w:val="0"/>
              <w:adjustRightInd w:val="0"/>
              <w:jc w:val="center"/>
              <w:rPr>
                <w:rFonts w:ascii="Arial Narrow" w:hAnsi="Arial Narrow" w:cs="Calibri"/>
                <w:color w:val="000000"/>
                <w:sz w:val="20"/>
                <w:szCs w:val="20"/>
              </w:rPr>
            </w:pPr>
            <w:r w:rsidRPr="00913B96">
              <w:rPr>
                <w:rFonts w:ascii="Arial Narrow" w:hAnsi="Arial Narrow" w:cs="Calibri"/>
                <w:color w:val="000000"/>
                <w:sz w:val="20"/>
                <w:szCs w:val="20"/>
              </w:rPr>
              <w:t>1.7</w:t>
            </w:r>
          </w:p>
        </w:tc>
      </w:tr>
      <w:tr w:rsidR="00913B96" w:rsidRPr="00C9297B" w14:paraId="34A08714" w14:textId="77777777" w:rsidTr="000477C0">
        <w:trPr>
          <w:trHeight w:val="290"/>
        </w:trPr>
        <w:tc>
          <w:tcPr>
            <w:tcW w:w="1174" w:type="dxa"/>
            <w:tcBorders>
              <w:bottom w:val="nil"/>
            </w:tcBorders>
            <w:vAlign w:val="center"/>
          </w:tcPr>
          <w:p w14:paraId="40AA9FC2" w14:textId="01A4EB2B" w:rsidR="00913B96" w:rsidRPr="00913B96" w:rsidRDefault="00913B96" w:rsidP="00CD6528">
            <w:pPr>
              <w:autoSpaceDE w:val="0"/>
              <w:autoSpaceDN w:val="0"/>
              <w:adjustRightInd w:val="0"/>
              <w:jc w:val="center"/>
              <w:rPr>
                <w:rFonts w:ascii="Arial Narrow" w:hAnsi="Arial Narrow" w:cs="Arial"/>
                <w:sz w:val="20"/>
                <w:szCs w:val="20"/>
              </w:rPr>
            </w:pPr>
            <w:r w:rsidRPr="00913B96">
              <w:rPr>
                <w:rFonts w:ascii="Arial Narrow" w:hAnsi="Arial Narrow" w:cs="Calibri"/>
                <w:color w:val="000000"/>
                <w:sz w:val="20"/>
                <w:szCs w:val="20"/>
              </w:rPr>
              <w:t>South Fork Roanoke River</w:t>
            </w:r>
          </w:p>
        </w:tc>
        <w:tc>
          <w:tcPr>
            <w:tcW w:w="1289" w:type="dxa"/>
            <w:vAlign w:val="center"/>
          </w:tcPr>
          <w:p w14:paraId="6CBFA041" w14:textId="2EDE8945" w:rsidR="00913B96" w:rsidRPr="00913B96" w:rsidRDefault="00913B96" w:rsidP="00CD6528">
            <w:pPr>
              <w:autoSpaceDE w:val="0"/>
              <w:autoSpaceDN w:val="0"/>
              <w:adjustRightInd w:val="0"/>
              <w:jc w:val="center"/>
              <w:rPr>
                <w:rFonts w:ascii="Arial Narrow" w:hAnsi="Arial Narrow" w:cs="Arial"/>
                <w:sz w:val="20"/>
                <w:szCs w:val="20"/>
              </w:rPr>
            </w:pPr>
            <w:r w:rsidRPr="00913B96">
              <w:rPr>
                <w:rFonts w:ascii="Arial Narrow" w:hAnsi="Arial Narrow" w:cs="Calibri"/>
                <w:color w:val="000000"/>
                <w:sz w:val="20"/>
                <w:szCs w:val="20"/>
              </w:rPr>
              <w:t>4ARSF003.73</w:t>
            </w:r>
          </w:p>
        </w:tc>
        <w:tc>
          <w:tcPr>
            <w:tcW w:w="900" w:type="dxa"/>
            <w:vAlign w:val="center"/>
          </w:tcPr>
          <w:p w14:paraId="0E73C218" w14:textId="2EB24F76" w:rsidR="00913B96" w:rsidRPr="00913B96" w:rsidRDefault="00913B96" w:rsidP="00CD6528">
            <w:pPr>
              <w:autoSpaceDE w:val="0"/>
              <w:autoSpaceDN w:val="0"/>
              <w:adjustRightInd w:val="0"/>
              <w:jc w:val="center"/>
              <w:rPr>
                <w:rFonts w:ascii="Arial Narrow" w:hAnsi="Arial Narrow" w:cs="Arial"/>
                <w:sz w:val="20"/>
                <w:szCs w:val="20"/>
              </w:rPr>
            </w:pPr>
            <w:r w:rsidRPr="00913B96">
              <w:rPr>
                <w:rFonts w:ascii="Arial Narrow" w:hAnsi="Arial Narrow" w:cs="Calibri"/>
                <w:color w:val="000000"/>
                <w:sz w:val="20"/>
                <w:szCs w:val="20"/>
              </w:rPr>
              <w:t>1</w:t>
            </w:r>
          </w:p>
        </w:tc>
        <w:tc>
          <w:tcPr>
            <w:tcW w:w="1620" w:type="dxa"/>
            <w:vAlign w:val="center"/>
          </w:tcPr>
          <w:p w14:paraId="56EC2DF0" w14:textId="099F323B" w:rsidR="00913B96" w:rsidRPr="00913B96" w:rsidRDefault="00913B96" w:rsidP="00CD6528">
            <w:pPr>
              <w:autoSpaceDE w:val="0"/>
              <w:autoSpaceDN w:val="0"/>
              <w:adjustRightInd w:val="0"/>
              <w:jc w:val="center"/>
              <w:rPr>
                <w:rFonts w:ascii="Arial Narrow" w:hAnsi="Arial Narrow" w:cs="Calibri"/>
                <w:color w:val="000000"/>
                <w:sz w:val="20"/>
                <w:szCs w:val="20"/>
              </w:rPr>
            </w:pPr>
            <w:r w:rsidRPr="00913B96">
              <w:rPr>
                <w:rFonts w:ascii="Arial Narrow" w:hAnsi="Arial Narrow" w:cs="Calibri"/>
                <w:color w:val="000000"/>
                <w:sz w:val="20"/>
                <w:szCs w:val="20"/>
              </w:rPr>
              <w:t>3/28/2022</w:t>
            </w:r>
          </w:p>
        </w:tc>
        <w:tc>
          <w:tcPr>
            <w:tcW w:w="1102" w:type="dxa"/>
            <w:vAlign w:val="center"/>
          </w:tcPr>
          <w:p w14:paraId="09E9DC87" w14:textId="4670894D" w:rsidR="00913B96" w:rsidRPr="00913B96" w:rsidRDefault="00913B96" w:rsidP="00CD6528">
            <w:pPr>
              <w:autoSpaceDE w:val="0"/>
              <w:autoSpaceDN w:val="0"/>
              <w:adjustRightInd w:val="0"/>
              <w:jc w:val="center"/>
              <w:rPr>
                <w:rFonts w:ascii="Arial Narrow" w:hAnsi="Arial Narrow" w:cs="Arial"/>
                <w:sz w:val="20"/>
                <w:szCs w:val="20"/>
              </w:rPr>
            </w:pPr>
            <w:proofErr w:type="spellStart"/>
            <w:r>
              <w:rPr>
                <w:rFonts w:ascii="Arial Narrow" w:hAnsi="Arial Narrow" w:cs="Calibri"/>
                <w:color w:val="000000"/>
                <w:sz w:val="20"/>
                <w:szCs w:val="20"/>
              </w:rPr>
              <w:t>nd</w:t>
            </w:r>
            <w:proofErr w:type="spellEnd"/>
          </w:p>
        </w:tc>
        <w:tc>
          <w:tcPr>
            <w:tcW w:w="1103" w:type="dxa"/>
            <w:vAlign w:val="center"/>
          </w:tcPr>
          <w:p w14:paraId="2E668D2D" w14:textId="7FBDAAAA" w:rsidR="00913B96" w:rsidRPr="00913B96" w:rsidRDefault="00913B96" w:rsidP="00CD6528">
            <w:pPr>
              <w:autoSpaceDE w:val="0"/>
              <w:autoSpaceDN w:val="0"/>
              <w:adjustRightInd w:val="0"/>
              <w:jc w:val="center"/>
              <w:rPr>
                <w:rFonts w:ascii="Arial Narrow" w:hAnsi="Arial Narrow" w:cs="Calibri"/>
                <w:color w:val="000000"/>
                <w:sz w:val="20"/>
                <w:szCs w:val="20"/>
              </w:rPr>
            </w:pPr>
            <w:proofErr w:type="spellStart"/>
            <w:r>
              <w:rPr>
                <w:rFonts w:ascii="Arial Narrow" w:hAnsi="Arial Narrow" w:cs="Calibri"/>
                <w:color w:val="000000"/>
                <w:sz w:val="20"/>
                <w:szCs w:val="20"/>
              </w:rPr>
              <w:t>nd</w:t>
            </w:r>
            <w:proofErr w:type="spellEnd"/>
          </w:p>
        </w:tc>
        <w:tc>
          <w:tcPr>
            <w:tcW w:w="1035" w:type="dxa"/>
            <w:vAlign w:val="center"/>
          </w:tcPr>
          <w:p w14:paraId="10DA5067" w14:textId="07499650" w:rsidR="00913B96" w:rsidRPr="00913B96" w:rsidRDefault="00913B96" w:rsidP="00CD6528">
            <w:pPr>
              <w:autoSpaceDE w:val="0"/>
              <w:autoSpaceDN w:val="0"/>
              <w:adjustRightInd w:val="0"/>
              <w:jc w:val="center"/>
              <w:rPr>
                <w:rFonts w:ascii="Arial Narrow" w:hAnsi="Arial Narrow" w:cs="Calibri"/>
                <w:color w:val="000000"/>
                <w:sz w:val="20"/>
                <w:szCs w:val="20"/>
              </w:rPr>
            </w:pPr>
            <w:proofErr w:type="spellStart"/>
            <w:r>
              <w:rPr>
                <w:rFonts w:ascii="Arial Narrow" w:hAnsi="Arial Narrow" w:cs="Calibri"/>
                <w:color w:val="000000"/>
                <w:sz w:val="20"/>
                <w:szCs w:val="20"/>
              </w:rPr>
              <w:t>nd</w:t>
            </w:r>
            <w:proofErr w:type="spellEnd"/>
          </w:p>
        </w:tc>
        <w:tc>
          <w:tcPr>
            <w:tcW w:w="1170" w:type="dxa"/>
            <w:shd w:val="clear" w:color="auto" w:fill="auto"/>
            <w:vAlign w:val="center"/>
          </w:tcPr>
          <w:p w14:paraId="6CF9578C" w14:textId="6C8761A6" w:rsidR="00913B96" w:rsidRPr="00913B96" w:rsidRDefault="00913B96" w:rsidP="00CD6528">
            <w:pPr>
              <w:autoSpaceDE w:val="0"/>
              <w:autoSpaceDN w:val="0"/>
              <w:adjustRightInd w:val="0"/>
              <w:jc w:val="center"/>
              <w:rPr>
                <w:rFonts w:ascii="Arial Narrow" w:hAnsi="Arial Narrow" w:cs="Arial"/>
                <w:sz w:val="20"/>
                <w:szCs w:val="20"/>
              </w:rPr>
            </w:pPr>
            <w:proofErr w:type="spellStart"/>
            <w:r>
              <w:rPr>
                <w:rFonts w:ascii="Arial Narrow" w:hAnsi="Arial Narrow" w:cs="Calibri"/>
                <w:color w:val="000000"/>
                <w:sz w:val="20"/>
                <w:szCs w:val="20"/>
              </w:rPr>
              <w:t>nd</w:t>
            </w:r>
            <w:proofErr w:type="spellEnd"/>
          </w:p>
        </w:tc>
      </w:tr>
      <w:tr w:rsidR="00913B96" w:rsidRPr="00C9297B" w14:paraId="28411441" w14:textId="77777777" w:rsidTr="000477C0">
        <w:trPr>
          <w:trHeight w:val="290"/>
        </w:trPr>
        <w:tc>
          <w:tcPr>
            <w:tcW w:w="1174" w:type="dxa"/>
            <w:tcBorders>
              <w:top w:val="nil"/>
              <w:bottom w:val="nil"/>
            </w:tcBorders>
            <w:vAlign w:val="center"/>
          </w:tcPr>
          <w:p w14:paraId="0D6ACF6E" w14:textId="77777777" w:rsidR="00913B96" w:rsidRPr="00913B96" w:rsidRDefault="00913B96" w:rsidP="00CD6528">
            <w:pPr>
              <w:autoSpaceDE w:val="0"/>
              <w:autoSpaceDN w:val="0"/>
              <w:adjustRightInd w:val="0"/>
              <w:jc w:val="center"/>
              <w:rPr>
                <w:rFonts w:ascii="Arial Narrow" w:hAnsi="Arial Narrow" w:cs="Arial"/>
                <w:sz w:val="20"/>
                <w:szCs w:val="20"/>
              </w:rPr>
            </w:pPr>
          </w:p>
        </w:tc>
        <w:tc>
          <w:tcPr>
            <w:tcW w:w="1289" w:type="dxa"/>
            <w:vAlign w:val="center"/>
          </w:tcPr>
          <w:p w14:paraId="55A4552C" w14:textId="4AFE672A" w:rsidR="00913B96" w:rsidRPr="00913B96" w:rsidRDefault="00913B96" w:rsidP="00CD6528">
            <w:pPr>
              <w:autoSpaceDE w:val="0"/>
              <w:autoSpaceDN w:val="0"/>
              <w:adjustRightInd w:val="0"/>
              <w:jc w:val="center"/>
              <w:rPr>
                <w:rFonts w:ascii="Arial Narrow" w:hAnsi="Arial Narrow" w:cs="Arial"/>
                <w:sz w:val="20"/>
                <w:szCs w:val="20"/>
              </w:rPr>
            </w:pPr>
            <w:r w:rsidRPr="00913B96">
              <w:rPr>
                <w:rFonts w:ascii="Arial Narrow" w:hAnsi="Arial Narrow" w:cs="Calibri"/>
                <w:color w:val="000000"/>
                <w:sz w:val="20"/>
                <w:szCs w:val="20"/>
              </w:rPr>
              <w:t>4ARSF000.88</w:t>
            </w:r>
          </w:p>
        </w:tc>
        <w:tc>
          <w:tcPr>
            <w:tcW w:w="900" w:type="dxa"/>
            <w:vAlign w:val="center"/>
          </w:tcPr>
          <w:p w14:paraId="1C646B41" w14:textId="5746C9FE" w:rsidR="00913B96" w:rsidRPr="00913B96" w:rsidRDefault="00913B96" w:rsidP="00CD6528">
            <w:pPr>
              <w:autoSpaceDE w:val="0"/>
              <w:autoSpaceDN w:val="0"/>
              <w:adjustRightInd w:val="0"/>
              <w:jc w:val="center"/>
              <w:rPr>
                <w:rFonts w:ascii="Arial Narrow" w:hAnsi="Arial Narrow" w:cs="Arial"/>
                <w:sz w:val="20"/>
                <w:szCs w:val="20"/>
              </w:rPr>
            </w:pPr>
            <w:r w:rsidRPr="00913B96">
              <w:rPr>
                <w:rFonts w:ascii="Arial Narrow" w:hAnsi="Arial Narrow" w:cs="Calibri"/>
                <w:color w:val="000000"/>
                <w:sz w:val="20"/>
                <w:szCs w:val="20"/>
              </w:rPr>
              <w:t>7</w:t>
            </w:r>
          </w:p>
        </w:tc>
        <w:tc>
          <w:tcPr>
            <w:tcW w:w="1620" w:type="dxa"/>
            <w:vAlign w:val="center"/>
          </w:tcPr>
          <w:p w14:paraId="6CFC033E" w14:textId="51BFF242" w:rsidR="00913B96" w:rsidRPr="00913B96" w:rsidRDefault="00913B96" w:rsidP="00CD6528">
            <w:pPr>
              <w:autoSpaceDE w:val="0"/>
              <w:autoSpaceDN w:val="0"/>
              <w:adjustRightInd w:val="0"/>
              <w:jc w:val="center"/>
              <w:rPr>
                <w:rFonts w:ascii="Arial Narrow" w:hAnsi="Arial Narrow" w:cs="Calibri"/>
                <w:color w:val="000000"/>
                <w:sz w:val="20"/>
                <w:szCs w:val="20"/>
              </w:rPr>
            </w:pPr>
            <w:r w:rsidRPr="00913B96">
              <w:rPr>
                <w:rFonts w:ascii="Arial Narrow" w:hAnsi="Arial Narrow" w:cs="Calibri"/>
                <w:color w:val="000000"/>
                <w:sz w:val="20"/>
                <w:szCs w:val="20"/>
              </w:rPr>
              <w:t>11/4/22 - 6/20/23</w:t>
            </w:r>
          </w:p>
        </w:tc>
        <w:tc>
          <w:tcPr>
            <w:tcW w:w="1102" w:type="dxa"/>
            <w:vAlign w:val="center"/>
          </w:tcPr>
          <w:p w14:paraId="5373502A" w14:textId="2B1B122B" w:rsidR="00913B96" w:rsidRPr="00913B96" w:rsidRDefault="00913B96" w:rsidP="00CD6528">
            <w:pPr>
              <w:autoSpaceDE w:val="0"/>
              <w:autoSpaceDN w:val="0"/>
              <w:adjustRightInd w:val="0"/>
              <w:jc w:val="center"/>
              <w:rPr>
                <w:rFonts w:ascii="Arial Narrow" w:hAnsi="Arial Narrow" w:cs="Arial"/>
                <w:sz w:val="20"/>
                <w:szCs w:val="20"/>
              </w:rPr>
            </w:pPr>
            <w:proofErr w:type="spellStart"/>
            <w:r>
              <w:rPr>
                <w:rFonts w:ascii="Arial Narrow" w:hAnsi="Arial Narrow" w:cs="Calibri"/>
                <w:color w:val="000000"/>
                <w:sz w:val="20"/>
                <w:szCs w:val="20"/>
              </w:rPr>
              <w:t>nd</w:t>
            </w:r>
            <w:proofErr w:type="spellEnd"/>
          </w:p>
        </w:tc>
        <w:tc>
          <w:tcPr>
            <w:tcW w:w="1103" w:type="dxa"/>
            <w:vAlign w:val="center"/>
          </w:tcPr>
          <w:p w14:paraId="30041FC2" w14:textId="542CB988" w:rsidR="00913B96" w:rsidRPr="00913B96" w:rsidRDefault="00913B96" w:rsidP="00CD6528">
            <w:pPr>
              <w:autoSpaceDE w:val="0"/>
              <w:autoSpaceDN w:val="0"/>
              <w:adjustRightInd w:val="0"/>
              <w:jc w:val="center"/>
              <w:rPr>
                <w:rFonts w:ascii="Arial Narrow" w:hAnsi="Arial Narrow" w:cs="Calibri"/>
                <w:color w:val="000000"/>
                <w:sz w:val="20"/>
                <w:szCs w:val="20"/>
              </w:rPr>
            </w:pPr>
            <w:proofErr w:type="spellStart"/>
            <w:r>
              <w:rPr>
                <w:rFonts w:ascii="Arial Narrow" w:hAnsi="Arial Narrow" w:cs="Calibri"/>
                <w:color w:val="000000"/>
                <w:sz w:val="20"/>
                <w:szCs w:val="20"/>
              </w:rPr>
              <w:t>nd</w:t>
            </w:r>
            <w:proofErr w:type="spellEnd"/>
          </w:p>
        </w:tc>
        <w:tc>
          <w:tcPr>
            <w:tcW w:w="1035" w:type="dxa"/>
            <w:vAlign w:val="center"/>
          </w:tcPr>
          <w:p w14:paraId="388D9CA4" w14:textId="14568EF4" w:rsidR="00913B96" w:rsidRPr="00913B96" w:rsidRDefault="00913B96" w:rsidP="00CD6528">
            <w:pPr>
              <w:autoSpaceDE w:val="0"/>
              <w:autoSpaceDN w:val="0"/>
              <w:adjustRightInd w:val="0"/>
              <w:jc w:val="center"/>
              <w:rPr>
                <w:rFonts w:ascii="Arial Narrow" w:hAnsi="Arial Narrow" w:cs="Calibri"/>
                <w:color w:val="000000"/>
                <w:sz w:val="20"/>
                <w:szCs w:val="20"/>
              </w:rPr>
            </w:pPr>
            <w:proofErr w:type="spellStart"/>
            <w:r>
              <w:rPr>
                <w:rFonts w:ascii="Arial Narrow" w:hAnsi="Arial Narrow" w:cs="Calibri"/>
                <w:color w:val="000000"/>
                <w:sz w:val="20"/>
                <w:szCs w:val="20"/>
              </w:rPr>
              <w:t>nd</w:t>
            </w:r>
            <w:proofErr w:type="spellEnd"/>
          </w:p>
        </w:tc>
        <w:tc>
          <w:tcPr>
            <w:tcW w:w="1170" w:type="dxa"/>
            <w:shd w:val="clear" w:color="auto" w:fill="auto"/>
            <w:vAlign w:val="center"/>
          </w:tcPr>
          <w:p w14:paraId="1FEED3D3" w14:textId="21517891" w:rsidR="00913B96" w:rsidRPr="00913B96" w:rsidRDefault="00913B96" w:rsidP="00CD6528">
            <w:pPr>
              <w:autoSpaceDE w:val="0"/>
              <w:autoSpaceDN w:val="0"/>
              <w:adjustRightInd w:val="0"/>
              <w:jc w:val="center"/>
              <w:rPr>
                <w:rFonts w:ascii="Arial Narrow" w:hAnsi="Arial Narrow" w:cs="Arial"/>
                <w:sz w:val="20"/>
                <w:szCs w:val="20"/>
              </w:rPr>
            </w:pPr>
            <w:r w:rsidRPr="00913B96">
              <w:rPr>
                <w:rFonts w:ascii="Arial Narrow" w:hAnsi="Arial Narrow" w:cs="Calibri"/>
                <w:color w:val="000000"/>
                <w:sz w:val="20"/>
                <w:szCs w:val="20"/>
              </w:rPr>
              <w:t>0.1</w:t>
            </w:r>
          </w:p>
        </w:tc>
      </w:tr>
      <w:tr w:rsidR="00913B96" w:rsidRPr="00C9297B" w14:paraId="2016BC2B" w14:textId="77777777" w:rsidTr="000477C0">
        <w:trPr>
          <w:trHeight w:val="290"/>
        </w:trPr>
        <w:tc>
          <w:tcPr>
            <w:tcW w:w="1174" w:type="dxa"/>
            <w:tcBorders>
              <w:top w:val="nil"/>
              <w:bottom w:val="single" w:sz="4" w:space="0" w:color="auto"/>
            </w:tcBorders>
            <w:vAlign w:val="center"/>
          </w:tcPr>
          <w:p w14:paraId="63B2C9D8" w14:textId="77777777" w:rsidR="00913B96" w:rsidRPr="00913B96" w:rsidRDefault="00913B96" w:rsidP="00CD6528">
            <w:pPr>
              <w:autoSpaceDE w:val="0"/>
              <w:autoSpaceDN w:val="0"/>
              <w:adjustRightInd w:val="0"/>
              <w:jc w:val="center"/>
              <w:rPr>
                <w:rFonts w:ascii="Arial Narrow" w:hAnsi="Arial Narrow" w:cs="Arial"/>
                <w:sz w:val="20"/>
                <w:szCs w:val="20"/>
              </w:rPr>
            </w:pPr>
          </w:p>
        </w:tc>
        <w:tc>
          <w:tcPr>
            <w:tcW w:w="1289" w:type="dxa"/>
            <w:vAlign w:val="center"/>
          </w:tcPr>
          <w:p w14:paraId="5CF64134" w14:textId="4D8B1C8E" w:rsidR="00913B96" w:rsidRPr="00913B96" w:rsidRDefault="00913B96" w:rsidP="00CD6528">
            <w:pPr>
              <w:autoSpaceDE w:val="0"/>
              <w:autoSpaceDN w:val="0"/>
              <w:adjustRightInd w:val="0"/>
              <w:jc w:val="center"/>
              <w:rPr>
                <w:rFonts w:ascii="Arial Narrow" w:hAnsi="Arial Narrow" w:cs="Arial"/>
                <w:sz w:val="20"/>
                <w:szCs w:val="20"/>
              </w:rPr>
            </w:pPr>
            <w:r w:rsidRPr="00913B96">
              <w:rPr>
                <w:rFonts w:ascii="Arial Narrow" w:hAnsi="Arial Narrow" w:cs="Calibri"/>
                <w:color w:val="000000"/>
                <w:sz w:val="20"/>
                <w:szCs w:val="20"/>
              </w:rPr>
              <w:t>4ARSF000.05</w:t>
            </w:r>
          </w:p>
        </w:tc>
        <w:tc>
          <w:tcPr>
            <w:tcW w:w="900" w:type="dxa"/>
            <w:vAlign w:val="center"/>
          </w:tcPr>
          <w:p w14:paraId="6E304AA5" w14:textId="01DDD9CF" w:rsidR="00913B96" w:rsidRPr="00913B96" w:rsidRDefault="00913B96" w:rsidP="00CD6528">
            <w:pPr>
              <w:autoSpaceDE w:val="0"/>
              <w:autoSpaceDN w:val="0"/>
              <w:adjustRightInd w:val="0"/>
              <w:jc w:val="center"/>
              <w:rPr>
                <w:rFonts w:ascii="Arial Narrow" w:hAnsi="Arial Narrow" w:cs="Arial"/>
                <w:sz w:val="20"/>
                <w:szCs w:val="20"/>
              </w:rPr>
            </w:pPr>
            <w:r w:rsidRPr="00913B96">
              <w:rPr>
                <w:rFonts w:ascii="Arial Narrow" w:hAnsi="Arial Narrow" w:cs="Calibri"/>
                <w:color w:val="000000"/>
                <w:sz w:val="20"/>
                <w:szCs w:val="20"/>
              </w:rPr>
              <w:t>7</w:t>
            </w:r>
          </w:p>
        </w:tc>
        <w:tc>
          <w:tcPr>
            <w:tcW w:w="1620" w:type="dxa"/>
            <w:vAlign w:val="center"/>
          </w:tcPr>
          <w:p w14:paraId="1DE5B33C" w14:textId="36F97EFD" w:rsidR="00913B96" w:rsidRPr="00913B96" w:rsidRDefault="00913B96" w:rsidP="00CD6528">
            <w:pPr>
              <w:autoSpaceDE w:val="0"/>
              <w:autoSpaceDN w:val="0"/>
              <w:adjustRightInd w:val="0"/>
              <w:jc w:val="center"/>
              <w:rPr>
                <w:rFonts w:ascii="Arial Narrow" w:hAnsi="Arial Narrow" w:cs="Calibri"/>
                <w:color w:val="000000"/>
                <w:sz w:val="20"/>
                <w:szCs w:val="20"/>
              </w:rPr>
            </w:pPr>
            <w:r w:rsidRPr="00913B96">
              <w:rPr>
                <w:rFonts w:ascii="Arial Narrow" w:hAnsi="Arial Narrow" w:cs="Calibri"/>
                <w:color w:val="000000"/>
                <w:sz w:val="20"/>
                <w:szCs w:val="20"/>
              </w:rPr>
              <w:t>11/4/22 - 6/20/23</w:t>
            </w:r>
          </w:p>
        </w:tc>
        <w:tc>
          <w:tcPr>
            <w:tcW w:w="1102" w:type="dxa"/>
            <w:vAlign w:val="center"/>
          </w:tcPr>
          <w:p w14:paraId="4DAC8537" w14:textId="64878723" w:rsidR="00913B96" w:rsidRPr="00913B96" w:rsidRDefault="00913B96" w:rsidP="00CD6528">
            <w:pPr>
              <w:autoSpaceDE w:val="0"/>
              <w:autoSpaceDN w:val="0"/>
              <w:adjustRightInd w:val="0"/>
              <w:jc w:val="center"/>
              <w:rPr>
                <w:rFonts w:ascii="Arial Narrow" w:hAnsi="Arial Narrow" w:cs="Arial"/>
                <w:sz w:val="20"/>
                <w:szCs w:val="20"/>
              </w:rPr>
            </w:pPr>
            <w:r w:rsidRPr="00913B96">
              <w:rPr>
                <w:rFonts w:ascii="Arial Narrow" w:hAnsi="Arial Narrow" w:cs="Calibri"/>
                <w:color w:val="000000"/>
                <w:sz w:val="20"/>
                <w:szCs w:val="20"/>
              </w:rPr>
              <w:t>5.5</w:t>
            </w:r>
          </w:p>
        </w:tc>
        <w:tc>
          <w:tcPr>
            <w:tcW w:w="1103" w:type="dxa"/>
            <w:vAlign w:val="center"/>
          </w:tcPr>
          <w:p w14:paraId="1166E902" w14:textId="35036A98" w:rsidR="00913B96" w:rsidRPr="00913B96" w:rsidRDefault="00913B96" w:rsidP="00CD6528">
            <w:pPr>
              <w:autoSpaceDE w:val="0"/>
              <w:autoSpaceDN w:val="0"/>
              <w:adjustRightInd w:val="0"/>
              <w:jc w:val="center"/>
              <w:rPr>
                <w:rFonts w:ascii="Arial Narrow" w:hAnsi="Arial Narrow" w:cs="Calibri"/>
                <w:color w:val="000000"/>
                <w:sz w:val="20"/>
                <w:szCs w:val="20"/>
              </w:rPr>
            </w:pPr>
            <w:proofErr w:type="spellStart"/>
            <w:r>
              <w:rPr>
                <w:rFonts w:ascii="Arial Narrow" w:hAnsi="Arial Narrow" w:cs="Calibri"/>
                <w:color w:val="000000"/>
                <w:sz w:val="20"/>
                <w:szCs w:val="20"/>
              </w:rPr>
              <w:t>nd</w:t>
            </w:r>
            <w:proofErr w:type="spellEnd"/>
          </w:p>
        </w:tc>
        <w:tc>
          <w:tcPr>
            <w:tcW w:w="1035" w:type="dxa"/>
            <w:vAlign w:val="center"/>
          </w:tcPr>
          <w:p w14:paraId="5DC8E955" w14:textId="597DAC0C" w:rsidR="00913B96" w:rsidRPr="00913B96" w:rsidRDefault="00913B96" w:rsidP="00CD6528">
            <w:pPr>
              <w:autoSpaceDE w:val="0"/>
              <w:autoSpaceDN w:val="0"/>
              <w:adjustRightInd w:val="0"/>
              <w:jc w:val="center"/>
              <w:rPr>
                <w:rFonts w:ascii="Arial Narrow" w:hAnsi="Arial Narrow" w:cs="Calibri"/>
                <w:color w:val="000000"/>
                <w:sz w:val="20"/>
                <w:szCs w:val="20"/>
              </w:rPr>
            </w:pPr>
            <w:r w:rsidRPr="00913B96">
              <w:rPr>
                <w:rFonts w:ascii="Arial Narrow" w:hAnsi="Arial Narrow" w:cs="Calibri"/>
                <w:color w:val="000000"/>
                <w:sz w:val="20"/>
                <w:szCs w:val="20"/>
              </w:rPr>
              <w:t>0.1</w:t>
            </w:r>
          </w:p>
        </w:tc>
        <w:tc>
          <w:tcPr>
            <w:tcW w:w="1170" w:type="dxa"/>
            <w:shd w:val="clear" w:color="auto" w:fill="auto"/>
            <w:vAlign w:val="center"/>
          </w:tcPr>
          <w:p w14:paraId="2A15C441" w14:textId="7B2E9625" w:rsidR="00913B96" w:rsidRPr="00913B96" w:rsidRDefault="00913B96" w:rsidP="00CD6528">
            <w:pPr>
              <w:autoSpaceDE w:val="0"/>
              <w:autoSpaceDN w:val="0"/>
              <w:adjustRightInd w:val="0"/>
              <w:jc w:val="center"/>
              <w:rPr>
                <w:rFonts w:ascii="Arial Narrow" w:hAnsi="Arial Narrow" w:cs="Arial"/>
                <w:sz w:val="20"/>
                <w:szCs w:val="20"/>
              </w:rPr>
            </w:pPr>
            <w:r w:rsidRPr="00913B96">
              <w:rPr>
                <w:rFonts w:ascii="Arial Narrow" w:hAnsi="Arial Narrow" w:cs="Calibri"/>
                <w:color w:val="000000"/>
                <w:sz w:val="20"/>
                <w:szCs w:val="20"/>
              </w:rPr>
              <w:t>13.5</w:t>
            </w:r>
          </w:p>
        </w:tc>
      </w:tr>
      <w:tr w:rsidR="00913B96" w:rsidRPr="00C9297B" w14:paraId="0219DD9D" w14:textId="77777777" w:rsidTr="000477C0">
        <w:trPr>
          <w:trHeight w:val="290"/>
        </w:trPr>
        <w:tc>
          <w:tcPr>
            <w:tcW w:w="1174" w:type="dxa"/>
            <w:tcBorders>
              <w:bottom w:val="nil"/>
            </w:tcBorders>
            <w:vAlign w:val="center"/>
          </w:tcPr>
          <w:p w14:paraId="233D8D32" w14:textId="454306F2" w:rsidR="00913B96" w:rsidRPr="00913B96" w:rsidRDefault="00913B96" w:rsidP="00CD6528">
            <w:pPr>
              <w:autoSpaceDE w:val="0"/>
              <w:autoSpaceDN w:val="0"/>
              <w:adjustRightInd w:val="0"/>
              <w:jc w:val="center"/>
              <w:rPr>
                <w:rFonts w:ascii="Arial Narrow" w:hAnsi="Arial Narrow" w:cs="Arial"/>
                <w:sz w:val="20"/>
                <w:szCs w:val="20"/>
              </w:rPr>
            </w:pPr>
            <w:r w:rsidRPr="00913B96">
              <w:rPr>
                <w:rFonts w:ascii="Arial Narrow" w:hAnsi="Arial Narrow" w:cs="Calibri"/>
                <w:color w:val="000000"/>
                <w:sz w:val="20"/>
                <w:szCs w:val="20"/>
              </w:rPr>
              <w:t>Roanoke River</w:t>
            </w:r>
          </w:p>
        </w:tc>
        <w:tc>
          <w:tcPr>
            <w:tcW w:w="1289" w:type="dxa"/>
            <w:vAlign w:val="center"/>
          </w:tcPr>
          <w:p w14:paraId="0B5E8D43" w14:textId="1ECCEC3C" w:rsidR="00913B96" w:rsidRPr="00913B96" w:rsidRDefault="00913B96" w:rsidP="00CD6528">
            <w:pPr>
              <w:autoSpaceDE w:val="0"/>
              <w:autoSpaceDN w:val="0"/>
              <w:adjustRightInd w:val="0"/>
              <w:jc w:val="center"/>
              <w:rPr>
                <w:rFonts w:ascii="Arial Narrow" w:hAnsi="Arial Narrow" w:cs="Arial"/>
                <w:sz w:val="20"/>
                <w:szCs w:val="20"/>
              </w:rPr>
            </w:pPr>
            <w:r w:rsidRPr="00913B96">
              <w:rPr>
                <w:rFonts w:ascii="Arial Narrow" w:hAnsi="Arial Narrow" w:cs="Calibri"/>
                <w:color w:val="000000"/>
                <w:sz w:val="20"/>
                <w:szCs w:val="20"/>
              </w:rPr>
              <w:t>4AROA227.42</w:t>
            </w:r>
          </w:p>
        </w:tc>
        <w:tc>
          <w:tcPr>
            <w:tcW w:w="900" w:type="dxa"/>
            <w:vAlign w:val="center"/>
          </w:tcPr>
          <w:p w14:paraId="455DEB80" w14:textId="38BE9853" w:rsidR="00913B96" w:rsidRPr="00913B96" w:rsidRDefault="00913B96" w:rsidP="00CD6528">
            <w:pPr>
              <w:autoSpaceDE w:val="0"/>
              <w:autoSpaceDN w:val="0"/>
              <w:adjustRightInd w:val="0"/>
              <w:jc w:val="center"/>
              <w:rPr>
                <w:rFonts w:ascii="Arial Narrow" w:hAnsi="Arial Narrow" w:cs="Arial"/>
                <w:sz w:val="20"/>
                <w:szCs w:val="20"/>
              </w:rPr>
            </w:pPr>
            <w:r w:rsidRPr="00913B96">
              <w:rPr>
                <w:rFonts w:ascii="Arial Narrow" w:hAnsi="Arial Narrow" w:cs="Calibri"/>
                <w:color w:val="000000"/>
                <w:sz w:val="20"/>
                <w:szCs w:val="20"/>
              </w:rPr>
              <w:t>3</w:t>
            </w:r>
          </w:p>
        </w:tc>
        <w:tc>
          <w:tcPr>
            <w:tcW w:w="1620" w:type="dxa"/>
            <w:vAlign w:val="center"/>
          </w:tcPr>
          <w:p w14:paraId="4731F66B" w14:textId="02E67D80" w:rsidR="00913B96" w:rsidRPr="00913B96" w:rsidRDefault="00913B96" w:rsidP="00CD6528">
            <w:pPr>
              <w:autoSpaceDE w:val="0"/>
              <w:autoSpaceDN w:val="0"/>
              <w:adjustRightInd w:val="0"/>
              <w:jc w:val="center"/>
              <w:rPr>
                <w:rFonts w:ascii="Arial Narrow" w:hAnsi="Arial Narrow" w:cs="Calibri"/>
                <w:color w:val="000000"/>
                <w:sz w:val="20"/>
                <w:szCs w:val="20"/>
              </w:rPr>
            </w:pPr>
            <w:r w:rsidRPr="00913B96">
              <w:rPr>
                <w:rFonts w:ascii="Arial Narrow" w:hAnsi="Arial Narrow" w:cs="Calibri"/>
                <w:color w:val="000000"/>
                <w:sz w:val="20"/>
                <w:szCs w:val="20"/>
              </w:rPr>
              <w:t>2/27/23 - 6/20/23</w:t>
            </w:r>
          </w:p>
        </w:tc>
        <w:tc>
          <w:tcPr>
            <w:tcW w:w="1102" w:type="dxa"/>
            <w:vAlign w:val="center"/>
          </w:tcPr>
          <w:p w14:paraId="3F207520" w14:textId="53C8A3E0" w:rsidR="00913B96" w:rsidRPr="00913B96" w:rsidRDefault="00913B96" w:rsidP="00CD6528">
            <w:pPr>
              <w:autoSpaceDE w:val="0"/>
              <w:autoSpaceDN w:val="0"/>
              <w:adjustRightInd w:val="0"/>
              <w:jc w:val="center"/>
              <w:rPr>
                <w:rFonts w:ascii="Arial Narrow" w:hAnsi="Arial Narrow" w:cs="Arial"/>
                <w:sz w:val="20"/>
                <w:szCs w:val="20"/>
              </w:rPr>
            </w:pPr>
            <w:proofErr w:type="spellStart"/>
            <w:r>
              <w:rPr>
                <w:rFonts w:ascii="Arial Narrow" w:hAnsi="Arial Narrow" w:cs="Calibri"/>
                <w:color w:val="000000"/>
                <w:sz w:val="20"/>
                <w:szCs w:val="20"/>
              </w:rPr>
              <w:t>nd</w:t>
            </w:r>
            <w:proofErr w:type="spellEnd"/>
          </w:p>
        </w:tc>
        <w:tc>
          <w:tcPr>
            <w:tcW w:w="1103" w:type="dxa"/>
            <w:vAlign w:val="center"/>
          </w:tcPr>
          <w:p w14:paraId="56213EC3" w14:textId="65E67BD0" w:rsidR="00913B96" w:rsidRPr="00913B96" w:rsidRDefault="00913B96" w:rsidP="00CD6528">
            <w:pPr>
              <w:autoSpaceDE w:val="0"/>
              <w:autoSpaceDN w:val="0"/>
              <w:adjustRightInd w:val="0"/>
              <w:jc w:val="center"/>
              <w:rPr>
                <w:rFonts w:ascii="Arial Narrow" w:hAnsi="Arial Narrow" w:cs="Calibri"/>
                <w:color w:val="000000"/>
                <w:sz w:val="20"/>
                <w:szCs w:val="20"/>
              </w:rPr>
            </w:pPr>
            <w:proofErr w:type="spellStart"/>
            <w:r>
              <w:rPr>
                <w:rFonts w:ascii="Arial Narrow" w:hAnsi="Arial Narrow" w:cs="Calibri"/>
                <w:color w:val="000000"/>
                <w:sz w:val="20"/>
                <w:szCs w:val="20"/>
              </w:rPr>
              <w:t>nd</w:t>
            </w:r>
            <w:proofErr w:type="spellEnd"/>
          </w:p>
        </w:tc>
        <w:tc>
          <w:tcPr>
            <w:tcW w:w="1035" w:type="dxa"/>
            <w:vAlign w:val="center"/>
          </w:tcPr>
          <w:p w14:paraId="12445C6D" w14:textId="7574E45E" w:rsidR="00913B96" w:rsidRPr="00913B96" w:rsidRDefault="00913B96" w:rsidP="00CD6528">
            <w:pPr>
              <w:autoSpaceDE w:val="0"/>
              <w:autoSpaceDN w:val="0"/>
              <w:adjustRightInd w:val="0"/>
              <w:jc w:val="center"/>
              <w:rPr>
                <w:rFonts w:ascii="Arial Narrow" w:hAnsi="Arial Narrow" w:cs="Calibri"/>
                <w:color w:val="000000"/>
                <w:sz w:val="20"/>
                <w:szCs w:val="20"/>
              </w:rPr>
            </w:pPr>
            <w:proofErr w:type="spellStart"/>
            <w:r>
              <w:rPr>
                <w:rFonts w:ascii="Arial Narrow" w:hAnsi="Arial Narrow" w:cs="Calibri"/>
                <w:color w:val="000000"/>
                <w:sz w:val="20"/>
                <w:szCs w:val="20"/>
              </w:rPr>
              <w:t>nd</w:t>
            </w:r>
            <w:proofErr w:type="spellEnd"/>
          </w:p>
        </w:tc>
        <w:tc>
          <w:tcPr>
            <w:tcW w:w="1170" w:type="dxa"/>
            <w:shd w:val="clear" w:color="auto" w:fill="auto"/>
            <w:vAlign w:val="center"/>
          </w:tcPr>
          <w:p w14:paraId="62160710" w14:textId="19397D10" w:rsidR="00913B96" w:rsidRPr="00913B96" w:rsidRDefault="00913B96" w:rsidP="00CD6528">
            <w:pPr>
              <w:autoSpaceDE w:val="0"/>
              <w:autoSpaceDN w:val="0"/>
              <w:adjustRightInd w:val="0"/>
              <w:jc w:val="center"/>
              <w:rPr>
                <w:rFonts w:ascii="Arial Narrow" w:hAnsi="Arial Narrow" w:cs="Arial"/>
                <w:sz w:val="20"/>
                <w:szCs w:val="20"/>
              </w:rPr>
            </w:pPr>
            <w:proofErr w:type="spellStart"/>
            <w:r>
              <w:rPr>
                <w:rFonts w:ascii="Arial Narrow" w:hAnsi="Arial Narrow" w:cs="Calibri"/>
                <w:color w:val="000000"/>
                <w:sz w:val="20"/>
                <w:szCs w:val="20"/>
              </w:rPr>
              <w:t>nd</w:t>
            </w:r>
            <w:proofErr w:type="spellEnd"/>
          </w:p>
        </w:tc>
      </w:tr>
      <w:tr w:rsidR="00913B96" w:rsidRPr="00C9297B" w14:paraId="2F7781EF" w14:textId="77777777" w:rsidTr="000477C0">
        <w:trPr>
          <w:trHeight w:val="290"/>
        </w:trPr>
        <w:tc>
          <w:tcPr>
            <w:tcW w:w="1174" w:type="dxa"/>
            <w:tcBorders>
              <w:top w:val="nil"/>
              <w:bottom w:val="nil"/>
            </w:tcBorders>
            <w:vAlign w:val="center"/>
          </w:tcPr>
          <w:p w14:paraId="3557799F" w14:textId="412BF823" w:rsidR="00913B96" w:rsidRPr="00913B96" w:rsidRDefault="00913B96" w:rsidP="00CD6528">
            <w:pPr>
              <w:autoSpaceDE w:val="0"/>
              <w:autoSpaceDN w:val="0"/>
              <w:adjustRightInd w:val="0"/>
              <w:jc w:val="center"/>
              <w:rPr>
                <w:rFonts w:ascii="Arial Narrow" w:hAnsi="Arial Narrow" w:cs="Arial"/>
                <w:sz w:val="20"/>
                <w:szCs w:val="20"/>
              </w:rPr>
            </w:pPr>
          </w:p>
        </w:tc>
        <w:tc>
          <w:tcPr>
            <w:tcW w:w="1289" w:type="dxa"/>
            <w:vAlign w:val="center"/>
          </w:tcPr>
          <w:p w14:paraId="77E19B55" w14:textId="4AA32098" w:rsidR="00913B96" w:rsidRPr="00913B96" w:rsidRDefault="00913B96" w:rsidP="00CD6528">
            <w:pPr>
              <w:autoSpaceDE w:val="0"/>
              <w:autoSpaceDN w:val="0"/>
              <w:adjustRightInd w:val="0"/>
              <w:jc w:val="center"/>
              <w:rPr>
                <w:rFonts w:ascii="Arial Narrow" w:hAnsi="Arial Narrow" w:cs="Arial"/>
                <w:sz w:val="20"/>
                <w:szCs w:val="20"/>
              </w:rPr>
            </w:pPr>
            <w:r w:rsidRPr="00913B96">
              <w:rPr>
                <w:rFonts w:ascii="Arial Narrow" w:hAnsi="Arial Narrow" w:cs="Calibri"/>
                <w:color w:val="000000"/>
                <w:sz w:val="20"/>
                <w:szCs w:val="20"/>
              </w:rPr>
              <w:t>4AROA225.49</w:t>
            </w:r>
          </w:p>
        </w:tc>
        <w:tc>
          <w:tcPr>
            <w:tcW w:w="900" w:type="dxa"/>
            <w:vAlign w:val="center"/>
          </w:tcPr>
          <w:p w14:paraId="2511032B" w14:textId="28671BF6" w:rsidR="00913B96" w:rsidRPr="00913B96" w:rsidRDefault="00913B96" w:rsidP="00CD6528">
            <w:pPr>
              <w:autoSpaceDE w:val="0"/>
              <w:autoSpaceDN w:val="0"/>
              <w:adjustRightInd w:val="0"/>
              <w:jc w:val="center"/>
              <w:rPr>
                <w:rFonts w:ascii="Arial Narrow" w:hAnsi="Arial Narrow" w:cs="Arial"/>
                <w:sz w:val="20"/>
                <w:szCs w:val="20"/>
              </w:rPr>
            </w:pPr>
            <w:r w:rsidRPr="00913B96">
              <w:rPr>
                <w:rFonts w:ascii="Arial Narrow" w:hAnsi="Arial Narrow" w:cs="Calibri"/>
                <w:color w:val="000000"/>
                <w:sz w:val="20"/>
                <w:szCs w:val="20"/>
              </w:rPr>
              <w:t>2</w:t>
            </w:r>
          </w:p>
        </w:tc>
        <w:tc>
          <w:tcPr>
            <w:tcW w:w="1620" w:type="dxa"/>
            <w:vAlign w:val="center"/>
          </w:tcPr>
          <w:p w14:paraId="11CAEF21" w14:textId="16A8726E" w:rsidR="00913B96" w:rsidRPr="00913B96" w:rsidRDefault="00913B96" w:rsidP="00CD6528">
            <w:pPr>
              <w:autoSpaceDE w:val="0"/>
              <w:autoSpaceDN w:val="0"/>
              <w:adjustRightInd w:val="0"/>
              <w:jc w:val="center"/>
              <w:rPr>
                <w:rFonts w:ascii="Arial Narrow" w:hAnsi="Arial Narrow" w:cs="Calibri"/>
                <w:color w:val="000000"/>
                <w:sz w:val="20"/>
                <w:szCs w:val="20"/>
              </w:rPr>
            </w:pPr>
            <w:r w:rsidRPr="00913B96">
              <w:rPr>
                <w:rFonts w:ascii="Arial Narrow" w:hAnsi="Arial Narrow" w:cs="Calibri"/>
                <w:color w:val="000000"/>
                <w:sz w:val="20"/>
                <w:szCs w:val="20"/>
              </w:rPr>
              <w:t>5/6/22 - 5/20/22</w:t>
            </w:r>
          </w:p>
        </w:tc>
        <w:tc>
          <w:tcPr>
            <w:tcW w:w="1102" w:type="dxa"/>
            <w:vAlign w:val="center"/>
          </w:tcPr>
          <w:p w14:paraId="18B342B1" w14:textId="7D28DA59" w:rsidR="00913B96" w:rsidRPr="00913B96" w:rsidRDefault="00913B96" w:rsidP="00CD6528">
            <w:pPr>
              <w:autoSpaceDE w:val="0"/>
              <w:autoSpaceDN w:val="0"/>
              <w:adjustRightInd w:val="0"/>
              <w:jc w:val="center"/>
              <w:rPr>
                <w:rFonts w:ascii="Arial Narrow" w:hAnsi="Arial Narrow" w:cs="Arial"/>
                <w:sz w:val="20"/>
                <w:szCs w:val="20"/>
              </w:rPr>
            </w:pPr>
            <w:r w:rsidRPr="00913B96">
              <w:rPr>
                <w:rFonts w:ascii="Arial Narrow" w:hAnsi="Arial Narrow" w:cs="Calibri"/>
                <w:color w:val="000000"/>
                <w:sz w:val="20"/>
                <w:szCs w:val="20"/>
              </w:rPr>
              <w:t>20.7</w:t>
            </w:r>
          </w:p>
        </w:tc>
        <w:tc>
          <w:tcPr>
            <w:tcW w:w="1103" w:type="dxa"/>
            <w:vAlign w:val="center"/>
          </w:tcPr>
          <w:p w14:paraId="26906AA6" w14:textId="39FFED83" w:rsidR="00913B96" w:rsidRPr="00913B96" w:rsidRDefault="00913B96" w:rsidP="00CD6528">
            <w:pPr>
              <w:autoSpaceDE w:val="0"/>
              <w:autoSpaceDN w:val="0"/>
              <w:adjustRightInd w:val="0"/>
              <w:jc w:val="center"/>
              <w:rPr>
                <w:rFonts w:ascii="Arial Narrow" w:hAnsi="Arial Narrow" w:cs="Calibri"/>
                <w:color w:val="000000"/>
                <w:sz w:val="20"/>
                <w:szCs w:val="20"/>
              </w:rPr>
            </w:pPr>
            <w:proofErr w:type="spellStart"/>
            <w:r>
              <w:rPr>
                <w:rFonts w:ascii="Arial Narrow" w:hAnsi="Arial Narrow" w:cs="Calibri"/>
                <w:color w:val="000000"/>
                <w:sz w:val="20"/>
                <w:szCs w:val="20"/>
              </w:rPr>
              <w:t>nd</w:t>
            </w:r>
            <w:proofErr w:type="spellEnd"/>
          </w:p>
        </w:tc>
        <w:tc>
          <w:tcPr>
            <w:tcW w:w="1035" w:type="dxa"/>
            <w:vAlign w:val="center"/>
          </w:tcPr>
          <w:p w14:paraId="38D79C93" w14:textId="712B198D" w:rsidR="00913B96" w:rsidRPr="00913B96" w:rsidRDefault="00913B96" w:rsidP="00CD6528">
            <w:pPr>
              <w:autoSpaceDE w:val="0"/>
              <w:autoSpaceDN w:val="0"/>
              <w:adjustRightInd w:val="0"/>
              <w:jc w:val="center"/>
              <w:rPr>
                <w:rFonts w:ascii="Arial Narrow" w:hAnsi="Arial Narrow" w:cs="Calibri"/>
                <w:color w:val="000000"/>
                <w:sz w:val="20"/>
                <w:szCs w:val="20"/>
              </w:rPr>
            </w:pPr>
            <w:r w:rsidRPr="00913B96">
              <w:rPr>
                <w:rFonts w:ascii="Arial Narrow" w:hAnsi="Arial Narrow" w:cs="Calibri"/>
                <w:color w:val="000000"/>
                <w:sz w:val="20"/>
                <w:szCs w:val="20"/>
              </w:rPr>
              <w:t>0.4</w:t>
            </w:r>
          </w:p>
        </w:tc>
        <w:tc>
          <w:tcPr>
            <w:tcW w:w="1170" w:type="dxa"/>
            <w:shd w:val="clear" w:color="auto" w:fill="auto"/>
            <w:vAlign w:val="center"/>
          </w:tcPr>
          <w:p w14:paraId="49C897E1" w14:textId="57760ACB" w:rsidR="00913B96" w:rsidRPr="00913B96" w:rsidRDefault="00913B96" w:rsidP="00CD6528">
            <w:pPr>
              <w:autoSpaceDE w:val="0"/>
              <w:autoSpaceDN w:val="0"/>
              <w:adjustRightInd w:val="0"/>
              <w:jc w:val="center"/>
              <w:rPr>
                <w:rFonts w:ascii="Arial Narrow" w:hAnsi="Arial Narrow" w:cs="Arial"/>
                <w:sz w:val="20"/>
                <w:szCs w:val="20"/>
              </w:rPr>
            </w:pPr>
            <w:r w:rsidRPr="00913B96">
              <w:rPr>
                <w:rFonts w:ascii="Arial Narrow" w:hAnsi="Arial Narrow" w:cs="Calibri"/>
                <w:color w:val="000000"/>
                <w:sz w:val="20"/>
                <w:szCs w:val="20"/>
              </w:rPr>
              <w:t>21.7</w:t>
            </w:r>
          </w:p>
        </w:tc>
      </w:tr>
      <w:tr w:rsidR="00913B96" w:rsidRPr="00C9297B" w14:paraId="2AFD94E9" w14:textId="77777777" w:rsidTr="000477C0">
        <w:trPr>
          <w:trHeight w:val="290"/>
        </w:trPr>
        <w:tc>
          <w:tcPr>
            <w:tcW w:w="1174" w:type="dxa"/>
            <w:tcBorders>
              <w:top w:val="nil"/>
              <w:bottom w:val="nil"/>
            </w:tcBorders>
            <w:vAlign w:val="center"/>
          </w:tcPr>
          <w:p w14:paraId="16C07695" w14:textId="77777777" w:rsidR="00913B96" w:rsidRPr="00913B96" w:rsidRDefault="00913B96" w:rsidP="00CD6528">
            <w:pPr>
              <w:autoSpaceDE w:val="0"/>
              <w:autoSpaceDN w:val="0"/>
              <w:adjustRightInd w:val="0"/>
              <w:jc w:val="center"/>
              <w:rPr>
                <w:rFonts w:ascii="Arial Narrow" w:hAnsi="Arial Narrow" w:cs="Arial"/>
                <w:sz w:val="20"/>
                <w:szCs w:val="20"/>
              </w:rPr>
            </w:pPr>
          </w:p>
        </w:tc>
        <w:tc>
          <w:tcPr>
            <w:tcW w:w="1289" w:type="dxa"/>
            <w:vAlign w:val="center"/>
          </w:tcPr>
          <w:p w14:paraId="7091F3EA" w14:textId="6688F6CB" w:rsidR="00913B96" w:rsidRPr="00913B96" w:rsidRDefault="00913B96" w:rsidP="00CD6528">
            <w:pPr>
              <w:autoSpaceDE w:val="0"/>
              <w:autoSpaceDN w:val="0"/>
              <w:adjustRightInd w:val="0"/>
              <w:jc w:val="center"/>
              <w:rPr>
                <w:rFonts w:ascii="Arial Narrow" w:hAnsi="Arial Narrow" w:cs="Arial"/>
                <w:sz w:val="20"/>
                <w:szCs w:val="20"/>
              </w:rPr>
            </w:pPr>
            <w:r w:rsidRPr="00913B96">
              <w:rPr>
                <w:rFonts w:ascii="Arial Narrow" w:hAnsi="Arial Narrow" w:cs="Calibri"/>
                <w:color w:val="000000"/>
                <w:sz w:val="20"/>
                <w:szCs w:val="20"/>
              </w:rPr>
              <w:t>4AROA216.75</w:t>
            </w:r>
          </w:p>
        </w:tc>
        <w:tc>
          <w:tcPr>
            <w:tcW w:w="900" w:type="dxa"/>
            <w:vAlign w:val="center"/>
          </w:tcPr>
          <w:p w14:paraId="2A474448" w14:textId="130C1774" w:rsidR="00913B96" w:rsidRPr="00913B96" w:rsidRDefault="00913B96" w:rsidP="00CD6528">
            <w:pPr>
              <w:autoSpaceDE w:val="0"/>
              <w:autoSpaceDN w:val="0"/>
              <w:adjustRightInd w:val="0"/>
              <w:jc w:val="center"/>
              <w:rPr>
                <w:rFonts w:ascii="Arial Narrow" w:hAnsi="Arial Narrow" w:cs="Arial"/>
                <w:sz w:val="20"/>
                <w:szCs w:val="20"/>
              </w:rPr>
            </w:pPr>
            <w:r w:rsidRPr="00913B96">
              <w:rPr>
                <w:rFonts w:ascii="Arial Narrow" w:hAnsi="Arial Narrow" w:cs="Calibri"/>
                <w:color w:val="000000"/>
                <w:sz w:val="20"/>
                <w:szCs w:val="20"/>
              </w:rPr>
              <w:t>3</w:t>
            </w:r>
          </w:p>
        </w:tc>
        <w:tc>
          <w:tcPr>
            <w:tcW w:w="1620" w:type="dxa"/>
            <w:vAlign w:val="center"/>
          </w:tcPr>
          <w:p w14:paraId="299AACBE" w14:textId="51EC8AB1" w:rsidR="00913B96" w:rsidRPr="00913B96" w:rsidRDefault="00913B96" w:rsidP="00CD6528">
            <w:pPr>
              <w:autoSpaceDE w:val="0"/>
              <w:autoSpaceDN w:val="0"/>
              <w:adjustRightInd w:val="0"/>
              <w:jc w:val="center"/>
              <w:rPr>
                <w:rFonts w:ascii="Arial Narrow" w:hAnsi="Arial Narrow" w:cs="Calibri"/>
                <w:color w:val="000000"/>
                <w:sz w:val="20"/>
                <w:szCs w:val="20"/>
              </w:rPr>
            </w:pPr>
            <w:r w:rsidRPr="00913B96">
              <w:rPr>
                <w:rFonts w:ascii="Arial Narrow" w:hAnsi="Arial Narrow" w:cs="Calibri"/>
                <w:color w:val="000000"/>
                <w:sz w:val="20"/>
                <w:szCs w:val="20"/>
              </w:rPr>
              <w:t>2/23/23 - 6/20/23</w:t>
            </w:r>
          </w:p>
        </w:tc>
        <w:tc>
          <w:tcPr>
            <w:tcW w:w="1102" w:type="dxa"/>
            <w:vAlign w:val="center"/>
          </w:tcPr>
          <w:p w14:paraId="0B1343C5" w14:textId="4E2B278E" w:rsidR="00913B96" w:rsidRPr="00913B96" w:rsidRDefault="00913B96" w:rsidP="00CD6528">
            <w:pPr>
              <w:autoSpaceDE w:val="0"/>
              <w:autoSpaceDN w:val="0"/>
              <w:adjustRightInd w:val="0"/>
              <w:jc w:val="center"/>
              <w:rPr>
                <w:rFonts w:ascii="Arial Narrow" w:hAnsi="Arial Narrow" w:cs="Arial"/>
                <w:sz w:val="20"/>
                <w:szCs w:val="20"/>
              </w:rPr>
            </w:pPr>
            <w:proofErr w:type="spellStart"/>
            <w:r>
              <w:rPr>
                <w:rFonts w:ascii="Arial Narrow" w:hAnsi="Arial Narrow" w:cs="Calibri"/>
                <w:color w:val="000000"/>
                <w:sz w:val="20"/>
                <w:szCs w:val="20"/>
              </w:rPr>
              <w:t>nd</w:t>
            </w:r>
            <w:proofErr w:type="spellEnd"/>
          </w:p>
        </w:tc>
        <w:tc>
          <w:tcPr>
            <w:tcW w:w="1103" w:type="dxa"/>
            <w:vAlign w:val="center"/>
          </w:tcPr>
          <w:p w14:paraId="0C1F5398" w14:textId="5ECA841A" w:rsidR="00913B96" w:rsidRPr="00913B96" w:rsidRDefault="00913B96" w:rsidP="00CD6528">
            <w:pPr>
              <w:autoSpaceDE w:val="0"/>
              <w:autoSpaceDN w:val="0"/>
              <w:adjustRightInd w:val="0"/>
              <w:jc w:val="center"/>
              <w:rPr>
                <w:rFonts w:ascii="Arial Narrow" w:hAnsi="Arial Narrow" w:cs="Calibri"/>
                <w:color w:val="000000"/>
                <w:sz w:val="20"/>
                <w:szCs w:val="20"/>
              </w:rPr>
            </w:pPr>
            <w:proofErr w:type="spellStart"/>
            <w:r>
              <w:rPr>
                <w:rFonts w:ascii="Arial Narrow" w:hAnsi="Arial Narrow" w:cs="Calibri"/>
                <w:color w:val="000000"/>
                <w:sz w:val="20"/>
                <w:szCs w:val="20"/>
              </w:rPr>
              <w:t>nd</w:t>
            </w:r>
            <w:proofErr w:type="spellEnd"/>
          </w:p>
        </w:tc>
        <w:tc>
          <w:tcPr>
            <w:tcW w:w="1035" w:type="dxa"/>
            <w:vAlign w:val="center"/>
          </w:tcPr>
          <w:p w14:paraId="54E5B47E" w14:textId="598F6298" w:rsidR="00913B96" w:rsidRPr="00913B96" w:rsidRDefault="00913B96" w:rsidP="00CD6528">
            <w:pPr>
              <w:autoSpaceDE w:val="0"/>
              <w:autoSpaceDN w:val="0"/>
              <w:adjustRightInd w:val="0"/>
              <w:jc w:val="center"/>
              <w:rPr>
                <w:rFonts w:ascii="Arial Narrow" w:hAnsi="Arial Narrow" w:cs="Calibri"/>
                <w:color w:val="000000"/>
                <w:sz w:val="20"/>
                <w:szCs w:val="20"/>
              </w:rPr>
            </w:pPr>
            <w:proofErr w:type="spellStart"/>
            <w:r>
              <w:rPr>
                <w:rFonts w:ascii="Arial Narrow" w:hAnsi="Arial Narrow" w:cs="Calibri"/>
                <w:color w:val="000000"/>
                <w:sz w:val="20"/>
                <w:szCs w:val="20"/>
              </w:rPr>
              <w:t>nd</w:t>
            </w:r>
            <w:proofErr w:type="spellEnd"/>
          </w:p>
        </w:tc>
        <w:tc>
          <w:tcPr>
            <w:tcW w:w="1170" w:type="dxa"/>
            <w:shd w:val="clear" w:color="auto" w:fill="auto"/>
            <w:vAlign w:val="center"/>
          </w:tcPr>
          <w:p w14:paraId="23F9389D" w14:textId="0EC2BE5F" w:rsidR="00913B96" w:rsidRPr="00913B96" w:rsidRDefault="00913B96" w:rsidP="00CD6528">
            <w:pPr>
              <w:autoSpaceDE w:val="0"/>
              <w:autoSpaceDN w:val="0"/>
              <w:adjustRightInd w:val="0"/>
              <w:jc w:val="center"/>
              <w:rPr>
                <w:rFonts w:ascii="Arial Narrow" w:hAnsi="Arial Narrow" w:cs="Arial"/>
                <w:sz w:val="20"/>
                <w:szCs w:val="20"/>
              </w:rPr>
            </w:pPr>
            <w:proofErr w:type="spellStart"/>
            <w:r>
              <w:rPr>
                <w:rFonts w:ascii="Arial Narrow" w:hAnsi="Arial Narrow" w:cs="Calibri"/>
                <w:color w:val="000000"/>
                <w:sz w:val="20"/>
                <w:szCs w:val="20"/>
              </w:rPr>
              <w:t>nd</w:t>
            </w:r>
            <w:proofErr w:type="spellEnd"/>
          </w:p>
        </w:tc>
      </w:tr>
      <w:tr w:rsidR="00913B96" w:rsidRPr="00C9297B" w14:paraId="3F6EFC6F" w14:textId="77777777" w:rsidTr="000477C0">
        <w:trPr>
          <w:trHeight w:val="290"/>
        </w:trPr>
        <w:tc>
          <w:tcPr>
            <w:tcW w:w="1174" w:type="dxa"/>
            <w:tcBorders>
              <w:top w:val="nil"/>
              <w:bottom w:val="nil"/>
            </w:tcBorders>
            <w:vAlign w:val="center"/>
          </w:tcPr>
          <w:p w14:paraId="5D46791F" w14:textId="77777777" w:rsidR="00913B96" w:rsidRPr="00913B96" w:rsidRDefault="00913B96" w:rsidP="00CD6528">
            <w:pPr>
              <w:autoSpaceDE w:val="0"/>
              <w:autoSpaceDN w:val="0"/>
              <w:adjustRightInd w:val="0"/>
              <w:jc w:val="center"/>
              <w:rPr>
                <w:rFonts w:ascii="Arial Narrow" w:hAnsi="Arial Narrow" w:cs="Arial"/>
                <w:sz w:val="20"/>
                <w:szCs w:val="20"/>
              </w:rPr>
            </w:pPr>
          </w:p>
        </w:tc>
        <w:tc>
          <w:tcPr>
            <w:tcW w:w="1289" w:type="dxa"/>
            <w:vAlign w:val="center"/>
          </w:tcPr>
          <w:p w14:paraId="73A1893A" w14:textId="360614FA" w:rsidR="00913B96" w:rsidRPr="00913B96" w:rsidRDefault="00913B96" w:rsidP="00CD6528">
            <w:pPr>
              <w:autoSpaceDE w:val="0"/>
              <w:autoSpaceDN w:val="0"/>
              <w:adjustRightInd w:val="0"/>
              <w:jc w:val="center"/>
              <w:rPr>
                <w:rFonts w:ascii="Arial Narrow" w:hAnsi="Arial Narrow" w:cs="Arial"/>
                <w:sz w:val="20"/>
                <w:szCs w:val="20"/>
              </w:rPr>
            </w:pPr>
            <w:r w:rsidRPr="00913B96">
              <w:rPr>
                <w:rFonts w:ascii="Arial Narrow" w:hAnsi="Arial Narrow" w:cs="Calibri"/>
                <w:color w:val="000000"/>
                <w:sz w:val="20"/>
                <w:szCs w:val="20"/>
              </w:rPr>
              <w:t>4AROA206.80</w:t>
            </w:r>
          </w:p>
        </w:tc>
        <w:tc>
          <w:tcPr>
            <w:tcW w:w="900" w:type="dxa"/>
            <w:vAlign w:val="center"/>
          </w:tcPr>
          <w:p w14:paraId="171A76A6" w14:textId="4697D76C" w:rsidR="00913B96" w:rsidRPr="00913B96" w:rsidRDefault="00913B96" w:rsidP="00CD6528">
            <w:pPr>
              <w:autoSpaceDE w:val="0"/>
              <w:autoSpaceDN w:val="0"/>
              <w:adjustRightInd w:val="0"/>
              <w:jc w:val="center"/>
              <w:rPr>
                <w:rFonts w:ascii="Arial Narrow" w:hAnsi="Arial Narrow" w:cs="Arial"/>
                <w:sz w:val="20"/>
                <w:szCs w:val="20"/>
              </w:rPr>
            </w:pPr>
            <w:r w:rsidRPr="00913B96">
              <w:rPr>
                <w:rFonts w:ascii="Arial Narrow" w:hAnsi="Arial Narrow" w:cs="Calibri"/>
                <w:color w:val="000000"/>
                <w:sz w:val="20"/>
                <w:szCs w:val="20"/>
              </w:rPr>
              <w:t>3</w:t>
            </w:r>
          </w:p>
        </w:tc>
        <w:tc>
          <w:tcPr>
            <w:tcW w:w="1620" w:type="dxa"/>
            <w:vAlign w:val="center"/>
          </w:tcPr>
          <w:p w14:paraId="47D0083A" w14:textId="4A3020B4" w:rsidR="00913B96" w:rsidRPr="00913B96" w:rsidRDefault="00913B96" w:rsidP="00CD6528">
            <w:pPr>
              <w:autoSpaceDE w:val="0"/>
              <w:autoSpaceDN w:val="0"/>
              <w:adjustRightInd w:val="0"/>
              <w:jc w:val="center"/>
              <w:rPr>
                <w:rFonts w:ascii="Arial Narrow" w:hAnsi="Arial Narrow" w:cs="Calibri"/>
                <w:color w:val="000000"/>
                <w:sz w:val="20"/>
                <w:szCs w:val="20"/>
              </w:rPr>
            </w:pPr>
            <w:r w:rsidRPr="00913B96">
              <w:rPr>
                <w:rFonts w:ascii="Arial Narrow" w:hAnsi="Arial Narrow" w:cs="Calibri"/>
                <w:color w:val="000000"/>
                <w:sz w:val="20"/>
                <w:szCs w:val="20"/>
              </w:rPr>
              <w:t>2/23/23 - 6/20/23</w:t>
            </w:r>
          </w:p>
        </w:tc>
        <w:tc>
          <w:tcPr>
            <w:tcW w:w="1102" w:type="dxa"/>
            <w:vAlign w:val="center"/>
          </w:tcPr>
          <w:p w14:paraId="6D468C74" w14:textId="304E368D" w:rsidR="00913B96" w:rsidRPr="00913B96" w:rsidRDefault="00913B96" w:rsidP="00CD6528">
            <w:pPr>
              <w:autoSpaceDE w:val="0"/>
              <w:autoSpaceDN w:val="0"/>
              <w:adjustRightInd w:val="0"/>
              <w:jc w:val="center"/>
              <w:rPr>
                <w:rFonts w:ascii="Arial Narrow" w:hAnsi="Arial Narrow" w:cs="Arial"/>
                <w:sz w:val="20"/>
                <w:szCs w:val="20"/>
              </w:rPr>
            </w:pPr>
            <w:proofErr w:type="spellStart"/>
            <w:r>
              <w:rPr>
                <w:rFonts w:ascii="Arial Narrow" w:hAnsi="Arial Narrow" w:cs="Calibri"/>
                <w:color w:val="000000"/>
                <w:sz w:val="20"/>
                <w:szCs w:val="20"/>
              </w:rPr>
              <w:t>nd</w:t>
            </w:r>
            <w:proofErr w:type="spellEnd"/>
          </w:p>
        </w:tc>
        <w:tc>
          <w:tcPr>
            <w:tcW w:w="1103" w:type="dxa"/>
            <w:vAlign w:val="center"/>
          </w:tcPr>
          <w:p w14:paraId="4B3CEFE6" w14:textId="708BAED8" w:rsidR="00913B96" w:rsidRPr="00913B96" w:rsidRDefault="00913B96" w:rsidP="00CD6528">
            <w:pPr>
              <w:autoSpaceDE w:val="0"/>
              <w:autoSpaceDN w:val="0"/>
              <w:adjustRightInd w:val="0"/>
              <w:jc w:val="center"/>
              <w:rPr>
                <w:rFonts w:ascii="Arial Narrow" w:hAnsi="Arial Narrow" w:cs="Calibri"/>
                <w:color w:val="000000"/>
                <w:sz w:val="20"/>
                <w:szCs w:val="20"/>
              </w:rPr>
            </w:pPr>
            <w:r w:rsidRPr="00913B96">
              <w:rPr>
                <w:rFonts w:ascii="Arial Narrow" w:hAnsi="Arial Narrow" w:cs="Calibri"/>
                <w:color w:val="000000"/>
                <w:sz w:val="20"/>
                <w:szCs w:val="20"/>
              </w:rPr>
              <w:t>0.7</w:t>
            </w:r>
          </w:p>
        </w:tc>
        <w:tc>
          <w:tcPr>
            <w:tcW w:w="1035" w:type="dxa"/>
            <w:vAlign w:val="center"/>
          </w:tcPr>
          <w:p w14:paraId="35949CBE" w14:textId="39BF8B9B" w:rsidR="00913B96" w:rsidRPr="00913B96" w:rsidRDefault="00913B96" w:rsidP="00CD6528">
            <w:pPr>
              <w:autoSpaceDE w:val="0"/>
              <w:autoSpaceDN w:val="0"/>
              <w:adjustRightInd w:val="0"/>
              <w:jc w:val="center"/>
              <w:rPr>
                <w:rFonts w:ascii="Arial Narrow" w:hAnsi="Arial Narrow" w:cs="Calibri"/>
                <w:color w:val="000000"/>
                <w:sz w:val="20"/>
                <w:szCs w:val="20"/>
              </w:rPr>
            </w:pPr>
            <w:r w:rsidRPr="00913B96">
              <w:rPr>
                <w:rFonts w:ascii="Arial Narrow" w:hAnsi="Arial Narrow" w:cs="Calibri"/>
                <w:color w:val="000000"/>
                <w:sz w:val="20"/>
                <w:szCs w:val="20"/>
              </w:rPr>
              <w:t>1.0</w:t>
            </w:r>
          </w:p>
        </w:tc>
        <w:tc>
          <w:tcPr>
            <w:tcW w:w="1170" w:type="dxa"/>
            <w:shd w:val="clear" w:color="auto" w:fill="auto"/>
            <w:vAlign w:val="center"/>
          </w:tcPr>
          <w:p w14:paraId="4A47CC21" w14:textId="4714F6E4" w:rsidR="00913B96" w:rsidRPr="00913B96" w:rsidRDefault="00913B96" w:rsidP="00CD6528">
            <w:pPr>
              <w:autoSpaceDE w:val="0"/>
              <w:autoSpaceDN w:val="0"/>
              <w:adjustRightInd w:val="0"/>
              <w:jc w:val="center"/>
              <w:rPr>
                <w:rFonts w:ascii="Arial Narrow" w:hAnsi="Arial Narrow" w:cs="Arial"/>
                <w:sz w:val="20"/>
                <w:szCs w:val="20"/>
              </w:rPr>
            </w:pPr>
            <w:r w:rsidRPr="00913B96">
              <w:rPr>
                <w:rFonts w:ascii="Arial Narrow" w:hAnsi="Arial Narrow" w:cs="Calibri"/>
                <w:color w:val="000000"/>
                <w:sz w:val="20"/>
                <w:szCs w:val="20"/>
              </w:rPr>
              <w:t>2.5</w:t>
            </w:r>
          </w:p>
        </w:tc>
      </w:tr>
      <w:tr w:rsidR="00913B96" w:rsidRPr="00C9297B" w14:paraId="476D3F85" w14:textId="77777777" w:rsidTr="000477C0">
        <w:trPr>
          <w:trHeight w:val="290"/>
        </w:trPr>
        <w:tc>
          <w:tcPr>
            <w:tcW w:w="1174" w:type="dxa"/>
            <w:tcBorders>
              <w:top w:val="nil"/>
              <w:bottom w:val="nil"/>
            </w:tcBorders>
            <w:vAlign w:val="center"/>
          </w:tcPr>
          <w:p w14:paraId="1FD6FE20" w14:textId="77777777" w:rsidR="00913B96" w:rsidRPr="00913B96" w:rsidRDefault="00913B96" w:rsidP="00CD6528">
            <w:pPr>
              <w:autoSpaceDE w:val="0"/>
              <w:autoSpaceDN w:val="0"/>
              <w:adjustRightInd w:val="0"/>
              <w:jc w:val="center"/>
              <w:rPr>
                <w:rFonts w:ascii="Arial Narrow" w:hAnsi="Arial Narrow" w:cs="Arial"/>
                <w:sz w:val="20"/>
                <w:szCs w:val="20"/>
              </w:rPr>
            </w:pPr>
          </w:p>
        </w:tc>
        <w:tc>
          <w:tcPr>
            <w:tcW w:w="1289" w:type="dxa"/>
            <w:vAlign w:val="center"/>
          </w:tcPr>
          <w:p w14:paraId="15DFD643" w14:textId="0A506E36" w:rsidR="00913B96" w:rsidRPr="00913B96" w:rsidRDefault="00913B96" w:rsidP="00CD6528">
            <w:pPr>
              <w:autoSpaceDE w:val="0"/>
              <w:autoSpaceDN w:val="0"/>
              <w:adjustRightInd w:val="0"/>
              <w:jc w:val="center"/>
              <w:rPr>
                <w:rFonts w:ascii="Arial Narrow" w:hAnsi="Arial Narrow" w:cs="Arial"/>
                <w:sz w:val="20"/>
                <w:szCs w:val="20"/>
              </w:rPr>
            </w:pPr>
            <w:r w:rsidRPr="00913B96">
              <w:rPr>
                <w:rFonts w:ascii="Arial Narrow" w:hAnsi="Arial Narrow" w:cs="Calibri"/>
                <w:color w:val="000000"/>
                <w:sz w:val="20"/>
                <w:szCs w:val="20"/>
              </w:rPr>
              <w:t>4AROA202.20</w:t>
            </w:r>
          </w:p>
        </w:tc>
        <w:tc>
          <w:tcPr>
            <w:tcW w:w="900" w:type="dxa"/>
            <w:vAlign w:val="center"/>
          </w:tcPr>
          <w:p w14:paraId="472B8A80" w14:textId="12BAF74D" w:rsidR="00913B96" w:rsidRPr="00913B96" w:rsidRDefault="00913B96" w:rsidP="00CD6528">
            <w:pPr>
              <w:autoSpaceDE w:val="0"/>
              <w:autoSpaceDN w:val="0"/>
              <w:adjustRightInd w:val="0"/>
              <w:jc w:val="center"/>
              <w:rPr>
                <w:rFonts w:ascii="Arial Narrow" w:hAnsi="Arial Narrow" w:cs="Arial"/>
                <w:sz w:val="20"/>
                <w:szCs w:val="20"/>
              </w:rPr>
            </w:pPr>
            <w:r w:rsidRPr="00913B96">
              <w:rPr>
                <w:rFonts w:ascii="Arial Narrow" w:hAnsi="Arial Narrow" w:cs="Calibri"/>
                <w:color w:val="000000"/>
                <w:sz w:val="20"/>
                <w:szCs w:val="20"/>
              </w:rPr>
              <w:t>3</w:t>
            </w:r>
          </w:p>
        </w:tc>
        <w:tc>
          <w:tcPr>
            <w:tcW w:w="1620" w:type="dxa"/>
            <w:vAlign w:val="center"/>
          </w:tcPr>
          <w:p w14:paraId="175AE830" w14:textId="29AE002B" w:rsidR="00913B96" w:rsidRPr="00913B96" w:rsidRDefault="00913B96" w:rsidP="00CD6528">
            <w:pPr>
              <w:autoSpaceDE w:val="0"/>
              <w:autoSpaceDN w:val="0"/>
              <w:adjustRightInd w:val="0"/>
              <w:jc w:val="center"/>
              <w:rPr>
                <w:rFonts w:ascii="Arial Narrow" w:hAnsi="Arial Narrow" w:cs="Calibri"/>
                <w:color w:val="000000"/>
                <w:sz w:val="20"/>
                <w:szCs w:val="20"/>
              </w:rPr>
            </w:pPr>
            <w:r w:rsidRPr="00913B96">
              <w:rPr>
                <w:rFonts w:ascii="Arial Narrow" w:hAnsi="Arial Narrow" w:cs="Calibri"/>
                <w:color w:val="000000"/>
                <w:sz w:val="20"/>
                <w:szCs w:val="20"/>
              </w:rPr>
              <w:t>3/14/23 - 6/22/23</w:t>
            </w:r>
          </w:p>
        </w:tc>
        <w:tc>
          <w:tcPr>
            <w:tcW w:w="1102" w:type="dxa"/>
            <w:vAlign w:val="center"/>
          </w:tcPr>
          <w:p w14:paraId="6C6D393F" w14:textId="724CAD65" w:rsidR="00913B96" w:rsidRPr="00913B96" w:rsidRDefault="00913B96" w:rsidP="00CD6528">
            <w:pPr>
              <w:autoSpaceDE w:val="0"/>
              <w:autoSpaceDN w:val="0"/>
              <w:adjustRightInd w:val="0"/>
              <w:jc w:val="center"/>
              <w:rPr>
                <w:rFonts w:ascii="Arial Narrow" w:hAnsi="Arial Narrow" w:cs="Arial"/>
                <w:sz w:val="20"/>
                <w:szCs w:val="20"/>
              </w:rPr>
            </w:pPr>
            <w:proofErr w:type="spellStart"/>
            <w:r>
              <w:rPr>
                <w:rFonts w:ascii="Arial Narrow" w:hAnsi="Arial Narrow" w:cs="Calibri"/>
                <w:color w:val="000000"/>
                <w:sz w:val="20"/>
                <w:szCs w:val="20"/>
              </w:rPr>
              <w:t>nd</w:t>
            </w:r>
            <w:proofErr w:type="spellEnd"/>
          </w:p>
        </w:tc>
        <w:tc>
          <w:tcPr>
            <w:tcW w:w="1103" w:type="dxa"/>
            <w:vAlign w:val="center"/>
          </w:tcPr>
          <w:p w14:paraId="6201A3D6" w14:textId="2CDA7F43" w:rsidR="00913B96" w:rsidRPr="00913B96" w:rsidRDefault="00913B96" w:rsidP="00CD6528">
            <w:pPr>
              <w:autoSpaceDE w:val="0"/>
              <w:autoSpaceDN w:val="0"/>
              <w:adjustRightInd w:val="0"/>
              <w:jc w:val="center"/>
              <w:rPr>
                <w:rFonts w:ascii="Arial Narrow" w:hAnsi="Arial Narrow" w:cs="Calibri"/>
                <w:color w:val="000000"/>
                <w:sz w:val="20"/>
                <w:szCs w:val="20"/>
              </w:rPr>
            </w:pPr>
            <w:proofErr w:type="spellStart"/>
            <w:r>
              <w:rPr>
                <w:rFonts w:ascii="Arial Narrow" w:hAnsi="Arial Narrow" w:cs="Calibri"/>
                <w:color w:val="000000"/>
                <w:sz w:val="20"/>
                <w:szCs w:val="20"/>
              </w:rPr>
              <w:t>nd</w:t>
            </w:r>
            <w:proofErr w:type="spellEnd"/>
          </w:p>
        </w:tc>
        <w:tc>
          <w:tcPr>
            <w:tcW w:w="1035" w:type="dxa"/>
            <w:vAlign w:val="center"/>
          </w:tcPr>
          <w:p w14:paraId="4757000B" w14:textId="60E910AA" w:rsidR="00913B96" w:rsidRPr="00913B96" w:rsidRDefault="00913B96" w:rsidP="00CD6528">
            <w:pPr>
              <w:autoSpaceDE w:val="0"/>
              <w:autoSpaceDN w:val="0"/>
              <w:adjustRightInd w:val="0"/>
              <w:jc w:val="center"/>
              <w:rPr>
                <w:rFonts w:ascii="Arial Narrow" w:hAnsi="Arial Narrow" w:cs="Calibri"/>
                <w:color w:val="000000"/>
                <w:sz w:val="20"/>
                <w:szCs w:val="20"/>
              </w:rPr>
            </w:pPr>
            <w:r w:rsidRPr="00913B96">
              <w:rPr>
                <w:rFonts w:ascii="Arial Narrow" w:hAnsi="Arial Narrow" w:cs="Calibri"/>
                <w:color w:val="000000"/>
                <w:sz w:val="20"/>
                <w:szCs w:val="20"/>
              </w:rPr>
              <w:t>1.9</w:t>
            </w:r>
          </w:p>
        </w:tc>
        <w:tc>
          <w:tcPr>
            <w:tcW w:w="1170" w:type="dxa"/>
            <w:shd w:val="clear" w:color="auto" w:fill="auto"/>
            <w:vAlign w:val="center"/>
          </w:tcPr>
          <w:p w14:paraId="12725681" w14:textId="430C7547" w:rsidR="00913B96" w:rsidRPr="00913B96" w:rsidRDefault="00913B96" w:rsidP="00CD6528">
            <w:pPr>
              <w:autoSpaceDE w:val="0"/>
              <w:autoSpaceDN w:val="0"/>
              <w:adjustRightInd w:val="0"/>
              <w:jc w:val="center"/>
              <w:rPr>
                <w:rFonts w:ascii="Arial Narrow" w:hAnsi="Arial Narrow" w:cs="Arial"/>
                <w:sz w:val="20"/>
                <w:szCs w:val="20"/>
              </w:rPr>
            </w:pPr>
            <w:r w:rsidRPr="00913B96">
              <w:rPr>
                <w:rFonts w:ascii="Arial Narrow" w:hAnsi="Arial Narrow" w:cs="Calibri"/>
                <w:color w:val="000000"/>
                <w:sz w:val="20"/>
                <w:szCs w:val="20"/>
              </w:rPr>
              <w:t>14.5</w:t>
            </w:r>
          </w:p>
        </w:tc>
      </w:tr>
      <w:tr w:rsidR="00913B96" w:rsidRPr="00C9297B" w14:paraId="5A89538A" w14:textId="77777777" w:rsidTr="000477C0">
        <w:trPr>
          <w:trHeight w:val="290"/>
        </w:trPr>
        <w:tc>
          <w:tcPr>
            <w:tcW w:w="1174" w:type="dxa"/>
            <w:tcBorders>
              <w:top w:val="nil"/>
              <w:bottom w:val="nil"/>
            </w:tcBorders>
            <w:vAlign w:val="center"/>
          </w:tcPr>
          <w:p w14:paraId="452AB50C" w14:textId="77777777" w:rsidR="00913B96" w:rsidRPr="00913B96" w:rsidRDefault="00913B96" w:rsidP="00CD6528">
            <w:pPr>
              <w:autoSpaceDE w:val="0"/>
              <w:autoSpaceDN w:val="0"/>
              <w:adjustRightInd w:val="0"/>
              <w:jc w:val="center"/>
              <w:rPr>
                <w:rFonts w:ascii="Arial Narrow" w:hAnsi="Arial Narrow" w:cs="Arial"/>
                <w:sz w:val="20"/>
                <w:szCs w:val="20"/>
              </w:rPr>
            </w:pPr>
          </w:p>
        </w:tc>
        <w:tc>
          <w:tcPr>
            <w:tcW w:w="1289" w:type="dxa"/>
            <w:vAlign w:val="center"/>
          </w:tcPr>
          <w:p w14:paraId="12705E23" w14:textId="4FFBEF1F" w:rsidR="00913B96" w:rsidRPr="00913B96" w:rsidRDefault="00913B96" w:rsidP="00CD6528">
            <w:pPr>
              <w:autoSpaceDE w:val="0"/>
              <w:autoSpaceDN w:val="0"/>
              <w:adjustRightInd w:val="0"/>
              <w:jc w:val="center"/>
              <w:rPr>
                <w:rFonts w:ascii="Arial Narrow" w:hAnsi="Arial Narrow" w:cs="Arial"/>
                <w:sz w:val="20"/>
                <w:szCs w:val="20"/>
              </w:rPr>
            </w:pPr>
            <w:r w:rsidRPr="00913B96">
              <w:rPr>
                <w:rFonts w:ascii="Arial Narrow" w:hAnsi="Arial Narrow" w:cs="Calibri"/>
                <w:color w:val="000000"/>
                <w:sz w:val="20"/>
                <w:szCs w:val="20"/>
              </w:rPr>
              <w:t>4AROA199.20</w:t>
            </w:r>
          </w:p>
        </w:tc>
        <w:tc>
          <w:tcPr>
            <w:tcW w:w="900" w:type="dxa"/>
            <w:vAlign w:val="center"/>
          </w:tcPr>
          <w:p w14:paraId="7BD810D8" w14:textId="279B74B4" w:rsidR="00913B96" w:rsidRPr="00913B96" w:rsidRDefault="00913B96" w:rsidP="00CD6528">
            <w:pPr>
              <w:autoSpaceDE w:val="0"/>
              <w:autoSpaceDN w:val="0"/>
              <w:adjustRightInd w:val="0"/>
              <w:jc w:val="center"/>
              <w:rPr>
                <w:rFonts w:ascii="Arial Narrow" w:hAnsi="Arial Narrow" w:cs="Arial"/>
                <w:sz w:val="20"/>
                <w:szCs w:val="20"/>
              </w:rPr>
            </w:pPr>
            <w:r w:rsidRPr="00913B96">
              <w:rPr>
                <w:rFonts w:ascii="Arial Narrow" w:hAnsi="Arial Narrow" w:cs="Calibri"/>
                <w:color w:val="000000"/>
                <w:sz w:val="20"/>
                <w:szCs w:val="20"/>
              </w:rPr>
              <w:t>2</w:t>
            </w:r>
          </w:p>
        </w:tc>
        <w:tc>
          <w:tcPr>
            <w:tcW w:w="1620" w:type="dxa"/>
            <w:vAlign w:val="center"/>
          </w:tcPr>
          <w:p w14:paraId="70AD8165" w14:textId="11D8EACB" w:rsidR="00913B96" w:rsidRPr="00913B96" w:rsidRDefault="00913B96" w:rsidP="00CD6528">
            <w:pPr>
              <w:autoSpaceDE w:val="0"/>
              <w:autoSpaceDN w:val="0"/>
              <w:adjustRightInd w:val="0"/>
              <w:jc w:val="center"/>
              <w:rPr>
                <w:rFonts w:ascii="Arial Narrow" w:hAnsi="Arial Narrow" w:cs="Calibri"/>
                <w:color w:val="000000"/>
                <w:sz w:val="20"/>
                <w:szCs w:val="20"/>
              </w:rPr>
            </w:pPr>
            <w:r w:rsidRPr="00913B96">
              <w:rPr>
                <w:rFonts w:ascii="Arial Narrow" w:hAnsi="Arial Narrow" w:cs="Calibri"/>
                <w:color w:val="000000"/>
                <w:sz w:val="20"/>
                <w:szCs w:val="20"/>
              </w:rPr>
              <w:t>3/14/23 - 5/23/23</w:t>
            </w:r>
          </w:p>
        </w:tc>
        <w:tc>
          <w:tcPr>
            <w:tcW w:w="1102" w:type="dxa"/>
            <w:vAlign w:val="center"/>
          </w:tcPr>
          <w:p w14:paraId="2B0B2E26" w14:textId="0CDC4353" w:rsidR="00913B96" w:rsidRPr="00913B96" w:rsidRDefault="00913B96" w:rsidP="00CD6528">
            <w:pPr>
              <w:autoSpaceDE w:val="0"/>
              <w:autoSpaceDN w:val="0"/>
              <w:adjustRightInd w:val="0"/>
              <w:jc w:val="center"/>
              <w:rPr>
                <w:rFonts w:ascii="Arial Narrow" w:hAnsi="Arial Narrow" w:cs="Arial"/>
                <w:sz w:val="20"/>
                <w:szCs w:val="20"/>
              </w:rPr>
            </w:pPr>
            <w:proofErr w:type="spellStart"/>
            <w:r>
              <w:rPr>
                <w:rFonts w:ascii="Arial Narrow" w:hAnsi="Arial Narrow" w:cs="Calibri"/>
                <w:color w:val="000000"/>
                <w:sz w:val="20"/>
                <w:szCs w:val="20"/>
              </w:rPr>
              <w:t>nd</w:t>
            </w:r>
            <w:proofErr w:type="spellEnd"/>
          </w:p>
        </w:tc>
        <w:tc>
          <w:tcPr>
            <w:tcW w:w="1103" w:type="dxa"/>
            <w:vAlign w:val="center"/>
          </w:tcPr>
          <w:p w14:paraId="6C49B08A" w14:textId="16B52619" w:rsidR="00913B96" w:rsidRPr="00913B96" w:rsidRDefault="00913B96" w:rsidP="00CD6528">
            <w:pPr>
              <w:autoSpaceDE w:val="0"/>
              <w:autoSpaceDN w:val="0"/>
              <w:adjustRightInd w:val="0"/>
              <w:jc w:val="center"/>
              <w:rPr>
                <w:rFonts w:ascii="Arial Narrow" w:hAnsi="Arial Narrow" w:cs="Calibri"/>
                <w:color w:val="000000"/>
                <w:sz w:val="20"/>
                <w:szCs w:val="20"/>
              </w:rPr>
            </w:pPr>
            <w:r w:rsidRPr="00913B96">
              <w:rPr>
                <w:rFonts w:ascii="Arial Narrow" w:hAnsi="Arial Narrow" w:cs="Calibri"/>
                <w:color w:val="000000"/>
                <w:sz w:val="20"/>
                <w:szCs w:val="20"/>
              </w:rPr>
              <w:t>1.1</w:t>
            </w:r>
          </w:p>
        </w:tc>
        <w:tc>
          <w:tcPr>
            <w:tcW w:w="1035" w:type="dxa"/>
            <w:vAlign w:val="center"/>
          </w:tcPr>
          <w:p w14:paraId="56B66E1A" w14:textId="3E833B9D" w:rsidR="00913B96" w:rsidRPr="00913B96" w:rsidRDefault="00913B96" w:rsidP="00CD6528">
            <w:pPr>
              <w:autoSpaceDE w:val="0"/>
              <w:autoSpaceDN w:val="0"/>
              <w:adjustRightInd w:val="0"/>
              <w:jc w:val="center"/>
              <w:rPr>
                <w:rFonts w:ascii="Arial Narrow" w:hAnsi="Arial Narrow" w:cs="Calibri"/>
                <w:color w:val="000000"/>
                <w:sz w:val="20"/>
                <w:szCs w:val="20"/>
              </w:rPr>
            </w:pPr>
            <w:r w:rsidRPr="00913B96">
              <w:rPr>
                <w:rFonts w:ascii="Arial Narrow" w:hAnsi="Arial Narrow" w:cs="Calibri"/>
                <w:color w:val="000000"/>
                <w:sz w:val="20"/>
                <w:szCs w:val="20"/>
              </w:rPr>
              <w:t>6.7</w:t>
            </w:r>
          </w:p>
        </w:tc>
        <w:tc>
          <w:tcPr>
            <w:tcW w:w="1170" w:type="dxa"/>
            <w:shd w:val="clear" w:color="auto" w:fill="auto"/>
            <w:vAlign w:val="center"/>
          </w:tcPr>
          <w:p w14:paraId="0D7848B1" w14:textId="5915835E" w:rsidR="00913B96" w:rsidRPr="00913B96" w:rsidRDefault="00913B96" w:rsidP="00CD6528">
            <w:pPr>
              <w:autoSpaceDE w:val="0"/>
              <w:autoSpaceDN w:val="0"/>
              <w:adjustRightInd w:val="0"/>
              <w:jc w:val="center"/>
              <w:rPr>
                <w:rFonts w:ascii="Arial Narrow" w:hAnsi="Arial Narrow" w:cs="Arial"/>
                <w:sz w:val="20"/>
                <w:szCs w:val="20"/>
              </w:rPr>
            </w:pPr>
            <w:r w:rsidRPr="00913B96">
              <w:rPr>
                <w:rFonts w:ascii="Arial Narrow" w:hAnsi="Arial Narrow" w:cs="Calibri"/>
                <w:color w:val="000000"/>
                <w:sz w:val="20"/>
                <w:szCs w:val="20"/>
              </w:rPr>
              <w:t>10.6</w:t>
            </w:r>
          </w:p>
        </w:tc>
      </w:tr>
      <w:tr w:rsidR="00913B96" w:rsidRPr="00C9297B" w14:paraId="393F4457" w14:textId="77777777" w:rsidTr="000477C0">
        <w:trPr>
          <w:trHeight w:val="290"/>
        </w:trPr>
        <w:tc>
          <w:tcPr>
            <w:tcW w:w="1174" w:type="dxa"/>
            <w:tcBorders>
              <w:top w:val="nil"/>
            </w:tcBorders>
            <w:vAlign w:val="center"/>
          </w:tcPr>
          <w:p w14:paraId="6156B989" w14:textId="77777777" w:rsidR="00913B96" w:rsidRPr="00913B96" w:rsidRDefault="00913B96" w:rsidP="00CD6528">
            <w:pPr>
              <w:autoSpaceDE w:val="0"/>
              <w:autoSpaceDN w:val="0"/>
              <w:adjustRightInd w:val="0"/>
              <w:jc w:val="center"/>
              <w:rPr>
                <w:rFonts w:ascii="Arial Narrow" w:hAnsi="Arial Narrow" w:cs="Arial"/>
                <w:sz w:val="20"/>
                <w:szCs w:val="20"/>
              </w:rPr>
            </w:pPr>
          </w:p>
        </w:tc>
        <w:tc>
          <w:tcPr>
            <w:tcW w:w="1289" w:type="dxa"/>
            <w:vAlign w:val="center"/>
          </w:tcPr>
          <w:p w14:paraId="5718A5E5" w14:textId="295D8903" w:rsidR="00913B96" w:rsidRPr="00913B96" w:rsidRDefault="00913B96" w:rsidP="00CD6528">
            <w:pPr>
              <w:autoSpaceDE w:val="0"/>
              <w:autoSpaceDN w:val="0"/>
              <w:adjustRightInd w:val="0"/>
              <w:jc w:val="center"/>
              <w:rPr>
                <w:rFonts w:ascii="Arial Narrow" w:hAnsi="Arial Narrow" w:cs="Arial"/>
                <w:sz w:val="20"/>
                <w:szCs w:val="20"/>
              </w:rPr>
            </w:pPr>
            <w:r w:rsidRPr="00913B96">
              <w:rPr>
                <w:rFonts w:ascii="Arial Narrow" w:hAnsi="Arial Narrow" w:cs="Calibri"/>
                <w:color w:val="000000"/>
                <w:sz w:val="20"/>
                <w:szCs w:val="20"/>
              </w:rPr>
              <w:t>4AROA198.08</w:t>
            </w:r>
          </w:p>
        </w:tc>
        <w:tc>
          <w:tcPr>
            <w:tcW w:w="900" w:type="dxa"/>
            <w:vAlign w:val="center"/>
          </w:tcPr>
          <w:p w14:paraId="67A115F6" w14:textId="261C7D91" w:rsidR="00913B96" w:rsidRPr="00913B96" w:rsidRDefault="00913B96" w:rsidP="00CD6528">
            <w:pPr>
              <w:autoSpaceDE w:val="0"/>
              <w:autoSpaceDN w:val="0"/>
              <w:adjustRightInd w:val="0"/>
              <w:jc w:val="center"/>
              <w:rPr>
                <w:rFonts w:ascii="Arial Narrow" w:hAnsi="Arial Narrow" w:cs="Arial"/>
                <w:sz w:val="20"/>
                <w:szCs w:val="20"/>
              </w:rPr>
            </w:pPr>
            <w:r w:rsidRPr="00913B96">
              <w:rPr>
                <w:rFonts w:ascii="Arial Narrow" w:hAnsi="Arial Narrow" w:cs="Calibri"/>
                <w:color w:val="000000"/>
                <w:sz w:val="20"/>
                <w:szCs w:val="20"/>
              </w:rPr>
              <w:t>5</w:t>
            </w:r>
          </w:p>
        </w:tc>
        <w:tc>
          <w:tcPr>
            <w:tcW w:w="1620" w:type="dxa"/>
            <w:vAlign w:val="center"/>
          </w:tcPr>
          <w:p w14:paraId="6C9257E9" w14:textId="2E09FC05" w:rsidR="00913B96" w:rsidRPr="00913B96" w:rsidRDefault="00913B96" w:rsidP="00CD6528">
            <w:pPr>
              <w:autoSpaceDE w:val="0"/>
              <w:autoSpaceDN w:val="0"/>
              <w:adjustRightInd w:val="0"/>
              <w:jc w:val="center"/>
              <w:rPr>
                <w:rFonts w:ascii="Arial Narrow" w:hAnsi="Arial Narrow" w:cs="Calibri"/>
                <w:color w:val="000000"/>
                <w:sz w:val="20"/>
                <w:szCs w:val="20"/>
              </w:rPr>
            </w:pPr>
            <w:r w:rsidRPr="00913B96">
              <w:rPr>
                <w:rFonts w:ascii="Arial Narrow" w:hAnsi="Arial Narrow" w:cs="Calibri"/>
                <w:color w:val="000000"/>
                <w:sz w:val="20"/>
                <w:szCs w:val="20"/>
              </w:rPr>
              <w:t>5/6/22 - 6/20/23</w:t>
            </w:r>
          </w:p>
        </w:tc>
        <w:tc>
          <w:tcPr>
            <w:tcW w:w="1102" w:type="dxa"/>
            <w:vAlign w:val="center"/>
          </w:tcPr>
          <w:p w14:paraId="29D45B0E" w14:textId="77D2C7B3" w:rsidR="00913B96" w:rsidRPr="00913B96" w:rsidRDefault="00913B96" w:rsidP="00CD6528">
            <w:pPr>
              <w:autoSpaceDE w:val="0"/>
              <w:autoSpaceDN w:val="0"/>
              <w:adjustRightInd w:val="0"/>
              <w:jc w:val="center"/>
              <w:rPr>
                <w:rFonts w:ascii="Arial Narrow" w:hAnsi="Arial Narrow" w:cs="Arial"/>
                <w:sz w:val="20"/>
                <w:szCs w:val="20"/>
              </w:rPr>
            </w:pPr>
            <w:r w:rsidRPr="00913B96">
              <w:rPr>
                <w:rFonts w:ascii="Arial Narrow" w:hAnsi="Arial Narrow" w:cs="Calibri"/>
                <w:color w:val="000000"/>
                <w:sz w:val="20"/>
                <w:szCs w:val="20"/>
              </w:rPr>
              <w:t>3.3</w:t>
            </w:r>
          </w:p>
        </w:tc>
        <w:tc>
          <w:tcPr>
            <w:tcW w:w="1103" w:type="dxa"/>
            <w:vAlign w:val="center"/>
          </w:tcPr>
          <w:p w14:paraId="2F014883" w14:textId="6C440B1F" w:rsidR="00913B96" w:rsidRPr="00913B96" w:rsidRDefault="00913B96" w:rsidP="00CD6528">
            <w:pPr>
              <w:autoSpaceDE w:val="0"/>
              <w:autoSpaceDN w:val="0"/>
              <w:adjustRightInd w:val="0"/>
              <w:jc w:val="center"/>
              <w:rPr>
                <w:rFonts w:ascii="Arial Narrow" w:hAnsi="Arial Narrow" w:cs="Calibri"/>
                <w:color w:val="000000"/>
                <w:sz w:val="20"/>
                <w:szCs w:val="20"/>
              </w:rPr>
            </w:pPr>
            <w:r w:rsidRPr="00913B96">
              <w:rPr>
                <w:rFonts w:ascii="Arial Narrow" w:hAnsi="Arial Narrow" w:cs="Calibri"/>
                <w:color w:val="000000"/>
                <w:sz w:val="20"/>
                <w:szCs w:val="20"/>
              </w:rPr>
              <w:t>1.0</w:t>
            </w:r>
          </w:p>
        </w:tc>
        <w:tc>
          <w:tcPr>
            <w:tcW w:w="1035" w:type="dxa"/>
            <w:vAlign w:val="center"/>
          </w:tcPr>
          <w:p w14:paraId="41CE90A4" w14:textId="096B9016" w:rsidR="00913B96" w:rsidRPr="00913B96" w:rsidRDefault="00913B96" w:rsidP="00CD6528">
            <w:pPr>
              <w:autoSpaceDE w:val="0"/>
              <w:autoSpaceDN w:val="0"/>
              <w:adjustRightInd w:val="0"/>
              <w:jc w:val="center"/>
              <w:rPr>
                <w:rFonts w:ascii="Arial Narrow" w:hAnsi="Arial Narrow" w:cs="Calibri"/>
                <w:color w:val="000000"/>
                <w:sz w:val="20"/>
                <w:szCs w:val="20"/>
              </w:rPr>
            </w:pPr>
            <w:r w:rsidRPr="00913B96">
              <w:rPr>
                <w:rFonts w:ascii="Arial Narrow" w:hAnsi="Arial Narrow" w:cs="Calibri"/>
                <w:color w:val="000000"/>
                <w:sz w:val="20"/>
                <w:szCs w:val="20"/>
              </w:rPr>
              <w:t>2.7</w:t>
            </w:r>
          </w:p>
        </w:tc>
        <w:tc>
          <w:tcPr>
            <w:tcW w:w="1170" w:type="dxa"/>
            <w:shd w:val="clear" w:color="auto" w:fill="auto"/>
            <w:vAlign w:val="center"/>
          </w:tcPr>
          <w:p w14:paraId="29ABA756" w14:textId="10BFE6EC" w:rsidR="00913B96" w:rsidRPr="00913B96" w:rsidRDefault="00913B96" w:rsidP="00CD6528">
            <w:pPr>
              <w:autoSpaceDE w:val="0"/>
              <w:autoSpaceDN w:val="0"/>
              <w:adjustRightInd w:val="0"/>
              <w:jc w:val="center"/>
              <w:rPr>
                <w:rFonts w:ascii="Arial Narrow" w:hAnsi="Arial Narrow" w:cs="Arial"/>
                <w:sz w:val="20"/>
                <w:szCs w:val="20"/>
              </w:rPr>
            </w:pPr>
            <w:r w:rsidRPr="00913B96">
              <w:rPr>
                <w:rFonts w:ascii="Arial Narrow" w:hAnsi="Arial Narrow" w:cs="Calibri"/>
                <w:color w:val="000000"/>
                <w:sz w:val="20"/>
                <w:szCs w:val="20"/>
              </w:rPr>
              <w:t>13.4</w:t>
            </w:r>
          </w:p>
        </w:tc>
      </w:tr>
      <w:tr w:rsidR="00913B96" w:rsidRPr="00C9297B" w14:paraId="288CFDCF" w14:textId="77777777" w:rsidTr="000477C0">
        <w:trPr>
          <w:trHeight w:val="290"/>
        </w:trPr>
        <w:tc>
          <w:tcPr>
            <w:tcW w:w="1174" w:type="dxa"/>
            <w:vAlign w:val="center"/>
          </w:tcPr>
          <w:p w14:paraId="4B2D9CFD" w14:textId="2D0A9CD0" w:rsidR="00913B96" w:rsidRPr="00913B96" w:rsidRDefault="00913B96" w:rsidP="00CD6528">
            <w:pPr>
              <w:autoSpaceDE w:val="0"/>
              <w:autoSpaceDN w:val="0"/>
              <w:adjustRightInd w:val="0"/>
              <w:jc w:val="center"/>
              <w:rPr>
                <w:rFonts w:ascii="Arial Narrow" w:hAnsi="Arial Narrow" w:cs="Arial"/>
                <w:sz w:val="20"/>
                <w:szCs w:val="20"/>
              </w:rPr>
            </w:pPr>
            <w:r w:rsidRPr="00913B96">
              <w:rPr>
                <w:rFonts w:ascii="Arial Narrow" w:hAnsi="Arial Narrow" w:cs="Calibri"/>
                <w:color w:val="000000"/>
                <w:sz w:val="20"/>
                <w:szCs w:val="20"/>
              </w:rPr>
              <w:t>Tinker Creek</w:t>
            </w:r>
          </w:p>
        </w:tc>
        <w:tc>
          <w:tcPr>
            <w:tcW w:w="1289" w:type="dxa"/>
            <w:vAlign w:val="center"/>
          </w:tcPr>
          <w:p w14:paraId="2FEC7884" w14:textId="0B2EB06E" w:rsidR="00913B96" w:rsidRPr="00913B96" w:rsidRDefault="00913B96" w:rsidP="00CD6528">
            <w:pPr>
              <w:autoSpaceDE w:val="0"/>
              <w:autoSpaceDN w:val="0"/>
              <w:adjustRightInd w:val="0"/>
              <w:jc w:val="center"/>
              <w:rPr>
                <w:rFonts w:ascii="Arial Narrow" w:hAnsi="Arial Narrow" w:cs="Arial"/>
                <w:sz w:val="20"/>
                <w:szCs w:val="20"/>
              </w:rPr>
            </w:pPr>
            <w:r w:rsidRPr="00913B96">
              <w:rPr>
                <w:rFonts w:ascii="Arial Narrow" w:hAnsi="Arial Narrow" w:cs="Calibri"/>
                <w:color w:val="000000"/>
                <w:sz w:val="20"/>
                <w:szCs w:val="20"/>
              </w:rPr>
              <w:t>4ATKR000.69</w:t>
            </w:r>
          </w:p>
        </w:tc>
        <w:tc>
          <w:tcPr>
            <w:tcW w:w="900" w:type="dxa"/>
            <w:vAlign w:val="center"/>
          </w:tcPr>
          <w:p w14:paraId="1DD83B4B" w14:textId="5BBC812A" w:rsidR="00913B96" w:rsidRPr="00913B96" w:rsidRDefault="00913B96" w:rsidP="00CD6528">
            <w:pPr>
              <w:autoSpaceDE w:val="0"/>
              <w:autoSpaceDN w:val="0"/>
              <w:adjustRightInd w:val="0"/>
              <w:jc w:val="center"/>
              <w:rPr>
                <w:rFonts w:ascii="Arial Narrow" w:hAnsi="Arial Narrow" w:cs="Arial"/>
                <w:sz w:val="20"/>
                <w:szCs w:val="20"/>
              </w:rPr>
            </w:pPr>
            <w:r w:rsidRPr="00913B96">
              <w:rPr>
                <w:rFonts w:ascii="Arial Narrow" w:hAnsi="Arial Narrow" w:cs="Calibri"/>
                <w:color w:val="000000"/>
                <w:sz w:val="20"/>
                <w:szCs w:val="20"/>
              </w:rPr>
              <w:t>2</w:t>
            </w:r>
          </w:p>
        </w:tc>
        <w:tc>
          <w:tcPr>
            <w:tcW w:w="1620" w:type="dxa"/>
            <w:vAlign w:val="center"/>
          </w:tcPr>
          <w:p w14:paraId="47EBE4C0" w14:textId="69B417F9" w:rsidR="00913B96" w:rsidRPr="00913B96" w:rsidRDefault="00913B96" w:rsidP="00CD6528">
            <w:pPr>
              <w:autoSpaceDE w:val="0"/>
              <w:autoSpaceDN w:val="0"/>
              <w:adjustRightInd w:val="0"/>
              <w:jc w:val="center"/>
              <w:rPr>
                <w:rFonts w:ascii="Arial Narrow" w:hAnsi="Arial Narrow" w:cs="Calibri"/>
                <w:color w:val="000000"/>
                <w:sz w:val="20"/>
                <w:szCs w:val="20"/>
              </w:rPr>
            </w:pPr>
            <w:r w:rsidRPr="00913B96">
              <w:rPr>
                <w:rFonts w:ascii="Arial Narrow" w:hAnsi="Arial Narrow" w:cs="Calibri"/>
                <w:color w:val="000000"/>
                <w:sz w:val="20"/>
                <w:szCs w:val="20"/>
              </w:rPr>
              <w:t>3/14/23 - 5/23/23</w:t>
            </w:r>
          </w:p>
        </w:tc>
        <w:tc>
          <w:tcPr>
            <w:tcW w:w="1102" w:type="dxa"/>
            <w:vAlign w:val="center"/>
          </w:tcPr>
          <w:p w14:paraId="0B676FD6" w14:textId="6C49685C" w:rsidR="00913B96" w:rsidRPr="00913B96" w:rsidRDefault="00913B96" w:rsidP="00CD6528">
            <w:pPr>
              <w:autoSpaceDE w:val="0"/>
              <w:autoSpaceDN w:val="0"/>
              <w:adjustRightInd w:val="0"/>
              <w:jc w:val="center"/>
              <w:rPr>
                <w:rFonts w:ascii="Arial Narrow" w:hAnsi="Arial Narrow" w:cs="Arial"/>
                <w:sz w:val="20"/>
                <w:szCs w:val="20"/>
              </w:rPr>
            </w:pPr>
            <w:proofErr w:type="spellStart"/>
            <w:r>
              <w:rPr>
                <w:rFonts w:ascii="Arial Narrow" w:hAnsi="Arial Narrow" w:cs="Calibri"/>
                <w:color w:val="000000"/>
                <w:sz w:val="20"/>
                <w:szCs w:val="20"/>
              </w:rPr>
              <w:t>nd</w:t>
            </w:r>
            <w:proofErr w:type="spellEnd"/>
          </w:p>
        </w:tc>
        <w:tc>
          <w:tcPr>
            <w:tcW w:w="1103" w:type="dxa"/>
            <w:vAlign w:val="center"/>
          </w:tcPr>
          <w:p w14:paraId="5A3BA5CC" w14:textId="31FB494C" w:rsidR="00913B96" w:rsidRPr="00913B96" w:rsidRDefault="00913B96" w:rsidP="00CD6528">
            <w:pPr>
              <w:autoSpaceDE w:val="0"/>
              <w:autoSpaceDN w:val="0"/>
              <w:adjustRightInd w:val="0"/>
              <w:jc w:val="center"/>
              <w:rPr>
                <w:rFonts w:ascii="Arial Narrow" w:hAnsi="Arial Narrow" w:cs="Calibri"/>
                <w:color w:val="000000"/>
                <w:sz w:val="20"/>
                <w:szCs w:val="20"/>
              </w:rPr>
            </w:pPr>
            <w:r w:rsidRPr="00913B96">
              <w:rPr>
                <w:rFonts w:ascii="Arial Narrow" w:hAnsi="Arial Narrow" w:cs="Calibri"/>
                <w:color w:val="000000"/>
                <w:sz w:val="20"/>
                <w:szCs w:val="20"/>
              </w:rPr>
              <w:t>1.0</w:t>
            </w:r>
          </w:p>
        </w:tc>
        <w:tc>
          <w:tcPr>
            <w:tcW w:w="1035" w:type="dxa"/>
            <w:vAlign w:val="center"/>
          </w:tcPr>
          <w:p w14:paraId="224E38F1" w14:textId="1037BBDC" w:rsidR="00913B96" w:rsidRPr="00913B96" w:rsidRDefault="00913B96" w:rsidP="00CD6528">
            <w:pPr>
              <w:autoSpaceDE w:val="0"/>
              <w:autoSpaceDN w:val="0"/>
              <w:adjustRightInd w:val="0"/>
              <w:jc w:val="center"/>
              <w:rPr>
                <w:rFonts w:ascii="Arial Narrow" w:hAnsi="Arial Narrow" w:cs="Calibri"/>
                <w:color w:val="000000"/>
                <w:sz w:val="20"/>
                <w:szCs w:val="20"/>
              </w:rPr>
            </w:pPr>
            <w:r w:rsidRPr="00913B96">
              <w:rPr>
                <w:rFonts w:ascii="Arial Narrow" w:hAnsi="Arial Narrow" w:cs="Calibri"/>
                <w:color w:val="000000"/>
                <w:sz w:val="20"/>
                <w:szCs w:val="20"/>
              </w:rPr>
              <w:t>4.5</w:t>
            </w:r>
          </w:p>
        </w:tc>
        <w:tc>
          <w:tcPr>
            <w:tcW w:w="1170" w:type="dxa"/>
            <w:shd w:val="clear" w:color="auto" w:fill="auto"/>
            <w:vAlign w:val="center"/>
          </w:tcPr>
          <w:p w14:paraId="40D4389F" w14:textId="26C3B9CA" w:rsidR="00913B96" w:rsidRPr="00913B96" w:rsidRDefault="00913B96" w:rsidP="00CD6528">
            <w:pPr>
              <w:autoSpaceDE w:val="0"/>
              <w:autoSpaceDN w:val="0"/>
              <w:adjustRightInd w:val="0"/>
              <w:jc w:val="center"/>
              <w:rPr>
                <w:rFonts w:ascii="Arial Narrow" w:hAnsi="Arial Narrow" w:cs="Arial"/>
                <w:sz w:val="20"/>
                <w:szCs w:val="20"/>
              </w:rPr>
            </w:pPr>
            <w:r w:rsidRPr="00913B96">
              <w:rPr>
                <w:rFonts w:ascii="Arial Narrow" w:hAnsi="Arial Narrow" w:cs="Calibri"/>
                <w:color w:val="000000"/>
                <w:sz w:val="20"/>
                <w:szCs w:val="20"/>
              </w:rPr>
              <w:t>14.8</w:t>
            </w:r>
          </w:p>
        </w:tc>
      </w:tr>
    </w:tbl>
    <w:p w14:paraId="62231D86" w14:textId="77777777" w:rsidR="000477C0" w:rsidRDefault="00CD6528" w:rsidP="000477C0">
      <w:pPr>
        <w:pStyle w:val="BlockText"/>
        <w:spacing w:before="0" w:after="0" w:line="240" w:lineRule="auto"/>
        <w:rPr>
          <w:rFonts w:ascii="Arial Narrow" w:hAnsi="Arial Narrow"/>
          <w:sz w:val="20"/>
          <w:szCs w:val="20"/>
        </w:rPr>
      </w:pPr>
      <w:r w:rsidRPr="00CD6528">
        <w:rPr>
          <w:rFonts w:ascii="Arial Narrow" w:hAnsi="Arial Narrow"/>
          <w:sz w:val="20"/>
          <w:szCs w:val="20"/>
          <w:vertAlign w:val="superscript"/>
        </w:rPr>
        <w:t>1</w:t>
      </w:r>
      <w:r w:rsidRPr="00CD6528">
        <w:rPr>
          <w:rFonts w:ascii="Arial Narrow" w:hAnsi="Arial Narrow"/>
          <w:sz w:val="20"/>
          <w:szCs w:val="20"/>
        </w:rPr>
        <w:t xml:space="preserve"> </w:t>
      </w:r>
      <w:proofErr w:type="spellStart"/>
      <w:r w:rsidR="000477C0">
        <w:rPr>
          <w:rFonts w:ascii="Arial Narrow" w:hAnsi="Arial Narrow"/>
          <w:sz w:val="20"/>
          <w:szCs w:val="20"/>
        </w:rPr>
        <w:t>GenX</w:t>
      </w:r>
      <w:proofErr w:type="spellEnd"/>
      <w:r w:rsidR="000477C0">
        <w:rPr>
          <w:rFonts w:ascii="Arial Narrow" w:hAnsi="Arial Narrow"/>
          <w:sz w:val="20"/>
          <w:szCs w:val="20"/>
        </w:rPr>
        <w:t xml:space="preserve"> is the common name for </w:t>
      </w:r>
      <w:r w:rsidR="000477C0" w:rsidRPr="000477C0">
        <w:rPr>
          <w:rFonts w:ascii="Arial Narrow" w:hAnsi="Arial Narrow"/>
          <w:sz w:val="20"/>
          <w:szCs w:val="20"/>
        </w:rPr>
        <w:t>hexafluoropropylene oxide dimer acid</w:t>
      </w:r>
      <w:r w:rsidR="000477C0">
        <w:rPr>
          <w:rFonts w:ascii="Arial Narrow" w:hAnsi="Arial Narrow"/>
          <w:sz w:val="20"/>
          <w:szCs w:val="20"/>
        </w:rPr>
        <w:t>.</w:t>
      </w:r>
    </w:p>
    <w:p w14:paraId="3C8B94A3" w14:textId="34040EE0" w:rsidR="000477C0" w:rsidRDefault="000477C0" w:rsidP="000477C0">
      <w:pPr>
        <w:pStyle w:val="BlockText"/>
        <w:spacing w:before="0" w:after="0" w:line="240" w:lineRule="auto"/>
        <w:rPr>
          <w:rFonts w:ascii="Arial Narrow" w:hAnsi="Arial Narrow"/>
          <w:sz w:val="20"/>
          <w:szCs w:val="20"/>
        </w:rPr>
      </w:pPr>
      <w:r w:rsidRPr="000477C0">
        <w:rPr>
          <w:rFonts w:ascii="Arial Narrow" w:hAnsi="Arial Narrow"/>
          <w:sz w:val="20"/>
          <w:szCs w:val="20"/>
          <w:vertAlign w:val="superscript"/>
        </w:rPr>
        <w:t>2</w:t>
      </w:r>
      <w:r>
        <w:rPr>
          <w:rFonts w:ascii="Arial Narrow" w:hAnsi="Arial Narrow"/>
          <w:sz w:val="20"/>
          <w:szCs w:val="20"/>
        </w:rPr>
        <w:t xml:space="preserve"> PFOA = </w:t>
      </w:r>
      <w:r w:rsidRPr="000477C0">
        <w:rPr>
          <w:rFonts w:ascii="Arial Narrow" w:hAnsi="Arial Narrow"/>
          <w:sz w:val="20"/>
          <w:szCs w:val="20"/>
        </w:rPr>
        <w:t>Perfluorooctanoic acid</w:t>
      </w:r>
      <w:r>
        <w:rPr>
          <w:rFonts w:ascii="Arial Narrow" w:hAnsi="Arial Narrow"/>
          <w:sz w:val="20"/>
          <w:szCs w:val="20"/>
        </w:rPr>
        <w:t>.</w:t>
      </w:r>
    </w:p>
    <w:p w14:paraId="7DEA4859" w14:textId="707DC043" w:rsidR="000477C0" w:rsidRDefault="000477C0" w:rsidP="000477C0">
      <w:pPr>
        <w:pStyle w:val="BlockText"/>
        <w:spacing w:before="0" w:after="0" w:line="240" w:lineRule="auto"/>
        <w:rPr>
          <w:rFonts w:ascii="Arial Narrow" w:hAnsi="Arial Narrow"/>
          <w:sz w:val="20"/>
          <w:szCs w:val="20"/>
        </w:rPr>
      </w:pPr>
      <w:r w:rsidRPr="000477C0">
        <w:rPr>
          <w:rFonts w:ascii="Arial Narrow" w:hAnsi="Arial Narrow"/>
          <w:sz w:val="20"/>
          <w:szCs w:val="20"/>
          <w:vertAlign w:val="superscript"/>
        </w:rPr>
        <w:t>3</w:t>
      </w:r>
      <w:r>
        <w:rPr>
          <w:rFonts w:ascii="Arial Narrow" w:hAnsi="Arial Narrow"/>
          <w:sz w:val="20"/>
          <w:szCs w:val="20"/>
        </w:rPr>
        <w:t xml:space="preserve"> PFOS = </w:t>
      </w:r>
      <w:proofErr w:type="spellStart"/>
      <w:r w:rsidR="006C18CA" w:rsidRPr="006C18CA">
        <w:rPr>
          <w:rFonts w:ascii="Arial Narrow" w:hAnsi="Arial Narrow"/>
          <w:sz w:val="20"/>
          <w:szCs w:val="20"/>
        </w:rPr>
        <w:t>Perfluorooctanesulfonic</w:t>
      </w:r>
      <w:proofErr w:type="spellEnd"/>
      <w:r w:rsidR="006C18CA" w:rsidRPr="006C18CA">
        <w:rPr>
          <w:rFonts w:ascii="Arial Narrow" w:hAnsi="Arial Narrow"/>
          <w:sz w:val="20"/>
          <w:szCs w:val="20"/>
        </w:rPr>
        <w:t xml:space="preserve"> acid</w:t>
      </w:r>
      <w:r w:rsidR="006C18CA">
        <w:rPr>
          <w:rFonts w:ascii="Arial Narrow" w:hAnsi="Arial Narrow"/>
          <w:sz w:val="20"/>
          <w:szCs w:val="20"/>
        </w:rPr>
        <w:t>.</w:t>
      </w:r>
    </w:p>
    <w:p w14:paraId="0609FB70" w14:textId="28AF82D9" w:rsidR="000477C0" w:rsidRDefault="000477C0" w:rsidP="000477C0">
      <w:pPr>
        <w:pStyle w:val="BlockText"/>
        <w:spacing w:before="0" w:after="0" w:line="240" w:lineRule="auto"/>
        <w:rPr>
          <w:rFonts w:ascii="Arial Narrow" w:hAnsi="Arial Narrow"/>
          <w:sz w:val="20"/>
          <w:szCs w:val="20"/>
        </w:rPr>
      </w:pPr>
      <w:r w:rsidRPr="000477C0">
        <w:rPr>
          <w:rFonts w:ascii="Arial Narrow" w:hAnsi="Arial Narrow"/>
          <w:sz w:val="20"/>
          <w:szCs w:val="20"/>
          <w:vertAlign w:val="superscript"/>
        </w:rPr>
        <w:t>4</w:t>
      </w:r>
      <w:r>
        <w:rPr>
          <w:rFonts w:ascii="Arial Narrow" w:hAnsi="Arial Narrow"/>
          <w:sz w:val="20"/>
          <w:szCs w:val="20"/>
        </w:rPr>
        <w:t xml:space="preserve"> Total PFAS is</w:t>
      </w:r>
      <w:r w:rsidR="006C18CA">
        <w:rPr>
          <w:rFonts w:ascii="Arial Narrow" w:hAnsi="Arial Narrow"/>
          <w:sz w:val="20"/>
          <w:szCs w:val="20"/>
        </w:rPr>
        <w:t xml:space="preserve"> the sum of all p</w:t>
      </w:r>
      <w:r w:rsidR="006C18CA" w:rsidRPr="006C18CA">
        <w:rPr>
          <w:rFonts w:ascii="Arial Narrow" w:hAnsi="Arial Narrow"/>
          <w:sz w:val="20"/>
          <w:szCs w:val="20"/>
        </w:rPr>
        <w:t>er- and polyfluoroalkyl substances</w:t>
      </w:r>
      <w:r w:rsidR="006C18CA">
        <w:rPr>
          <w:rFonts w:ascii="Arial Narrow" w:hAnsi="Arial Narrow"/>
          <w:sz w:val="20"/>
          <w:szCs w:val="20"/>
        </w:rPr>
        <w:t>.</w:t>
      </w:r>
    </w:p>
    <w:p w14:paraId="133B1434" w14:textId="47FFB295" w:rsidR="00913B96" w:rsidRPr="00CD6528" w:rsidRDefault="000477C0" w:rsidP="000477C0">
      <w:pPr>
        <w:pStyle w:val="BlockText"/>
        <w:spacing w:before="0" w:after="0" w:line="240" w:lineRule="auto"/>
        <w:rPr>
          <w:rFonts w:ascii="Arial Narrow" w:hAnsi="Arial Narrow"/>
          <w:sz w:val="20"/>
          <w:szCs w:val="20"/>
        </w:rPr>
      </w:pPr>
      <w:r w:rsidRPr="000477C0">
        <w:rPr>
          <w:rFonts w:ascii="Arial Narrow" w:hAnsi="Arial Narrow"/>
          <w:sz w:val="20"/>
          <w:szCs w:val="20"/>
          <w:vertAlign w:val="superscript"/>
        </w:rPr>
        <w:t>5</w:t>
      </w:r>
      <w:r>
        <w:rPr>
          <w:rFonts w:ascii="Arial Narrow" w:hAnsi="Arial Narrow"/>
          <w:sz w:val="20"/>
          <w:szCs w:val="20"/>
        </w:rPr>
        <w:t xml:space="preserve"> </w:t>
      </w:r>
      <w:proofErr w:type="spellStart"/>
      <w:r w:rsidR="00CD6528" w:rsidRPr="00CD6528">
        <w:rPr>
          <w:rFonts w:ascii="Arial Narrow" w:hAnsi="Arial Narrow"/>
          <w:sz w:val="20"/>
          <w:szCs w:val="20"/>
        </w:rPr>
        <w:t>nd</w:t>
      </w:r>
      <w:proofErr w:type="spellEnd"/>
      <w:r w:rsidR="00CD6528" w:rsidRPr="00CD6528">
        <w:rPr>
          <w:rFonts w:ascii="Arial Narrow" w:hAnsi="Arial Narrow"/>
          <w:sz w:val="20"/>
          <w:szCs w:val="20"/>
        </w:rPr>
        <w:t xml:space="preserve"> = no</w:t>
      </w:r>
      <w:r>
        <w:rPr>
          <w:rFonts w:ascii="Arial Narrow" w:hAnsi="Arial Narrow"/>
          <w:sz w:val="20"/>
          <w:szCs w:val="20"/>
        </w:rPr>
        <w:t>t</w:t>
      </w:r>
      <w:r w:rsidR="00CD6528" w:rsidRPr="00CD6528">
        <w:rPr>
          <w:rFonts w:ascii="Arial Narrow" w:hAnsi="Arial Narrow"/>
          <w:sz w:val="20"/>
          <w:szCs w:val="20"/>
        </w:rPr>
        <w:t xml:space="preserve"> detect</w:t>
      </w:r>
      <w:r>
        <w:rPr>
          <w:rFonts w:ascii="Arial Narrow" w:hAnsi="Arial Narrow"/>
          <w:sz w:val="20"/>
          <w:szCs w:val="20"/>
        </w:rPr>
        <w:t>ed.</w:t>
      </w:r>
    </w:p>
    <w:p w14:paraId="2158AB73" w14:textId="77777777" w:rsidR="00913B96" w:rsidRPr="005B2525" w:rsidRDefault="00913B96" w:rsidP="00C711F3">
      <w:pPr>
        <w:pStyle w:val="BlockText"/>
      </w:pPr>
    </w:p>
    <w:p w14:paraId="544829AA" w14:textId="512786DE" w:rsidR="006D39D6" w:rsidRPr="00207827" w:rsidRDefault="006D39D6" w:rsidP="006D39D6">
      <w:pPr>
        <w:pStyle w:val="Heading3"/>
      </w:pPr>
      <w:bookmarkStart w:id="167" w:name="_Toc162948178"/>
      <w:r w:rsidRPr="00207827">
        <w:t>Sediment Toxics - Metals</w:t>
      </w:r>
      <w:bookmarkEnd w:id="167"/>
    </w:p>
    <w:p w14:paraId="2B0CC5CD" w14:textId="1040946D" w:rsidR="009F272B" w:rsidRPr="00867C44" w:rsidRDefault="005D3D56" w:rsidP="009F272B">
      <w:pPr>
        <w:spacing w:before="120" w:after="120" w:line="360" w:lineRule="auto"/>
      </w:pPr>
      <w:r>
        <w:t xml:space="preserve">Sediment metals were measured on 16 occasions </w:t>
      </w:r>
      <w:r w:rsidRPr="00923FDE">
        <w:t xml:space="preserve">in </w:t>
      </w:r>
      <w:r>
        <w:t>Roanoke River Project streams and tributaries.</w:t>
      </w:r>
      <w:r w:rsidRPr="00867C44">
        <w:t xml:space="preserve"> </w:t>
      </w:r>
      <w:r>
        <w:t>This included the primary impaired stations in Tinker Creek and the Roanoke River (</w:t>
      </w:r>
      <w:r>
        <w:fldChar w:fldCharType="begin"/>
      </w:r>
      <w:r>
        <w:instrText xml:space="preserve"> REF _Ref136959264 \h </w:instrText>
      </w:r>
      <w:r>
        <w:fldChar w:fldCharType="separate"/>
      </w:r>
      <w:r w:rsidR="004A78BF" w:rsidRPr="00867C44">
        <w:t xml:space="preserve">Table </w:t>
      </w:r>
      <w:r w:rsidR="004A78BF">
        <w:rPr>
          <w:noProof/>
        </w:rPr>
        <w:t>17</w:t>
      </w:r>
      <w:r>
        <w:fldChar w:fldCharType="end"/>
      </w:r>
      <w:r>
        <w:t xml:space="preserve">), as well as other stations and tributaries. No sediment metals data were available for Wolf Creek. </w:t>
      </w:r>
      <w:r w:rsidR="009F272B" w:rsidRPr="00867C44">
        <w:t xml:space="preserve">Levels of </w:t>
      </w:r>
      <w:r w:rsidR="009F272B">
        <w:t xml:space="preserve">the toxic metals </w:t>
      </w:r>
      <w:r w:rsidR="009F272B" w:rsidRPr="00867C44">
        <w:t xml:space="preserve">were compared to threshold effect concentrations (TECs) and probable effect concentrations (PECs) from MacDonald </w:t>
      </w:r>
      <w:r w:rsidR="009F272B" w:rsidRPr="00867C44">
        <w:rPr>
          <w:i/>
        </w:rPr>
        <w:t>et al.</w:t>
      </w:r>
      <w:r w:rsidR="009F272B" w:rsidRPr="00867C44">
        <w:t xml:space="preserve"> (2000). TECs are levels below which toxic effects are unlikely, and PECs are levels above which toxic effects are likely. </w:t>
      </w:r>
      <w:r>
        <w:t>In Tinker Creek and the Roanoke River, a</w:t>
      </w:r>
      <w:r w:rsidR="009F272B" w:rsidRPr="00867C44">
        <w:t xml:space="preserve">ll metal concentrations in </w:t>
      </w:r>
      <w:r w:rsidR="009F272B">
        <w:t xml:space="preserve">sediments </w:t>
      </w:r>
      <w:r w:rsidR="009F272B" w:rsidRPr="00867C44">
        <w:t>were below PEC values</w:t>
      </w:r>
      <w:r w:rsidR="009F272B">
        <w:t xml:space="preserve">. </w:t>
      </w:r>
      <w:r>
        <w:t>All except for lead in Tinker Creek were also below TEC values, meaning that these</w:t>
      </w:r>
      <w:r w:rsidR="00937A3F">
        <w:t xml:space="preserve"> </w:t>
      </w:r>
      <w:r w:rsidR="009F272B">
        <w:t>metals are likely non-stressor</w:t>
      </w:r>
      <w:r w:rsidR="00937A3F">
        <w:t>s</w:t>
      </w:r>
      <w:r w:rsidR="009F272B">
        <w:t xml:space="preserve"> in these streams.</w:t>
      </w:r>
      <w:r w:rsidR="009F272B" w:rsidRPr="00867C44">
        <w:t xml:space="preserve"> </w:t>
      </w:r>
      <w:r w:rsidR="00937A3F">
        <w:t>Across other stations throughout the watershed, only lead in Ore Branch exceeded the PEC value. On 5/26/2011 at station 4AORE000.01, lead in sediment was measured at 168 mg/kg, which slightly exceeds the PEC value of 128 mg/kg</w:t>
      </w:r>
      <w:r w:rsidR="009F272B">
        <w:t>.</w:t>
      </w:r>
      <w:r w:rsidR="0039721C">
        <w:t xml:space="preserve"> Based on limited data, sediment metals are not like a stressor in the Roanoke River, but lead in sediment could be a possible stressor in Tinker Creek. While not the subject of this stressor analysis, lead in Ore Branch is a likely stressor to the benthic community.</w:t>
      </w:r>
    </w:p>
    <w:p w14:paraId="240D0EDC" w14:textId="77777777" w:rsidR="009F272B" w:rsidRPr="00867C44" w:rsidRDefault="009F272B" w:rsidP="005E4B50">
      <w:pPr>
        <w:spacing w:line="240" w:lineRule="auto"/>
      </w:pPr>
    </w:p>
    <w:p w14:paraId="23FFC90B" w14:textId="6CB9C777" w:rsidR="009F272B" w:rsidRPr="00867C44" w:rsidRDefault="009F272B" w:rsidP="009F272B">
      <w:pPr>
        <w:pStyle w:val="Caption"/>
      </w:pPr>
      <w:bookmarkStart w:id="168" w:name="_Ref136959264"/>
      <w:bookmarkStart w:id="169" w:name="_Toc121736153"/>
      <w:bookmarkStart w:id="170" w:name="_Toc162948284"/>
      <w:r w:rsidRPr="00867C44">
        <w:t xml:space="preserve">Table </w:t>
      </w:r>
      <w:r w:rsidRPr="00867C44">
        <w:rPr>
          <w:noProof/>
        </w:rPr>
        <w:fldChar w:fldCharType="begin"/>
      </w:r>
      <w:r w:rsidRPr="00867C44">
        <w:rPr>
          <w:noProof/>
        </w:rPr>
        <w:instrText xml:space="preserve"> SEQ Table \* ARABIC </w:instrText>
      </w:r>
      <w:r w:rsidRPr="00867C44">
        <w:rPr>
          <w:noProof/>
        </w:rPr>
        <w:fldChar w:fldCharType="separate"/>
      </w:r>
      <w:r w:rsidR="004A78BF">
        <w:rPr>
          <w:noProof/>
        </w:rPr>
        <w:t>17</w:t>
      </w:r>
      <w:r w:rsidRPr="00867C44">
        <w:rPr>
          <w:noProof/>
        </w:rPr>
        <w:fldChar w:fldCharType="end"/>
      </w:r>
      <w:bookmarkEnd w:id="168"/>
      <w:r w:rsidRPr="00867C44">
        <w:t xml:space="preserve">. Metals concentrations in sediments from </w:t>
      </w:r>
      <w:r w:rsidR="00D374CF">
        <w:t>Roanoke River Project streams.</w:t>
      </w:r>
      <w:bookmarkEnd w:id="169"/>
      <w:bookmarkEnd w:id="170"/>
    </w:p>
    <w:tbl>
      <w:tblPr>
        <w:tblW w:w="782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5"/>
        <w:gridCol w:w="1566"/>
        <w:gridCol w:w="1565"/>
        <w:gridCol w:w="1566"/>
        <w:gridCol w:w="1565"/>
      </w:tblGrid>
      <w:tr w:rsidR="00D374CF" w:rsidRPr="00867C44" w14:paraId="1F6D7FDF" w14:textId="77777777" w:rsidTr="005D3D56">
        <w:trPr>
          <w:trHeight w:val="732"/>
        </w:trPr>
        <w:tc>
          <w:tcPr>
            <w:tcW w:w="1565" w:type="dxa"/>
            <w:shd w:val="clear" w:color="auto" w:fill="D9D9D9" w:themeFill="background1" w:themeFillShade="D9"/>
            <w:vAlign w:val="center"/>
          </w:tcPr>
          <w:p w14:paraId="288B04F4" w14:textId="563D88C5" w:rsidR="00D374CF" w:rsidRPr="00867C44" w:rsidRDefault="00D374CF" w:rsidP="005D3D56">
            <w:pPr>
              <w:autoSpaceDE w:val="0"/>
              <w:autoSpaceDN w:val="0"/>
              <w:adjustRightInd w:val="0"/>
              <w:jc w:val="center"/>
              <w:rPr>
                <w:rFonts w:ascii="Arial Narrow" w:hAnsi="Arial Narrow" w:cs="Arial"/>
                <w:b/>
                <w:sz w:val="20"/>
                <w:szCs w:val="20"/>
              </w:rPr>
            </w:pPr>
            <w:r>
              <w:rPr>
                <w:rFonts w:ascii="Arial Narrow" w:hAnsi="Arial Narrow" w:cs="Arial"/>
                <w:b/>
                <w:sz w:val="20"/>
                <w:szCs w:val="20"/>
              </w:rPr>
              <w:t>Metal</w:t>
            </w:r>
          </w:p>
        </w:tc>
        <w:tc>
          <w:tcPr>
            <w:tcW w:w="1566" w:type="dxa"/>
            <w:shd w:val="clear" w:color="auto" w:fill="D9D9D9" w:themeFill="background1" w:themeFillShade="D9"/>
            <w:vAlign w:val="center"/>
          </w:tcPr>
          <w:p w14:paraId="38C3A9DF" w14:textId="47D9811C" w:rsidR="00D374CF" w:rsidRDefault="00D374CF" w:rsidP="005D3D56">
            <w:pPr>
              <w:autoSpaceDE w:val="0"/>
              <w:autoSpaceDN w:val="0"/>
              <w:adjustRightInd w:val="0"/>
              <w:jc w:val="center"/>
              <w:rPr>
                <w:rFonts w:ascii="Arial Narrow" w:hAnsi="Arial Narrow" w:cs="Arial"/>
                <w:b/>
                <w:sz w:val="20"/>
                <w:szCs w:val="20"/>
              </w:rPr>
            </w:pPr>
            <w:r w:rsidRPr="00867C44">
              <w:rPr>
                <w:rFonts w:ascii="Arial Narrow" w:hAnsi="Arial Narrow" w:cs="Arial"/>
                <w:b/>
                <w:sz w:val="20"/>
                <w:szCs w:val="20"/>
              </w:rPr>
              <w:t>TEC</w:t>
            </w:r>
            <w:r w:rsidRPr="00867C44">
              <w:rPr>
                <w:rFonts w:ascii="Arial Narrow" w:hAnsi="Arial Narrow" w:cs="Arial"/>
                <w:b/>
                <w:sz w:val="20"/>
                <w:szCs w:val="20"/>
                <w:vertAlign w:val="superscript"/>
              </w:rPr>
              <w:t>1</w:t>
            </w:r>
          </w:p>
          <w:p w14:paraId="7849CBF8" w14:textId="0D8169C7" w:rsidR="00D374CF" w:rsidRPr="00867C44" w:rsidRDefault="00D374CF" w:rsidP="005D3D56">
            <w:pPr>
              <w:autoSpaceDE w:val="0"/>
              <w:autoSpaceDN w:val="0"/>
              <w:adjustRightInd w:val="0"/>
              <w:jc w:val="center"/>
              <w:rPr>
                <w:rFonts w:ascii="Arial Narrow" w:hAnsi="Arial Narrow" w:cs="Arial"/>
                <w:b/>
                <w:sz w:val="20"/>
                <w:szCs w:val="20"/>
              </w:rPr>
            </w:pPr>
            <w:r w:rsidRPr="00867C44">
              <w:rPr>
                <w:rFonts w:ascii="Arial Narrow" w:hAnsi="Arial Narrow" w:cs="Arial"/>
                <w:b/>
                <w:sz w:val="20"/>
                <w:szCs w:val="20"/>
              </w:rPr>
              <w:t>(mg/kg)</w:t>
            </w:r>
          </w:p>
        </w:tc>
        <w:tc>
          <w:tcPr>
            <w:tcW w:w="1565" w:type="dxa"/>
            <w:shd w:val="clear" w:color="auto" w:fill="D9D9D9" w:themeFill="background1" w:themeFillShade="D9"/>
            <w:vAlign w:val="center"/>
          </w:tcPr>
          <w:p w14:paraId="4E73DF7D" w14:textId="7E3AE184" w:rsidR="00D374CF" w:rsidRDefault="00D374CF" w:rsidP="005D3D56">
            <w:pPr>
              <w:autoSpaceDE w:val="0"/>
              <w:autoSpaceDN w:val="0"/>
              <w:adjustRightInd w:val="0"/>
              <w:jc w:val="center"/>
              <w:rPr>
                <w:rFonts w:ascii="Arial Narrow" w:hAnsi="Arial Narrow" w:cs="Arial"/>
                <w:b/>
                <w:sz w:val="20"/>
                <w:szCs w:val="20"/>
              </w:rPr>
            </w:pPr>
            <w:r w:rsidRPr="00867C44">
              <w:rPr>
                <w:rFonts w:ascii="Arial Narrow" w:hAnsi="Arial Narrow" w:cs="Arial"/>
                <w:b/>
                <w:sz w:val="20"/>
                <w:szCs w:val="20"/>
              </w:rPr>
              <w:t>PEC</w:t>
            </w:r>
            <w:r w:rsidRPr="00867C44">
              <w:rPr>
                <w:rFonts w:ascii="Arial Narrow" w:hAnsi="Arial Narrow" w:cs="Arial"/>
                <w:b/>
                <w:sz w:val="20"/>
                <w:szCs w:val="20"/>
                <w:vertAlign w:val="superscript"/>
              </w:rPr>
              <w:t>2</w:t>
            </w:r>
          </w:p>
          <w:p w14:paraId="4222E64D" w14:textId="210EC3A2" w:rsidR="00D374CF" w:rsidRPr="00867C44" w:rsidRDefault="00D374CF" w:rsidP="005D3D56">
            <w:pPr>
              <w:autoSpaceDE w:val="0"/>
              <w:autoSpaceDN w:val="0"/>
              <w:adjustRightInd w:val="0"/>
              <w:jc w:val="center"/>
              <w:rPr>
                <w:rFonts w:ascii="Arial Narrow" w:hAnsi="Arial Narrow" w:cs="Arial"/>
                <w:b/>
                <w:sz w:val="20"/>
                <w:szCs w:val="20"/>
              </w:rPr>
            </w:pPr>
            <w:r w:rsidRPr="00867C44">
              <w:rPr>
                <w:rFonts w:ascii="Arial Narrow" w:hAnsi="Arial Narrow" w:cs="Arial"/>
                <w:b/>
                <w:sz w:val="20"/>
                <w:szCs w:val="20"/>
              </w:rPr>
              <w:t>(mg/kg)</w:t>
            </w:r>
          </w:p>
        </w:tc>
        <w:tc>
          <w:tcPr>
            <w:tcW w:w="1566" w:type="dxa"/>
            <w:shd w:val="clear" w:color="auto" w:fill="D9D9D9" w:themeFill="background1" w:themeFillShade="D9"/>
            <w:vAlign w:val="center"/>
          </w:tcPr>
          <w:p w14:paraId="53E8CBCB" w14:textId="77777777" w:rsidR="00D374CF" w:rsidRDefault="00D374CF" w:rsidP="004922CA">
            <w:pPr>
              <w:autoSpaceDE w:val="0"/>
              <w:autoSpaceDN w:val="0"/>
              <w:adjustRightInd w:val="0"/>
              <w:jc w:val="center"/>
              <w:rPr>
                <w:rFonts w:ascii="Arial Narrow" w:hAnsi="Arial Narrow" w:cs="Calibri"/>
                <w:b/>
                <w:bCs/>
                <w:color w:val="000000"/>
                <w:sz w:val="20"/>
                <w:szCs w:val="20"/>
              </w:rPr>
            </w:pPr>
            <w:r>
              <w:rPr>
                <w:rFonts w:ascii="Arial Narrow" w:hAnsi="Arial Narrow" w:cs="Arial"/>
                <w:b/>
                <w:sz w:val="20"/>
                <w:szCs w:val="20"/>
              </w:rPr>
              <w:t>Concentration (</w:t>
            </w:r>
            <w:r w:rsidRPr="00867C44">
              <w:rPr>
                <w:rFonts w:ascii="Arial Narrow" w:hAnsi="Arial Narrow" w:cs="Calibri"/>
                <w:b/>
                <w:bCs/>
                <w:color w:val="000000"/>
                <w:sz w:val="20"/>
                <w:szCs w:val="20"/>
              </w:rPr>
              <w:t>mg/kg</w:t>
            </w:r>
            <w:r>
              <w:rPr>
                <w:rFonts w:ascii="Arial Narrow" w:hAnsi="Arial Narrow" w:cs="Calibri"/>
                <w:b/>
                <w:bCs/>
                <w:color w:val="000000"/>
                <w:sz w:val="20"/>
                <w:szCs w:val="20"/>
              </w:rPr>
              <w:t>)</w:t>
            </w:r>
          </w:p>
          <w:p w14:paraId="4FE9DF87" w14:textId="600892BC" w:rsidR="00D374CF" w:rsidRDefault="00D374CF" w:rsidP="004922CA">
            <w:pPr>
              <w:autoSpaceDE w:val="0"/>
              <w:autoSpaceDN w:val="0"/>
              <w:adjustRightInd w:val="0"/>
              <w:jc w:val="center"/>
              <w:rPr>
                <w:rFonts w:ascii="Arial Narrow" w:hAnsi="Arial Narrow" w:cs="Arial"/>
                <w:b/>
                <w:sz w:val="20"/>
                <w:szCs w:val="20"/>
              </w:rPr>
            </w:pPr>
            <w:r>
              <w:rPr>
                <w:rFonts w:ascii="Arial Narrow" w:hAnsi="Arial Narrow" w:cs="Arial"/>
                <w:b/>
                <w:sz w:val="20"/>
                <w:szCs w:val="20"/>
              </w:rPr>
              <w:t>In Tinker Creek</w:t>
            </w:r>
          </w:p>
          <w:p w14:paraId="5A3129CA" w14:textId="5190BE93" w:rsidR="00D374CF" w:rsidRPr="00867C44" w:rsidRDefault="00D374CF" w:rsidP="004922CA">
            <w:pPr>
              <w:autoSpaceDE w:val="0"/>
              <w:autoSpaceDN w:val="0"/>
              <w:adjustRightInd w:val="0"/>
              <w:jc w:val="center"/>
              <w:rPr>
                <w:rFonts w:ascii="Arial Narrow" w:hAnsi="Arial Narrow" w:cs="Arial"/>
                <w:b/>
                <w:sz w:val="20"/>
                <w:szCs w:val="20"/>
              </w:rPr>
            </w:pPr>
            <w:r>
              <w:rPr>
                <w:rFonts w:ascii="Arial Narrow" w:hAnsi="Arial Narrow" w:cs="Arial"/>
                <w:b/>
                <w:sz w:val="20"/>
                <w:szCs w:val="20"/>
              </w:rPr>
              <w:t>(4ATKR000.69)</w:t>
            </w:r>
          </w:p>
        </w:tc>
        <w:tc>
          <w:tcPr>
            <w:tcW w:w="1565" w:type="dxa"/>
            <w:shd w:val="clear" w:color="auto" w:fill="D9D9D9" w:themeFill="background1" w:themeFillShade="D9"/>
            <w:vAlign w:val="center"/>
          </w:tcPr>
          <w:p w14:paraId="6968ADCC" w14:textId="77777777" w:rsidR="00D374CF" w:rsidRDefault="00D374CF" w:rsidP="004922CA">
            <w:pPr>
              <w:autoSpaceDE w:val="0"/>
              <w:autoSpaceDN w:val="0"/>
              <w:adjustRightInd w:val="0"/>
              <w:jc w:val="center"/>
              <w:rPr>
                <w:rFonts w:ascii="Arial Narrow" w:hAnsi="Arial Narrow" w:cs="Calibri"/>
                <w:b/>
                <w:bCs/>
                <w:color w:val="000000"/>
                <w:sz w:val="20"/>
                <w:szCs w:val="20"/>
              </w:rPr>
            </w:pPr>
            <w:r>
              <w:rPr>
                <w:rFonts w:ascii="Arial Narrow" w:hAnsi="Arial Narrow" w:cs="Arial"/>
                <w:b/>
                <w:sz w:val="20"/>
                <w:szCs w:val="20"/>
              </w:rPr>
              <w:t>Concentration (</w:t>
            </w:r>
            <w:r w:rsidRPr="00867C44">
              <w:rPr>
                <w:rFonts w:ascii="Arial Narrow" w:hAnsi="Arial Narrow" w:cs="Calibri"/>
                <w:b/>
                <w:bCs/>
                <w:color w:val="000000"/>
                <w:sz w:val="20"/>
                <w:szCs w:val="20"/>
              </w:rPr>
              <w:t>mg/kg</w:t>
            </w:r>
            <w:r>
              <w:rPr>
                <w:rFonts w:ascii="Arial Narrow" w:hAnsi="Arial Narrow" w:cs="Calibri"/>
                <w:b/>
                <w:bCs/>
                <w:color w:val="000000"/>
                <w:sz w:val="20"/>
                <w:szCs w:val="20"/>
              </w:rPr>
              <w:t>)</w:t>
            </w:r>
          </w:p>
          <w:p w14:paraId="2B1D0BDE" w14:textId="46AB3B8C" w:rsidR="00D374CF" w:rsidRDefault="00D374CF" w:rsidP="004922CA">
            <w:pPr>
              <w:autoSpaceDE w:val="0"/>
              <w:autoSpaceDN w:val="0"/>
              <w:adjustRightInd w:val="0"/>
              <w:jc w:val="center"/>
              <w:rPr>
                <w:rFonts w:ascii="Arial Narrow" w:hAnsi="Arial Narrow" w:cs="Arial"/>
                <w:b/>
                <w:sz w:val="20"/>
                <w:szCs w:val="20"/>
              </w:rPr>
            </w:pPr>
            <w:r>
              <w:rPr>
                <w:rFonts w:ascii="Arial Narrow" w:hAnsi="Arial Narrow" w:cs="Arial"/>
                <w:b/>
                <w:sz w:val="20"/>
                <w:szCs w:val="20"/>
              </w:rPr>
              <w:t>In Roanoke River</w:t>
            </w:r>
          </w:p>
          <w:p w14:paraId="145D0331" w14:textId="795F21AF" w:rsidR="00D374CF" w:rsidRPr="00867C44" w:rsidRDefault="00D374CF" w:rsidP="004922CA">
            <w:pPr>
              <w:autoSpaceDE w:val="0"/>
              <w:autoSpaceDN w:val="0"/>
              <w:adjustRightInd w:val="0"/>
              <w:jc w:val="center"/>
              <w:rPr>
                <w:rFonts w:ascii="Arial Narrow" w:hAnsi="Arial Narrow" w:cs="Arial"/>
                <w:b/>
                <w:sz w:val="20"/>
                <w:szCs w:val="20"/>
              </w:rPr>
            </w:pPr>
            <w:r>
              <w:rPr>
                <w:rFonts w:ascii="Arial Narrow" w:hAnsi="Arial Narrow" w:cs="Arial"/>
                <w:b/>
                <w:sz w:val="20"/>
                <w:szCs w:val="20"/>
              </w:rPr>
              <w:t>(4AROA202.20)</w:t>
            </w:r>
          </w:p>
        </w:tc>
      </w:tr>
      <w:tr w:rsidR="00D374CF" w:rsidRPr="00867C44" w14:paraId="25E96AD8" w14:textId="77777777" w:rsidTr="004922CA">
        <w:trPr>
          <w:trHeight w:val="290"/>
        </w:trPr>
        <w:tc>
          <w:tcPr>
            <w:tcW w:w="1565" w:type="dxa"/>
            <w:vAlign w:val="center"/>
          </w:tcPr>
          <w:p w14:paraId="46CF623B" w14:textId="77777777" w:rsidR="00D374CF" w:rsidRPr="00867C44" w:rsidRDefault="00D374CF" w:rsidP="00D374CF">
            <w:pPr>
              <w:autoSpaceDE w:val="0"/>
              <w:autoSpaceDN w:val="0"/>
              <w:adjustRightInd w:val="0"/>
              <w:jc w:val="center"/>
              <w:rPr>
                <w:rFonts w:ascii="Arial Narrow" w:hAnsi="Arial Narrow" w:cs="Arial"/>
                <w:sz w:val="20"/>
                <w:szCs w:val="20"/>
              </w:rPr>
            </w:pPr>
            <w:r w:rsidRPr="00867C44">
              <w:rPr>
                <w:rFonts w:ascii="Arial Narrow" w:hAnsi="Arial Narrow" w:cs="Arial"/>
                <w:sz w:val="20"/>
                <w:szCs w:val="20"/>
              </w:rPr>
              <w:t>Arsenic</w:t>
            </w:r>
          </w:p>
        </w:tc>
        <w:tc>
          <w:tcPr>
            <w:tcW w:w="1566" w:type="dxa"/>
            <w:vAlign w:val="center"/>
          </w:tcPr>
          <w:p w14:paraId="1CF85192" w14:textId="77777777" w:rsidR="00D374CF" w:rsidRPr="00867C44" w:rsidRDefault="00D374CF" w:rsidP="00D374CF">
            <w:pPr>
              <w:autoSpaceDE w:val="0"/>
              <w:autoSpaceDN w:val="0"/>
              <w:adjustRightInd w:val="0"/>
              <w:jc w:val="center"/>
              <w:rPr>
                <w:rFonts w:ascii="Arial Narrow" w:hAnsi="Arial Narrow" w:cs="Arial"/>
                <w:sz w:val="20"/>
                <w:szCs w:val="20"/>
              </w:rPr>
            </w:pPr>
            <w:r w:rsidRPr="00867C44">
              <w:rPr>
                <w:rFonts w:ascii="Arial Narrow" w:hAnsi="Arial Narrow" w:cs="Arial"/>
                <w:sz w:val="20"/>
                <w:szCs w:val="20"/>
              </w:rPr>
              <w:t>9.79</w:t>
            </w:r>
          </w:p>
        </w:tc>
        <w:tc>
          <w:tcPr>
            <w:tcW w:w="1565" w:type="dxa"/>
            <w:vAlign w:val="center"/>
          </w:tcPr>
          <w:p w14:paraId="7D5E033C" w14:textId="77777777" w:rsidR="00D374CF" w:rsidRPr="00867C44" w:rsidRDefault="00D374CF" w:rsidP="00D374CF">
            <w:pPr>
              <w:autoSpaceDE w:val="0"/>
              <w:autoSpaceDN w:val="0"/>
              <w:adjustRightInd w:val="0"/>
              <w:jc w:val="center"/>
              <w:rPr>
                <w:rFonts w:ascii="Arial Narrow" w:hAnsi="Arial Narrow" w:cs="Arial"/>
                <w:sz w:val="20"/>
                <w:szCs w:val="20"/>
              </w:rPr>
            </w:pPr>
            <w:r w:rsidRPr="00867C44">
              <w:rPr>
                <w:rFonts w:ascii="Arial Narrow" w:hAnsi="Arial Narrow" w:cs="Arial"/>
                <w:sz w:val="20"/>
                <w:szCs w:val="20"/>
              </w:rPr>
              <w:t>33</w:t>
            </w:r>
          </w:p>
        </w:tc>
        <w:tc>
          <w:tcPr>
            <w:tcW w:w="1566" w:type="dxa"/>
            <w:vAlign w:val="bottom"/>
          </w:tcPr>
          <w:p w14:paraId="1AAF13A7" w14:textId="1A84A7F1" w:rsidR="00D374CF" w:rsidRPr="00D374CF" w:rsidRDefault="00D374CF" w:rsidP="00D374CF">
            <w:pPr>
              <w:autoSpaceDE w:val="0"/>
              <w:autoSpaceDN w:val="0"/>
              <w:adjustRightInd w:val="0"/>
              <w:jc w:val="center"/>
              <w:rPr>
                <w:rFonts w:ascii="Arial Narrow" w:hAnsi="Arial Narrow" w:cs="Arial"/>
                <w:sz w:val="20"/>
                <w:szCs w:val="20"/>
              </w:rPr>
            </w:pPr>
            <w:r w:rsidRPr="00D374CF">
              <w:rPr>
                <w:rFonts w:ascii="Arial Narrow" w:hAnsi="Arial Narrow" w:cs="Calibri"/>
                <w:color w:val="000000"/>
                <w:sz w:val="20"/>
                <w:szCs w:val="20"/>
              </w:rPr>
              <w:t>&lt;5</w:t>
            </w:r>
          </w:p>
        </w:tc>
        <w:tc>
          <w:tcPr>
            <w:tcW w:w="1565" w:type="dxa"/>
            <w:shd w:val="clear" w:color="auto" w:fill="auto"/>
            <w:vAlign w:val="bottom"/>
          </w:tcPr>
          <w:p w14:paraId="4991B513" w14:textId="15F70212" w:rsidR="00D374CF" w:rsidRPr="00D374CF" w:rsidRDefault="00D374CF" w:rsidP="00D374CF">
            <w:pPr>
              <w:autoSpaceDE w:val="0"/>
              <w:autoSpaceDN w:val="0"/>
              <w:adjustRightInd w:val="0"/>
              <w:jc w:val="center"/>
              <w:rPr>
                <w:rFonts w:ascii="Arial Narrow" w:hAnsi="Arial Narrow" w:cs="Arial"/>
                <w:sz w:val="20"/>
                <w:szCs w:val="20"/>
              </w:rPr>
            </w:pPr>
            <w:r w:rsidRPr="00D374CF">
              <w:rPr>
                <w:rFonts w:ascii="Arial Narrow" w:hAnsi="Arial Narrow" w:cs="Calibri"/>
                <w:color w:val="000000"/>
                <w:sz w:val="20"/>
                <w:szCs w:val="20"/>
              </w:rPr>
              <w:t>&lt;5</w:t>
            </w:r>
          </w:p>
        </w:tc>
      </w:tr>
      <w:tr w:rsidR="00D374CF" w:rsidRPr="00867C44" w14:paraId="56DE1986" w14:textId="77777777" w:rsidTr="004922CA">
        <w:trPr>
          <w:trHeight w:val="290"/>
        </w:trPr>
        <w:tc>
          <w:tcPr>
            <w:tcW w:w="1565" w:type="dxa"/>
            <w:vAlign w:val="center"/>
          </w:tcPr>
          <w:p w14:paraId="06B49F56" w14:textId="77777777" w:rsidR="00D374CF" w:rsidRPr="00867C44" w:rsidRDefault="00D374CF" w:rsidP="00D374CF">
            <w:pPr>
              <w:autoSpaceDE w:val="0"/>
              <w:autoSpaceDN w:val="0"/>
              <w:adjustRightInd w:val="0"/>
              <w:jc w:val="center"/>
              <w:rPr>
                <w:rFonts w:ascii="Arial Narrow" w:hAnsi="Arial Narrow" w:cs="Arial"/>
                <w:sz w:val="20"/>
                <w:szCs w:val="20"/>
              </w:rPr>
            </w:pPr>
            <w:r w:rsidRPr="00867C44">
              <w:rPr>
                <w:rFonts w:ascii="Arial Narrow" w:hAnsi="Arial Narrow" w:cs="Arial"/>
                <w:sz w:val="20"/>
                <w:szCs w:val="20"/>
              </w:rPr>
              <w:t>Cadmium</w:t>
            </w:r>
          </w:p>
        </w:tc>
        <w:tc>
          <w:tcPr>
            <w:tcW w:w="1566" w:type="dxa"/>
            <w:vAlign w:val="center"/>
          </w:tcPr>
          <w:p w14:paraId="5A5168ED" w14:textId="77777777" w:rsidR="00D374CF" w:rsidRPr="00867C44" w:rsidRDefault="00D374CF" w:rsidP="00D374CF">
            <w:pPr>
              <w:autoSpaceDE w:val="0"/>
              <w:autoSpaceDN w:val="0"/>
              <w:adjustRightInd w:val="0"/>
              <w:jc w:val="center"/>
              <w:rPr>
                <w:rFonts w:ascii="Arial Narrow" w:hAnsi="Arial Narrow" w:cs="Arial"/>
                <w:sz w:val="20"/>
                <w:szCs w:val="20"/>
              </w:rPr>
            </w:pPr>
            <w:r w:rsidRPr="00867C44">
              <w:rPr>
                <w:rFonts w:ascii="Arial Narrow" w:hAnsi="Arial Narrow" w:cs="Arial"/>
                <w:sz w:val="20"/>
                <w:szCs w:val="20"/>
              </w:rPr>
              <w:t>0.99</w:t>
            </w:r>
          </w:p>
        </w:tc>
        <w:tc>
          <w:tcPr>
            <w:tcW w:w="1565" w:type="dxa"/>
            <w:vAlign w:val="center"/>
          </w:tcPr>
          <w:p w14:paraId="00333F44" w14:textId="77777777" w:rsidR="00D374CF" w:rsidRPr="00867C44" w:rsidRDefault="00D374CF" w:rsidP="00D374CF">
            <w:pPr>
              <w:autoSpaceDE w:val="0"/>
              <w:autoSpaceDN w:val="0"/>
              <w:adjustRightInd w:val="0"/>
              <w:jc w:val="center"/>
              <w:rPr>
                <w:rFonts w:ascii="Arial Narrow" w:hAnsi="Arial Narrow" w:cs="Arial"/>
                <w:sz w:val="20"/>
                <w:szCs w:val="20"/>
              </w:rPr>
            </w:pPr>
            <w:r w:rsidRPr="00867C44">
              <w:rPr>
                <w:rFonts w:ascii="Arial Narrow" w:hAnsi="Arial Narrow" w:cs="Arial"/>
                <w:sz w:val="20"/>
                <w:szCs w:val="20"/>
              </w:rPr>
              <w:t>4.98</w:t>
            </w:r>
          </w:p>
        </w:tc>
        <w:tc>
          <w:tcPr>
            <w:tcW w:w="1566" w:type="dxa"/>
            <w:vAlign w:val="bottom"/>
          </w:tcPr>
          <w:p w14:paraId="490ECE26" w14:textId="537BBC62" w:rsidR="00D374CF" w:rsidRPr="00D374CF" w:rsidRDefault="00D374CF" w:rsidP="00D374CF">
            <w:pPr>
              <w:autoSpaceDE w:val="0"/>
              <w:autoSpaceDN w:val="0"/>
              <w:adjustRightInd w:val="0"/>
              <w:jc w:val="center"/>
              <w:rPr>
                <w:rFonts w:ascii="Arial Narrow" w:hAnsi="Arial Narrow" w:cs="Arial"/>
                <w:sz w:val="20"/>
                <w:szCs w:val="20"/>
              </w:rPr>
            </w:pPr>
            <w:r w:rsidRPr="00D374CF">
              <w:rPr>
                <w:rFonts w:ascii="Arial Narrow" w:hAnsi="Arial Narrow" w:cs="Calibri"/>
                <w:color w:val="000000"/>
                <w:sz w:val="20"/>
                <w:szCs w:val="20"/>
              </w:rPr>
              <w:t>&lt;5</w:t>
            </w:r>
          </w:p>
        </w:tc>
        <w:tc>
          <w:tcPr>
            <w:tcW w:w="1565" w:type="dxa"/>
            <w:shd w:val="clear" w:color="auto" w:fill="auto"/>
            <w:vAlign w:val="bottom"/>
          </w:tcPr>
          <w:p w14:paraId="5807555B" w14:textId="32EBB2CB" w:rsidR="00D374CF" w:rsidRPr="00D374CF" w:rsidRDefault="00D374CF" w:rsidP="00D374CF">
            <w:pPr>
              <w:autoSpaceDE w:val="0"/>
              <w:autoSpaceDN w:val="0"/>
              <w:adjustRightInd w:val="0"/>
              <w:jc w:val="center"/>
              <w:rPr>
                <w:rFonts w:ascii="Arial Narrow" w:hAnsi="Arial Narrow" w:cs="Arial"/>
                <w:sz w:val="20"/>
                <w:szCs w:val="20"/>
              </w:rPr>
            </w:pPr>
            <w:r w:rsidRPr="00D374CF">
              <w:rPr>
                <w:rFonts w:ascii="Arial Narrow" w:hAnsi="Arial Narrow" w:cs="Calibri"/>
                <w:color w:val="000000"/>
                <w:sz w:val="20"/>
                <w:szCs w:val="20"/>
              </w:rPr>
              <w:t>&lt;5</w:t>
            </w:r>
          </w:p>
        </w:tc>
      </w:tr>
      <w:tr w:rsidR="00D374CF" w:rsidRPr="00867C44" w14:paraId="03675576" w14:textId="77777777" w:rsidTr="004922CA">
        <w:trPr>
          <w:trHeight w:val="290"/>
        </w:trPr>
        <w:tc>
          <w:tcPr>
            <w:tcW w:w="1565" w:type="dxa"/>
            <w:vAlign w:val="center"/>
          </w:tcPr>
          <w:p w14:paraId="21861594" w14:textId="77777777" w:rsidR="00D374CF" w:rsidRPr="00867C44" w:rsidRDefault="00D374CF" w:rsidP="00D374CF">
            <w:pPr>
              <w:autoSpaceDE w:val="0"/>
              <w:autoSpaceDN w:val="0"/>
              <w:adjustRightInd w:val="0"/>
              <w:jc w:val="center"/>
              <w:rPr>
                <w:rFonts w:ascii="Arial Narrow" w:hAnsi="Arial Narrow" w:cs="Arial"/>
                <w:sz w:val="20"/>
                <w:szCs w:val="20"/>
              </w:rPr>
            </w:pPr>
            <w:r w:rsidRPr="00867C44">
              <w:rPr>
                <w:rFonts w:ascii="Arial Narrow" w:hAnsi="Arial Narrow" w:cs="Arial"/>
                <w:sz w:val="20"/>
                <w:szCs w:val="20"/>
              </w:rPr>
              <w:t>Chromium</w:t>
            </w:r>
          </w:p>
        </w:tc>
        <w:tc>
          <w:tcPr>
            <w:tcW w:w="1566" w:type="dxa"/>
            <w:vAlign w:val="center"/>
          </w:tcPr>
          <w:p w14:paraId="2FF697D2" w14:textId="77777777" w:rsidR="00D374CF" w:rsidRPr="00867C44" w:rsidRDefault="00D374CF" w:rsidP="00D374CF">
            <w:pPr>
              <w:autoSpaceDE w:val="0"/>
              <w:autoSpaceDN w:val="0"/>
              <w:adjustRightInd w:val="0"/>
              <w:jc w:val="center"/>
              <w:rPr>
                <w:rFonts w:ascii="Arial Narrow" w:hAnsi="Arial Narrow" w:cs="Arial"/>
                <w:sz w:val="20"/>
                <w:szCs w:val="20"/>
              </w:rPr>
            </w:pPr>
            <w:r w:rsidRPr="00867C44">
              <w:rPr>
                <w:rFonts w:ascii="Arial Narrow" w:hAnsi="Arial Narrow" w:cs="Arial"/>
                <w:sz w:val="20"/>
                <w:szCs w:val="20"/>
              </w:rPr>
              <w:t>43.4</w:t>
            </w:r>
          </w:p>
        </w:tc>
        <w:tc>
          <w:tcPr>
            <w:tcW w:w="1565" w:type="dxa"/>
            <w:vAlign w:val="center"/>
          </w:tcPr>
          <w:p w14:paraId="222B30F4" w14:textId="77777777" w:rsidR="00D374CF" w:rsidRPr="00867C44" w:rsidRDefault="00D374CF" w:rsidP="00D374CF">
            <w:pPr>
              <w:autoSpaceDE w:val="0"/>
              <w:autoSpaceDN w:val="0"/>
              <w:adjustRightInd w:val="0"/>
              <w:jc w:val="center"/>
              <w:rPr>
                <w:rFonts w:ascii="Arial Narrow" w:hAnsi="Arial Narrow" w:cs="Arial"/>
                <w:sz w:val="20"/>
                <w:szCs w:val="20"/>
              </w:rPr>
            </w:pPr>
            <w:r w:rsidRPr="00867C44">
              <w:rPr>
                <w:rFonts w:ascii="Arial Narrow" w:hAnsi="Arial Narrow" w:cs="Arial"/>
                <w:sz w:val="20"/>
                <w:szCs w:val="20"/>
              </w:rPr>
              <w:t>111</w:t>
            </w:r>
          </w:p>
        </w:tc>
        <w:tc>
          <w:tcPr>
            <w:tcW w:w="1566" w:type="dxa"/>
            <w:vAlign w:val="bottom"/>
          </w:tcPr>
          <w:p w14:paraId="6E01B610" w14:textId="3289540B" w:rsidR="00D374CF" w:rsidRPr="00D374CF" w:rsidRDefault="00D374CF" w:rsidP="00D374CF">
            <w:pPr>
              <w:autoSpaceDE w:val="0"/>
              <w:autoSpaceDN w:val="0"/>
              <w:adjustRightInd w:val="0"/>
              <w:jc w:val="center"/>
              <w:rPr>
                <w:rFonts w:ascii="Arial Narrow" w:hAnsi="Arial Narrow" w:cs="Arial"/>
                <w:sz w:val="20"/>
                <w:szCs w:val="20"/>
              </w:rPr>
            </w:pPr>
            <w:r w:rsidRPr="00D374CF">
              <w:rPr>
                <w:rFonts w:ascii="Arial Narrow" w:hAnsi="Arial Narrow" w:cs="Calibri"/>
                <w:color w:val="000000"/>
                <w:sz w:val="20"/>
                <w:szCs w:val="20"/>
              </w:rPr>
              <w:t>25.7</w:t>
            </w:r>
          </w:p>
        </w:tc>
        <w:tc>
          <w:tcPr>
            <w:tcW w:w="1565" w:type="dxa"/>
            <w:shd w:val="clear" w:color="auto" w:fill="auto"/>
            <w:vAlign w:val="bottom"/>
          </w:tcPr>
          <w:p w14:paraId="52B27135" w14:textId="51B20AF8" w:rsidR="00D374CF" w:rsidRPr="00D374CF" w:rsidRDefault="00D374CF" w:rsidP="00D374CF">
            <w:pPr>
              <w:autoSpaceDE w:val="0"/>
              <w:autoSpaceDN w:val="0"/>
              <w:adjustRightInd w:val="0"/>
              <w:jc w:val="center"/>
              <w:rPr>
                <w:rFonts w:ascii="Arial Narrow" w:hAnsi="Arial Narrow" w:cs="Arial"/>
                <w:sz w:val="20"/>
                <w:szCs w:val="20"/>
              </w:rPr>
            </w:pPr>
            <w:r w:rsidRPr="00D374CF">
              <w:rPr>
                <w:rFonts w:ascii="Arial Narrow" w:hAnsi="Arial Narrow" w:cs="Calibri"/>
                <w:color w:val="000000"/>
                <w:sz w:val="20"/>
                <w:szCs w:val="20"/>
              </w:rPr>
              <w:t>21.1</w:t>
            </w:r>
          </w:p>
        </w:tc>
      </w:tr>
      <w:tr w:rsidR="00D374CF" w:rsidRPr="00867C44" w14:paraId="7855AF4C" w14:textId="77777777" w:rsidTr="004922CA">
        <w:trPr>
          <w:trHeight w:val="290"/>
        </w:trPr>
        <w:tc>
          <w:tcPr>
            <w:tcW w:w="1565" w:type="dxa"/>
            <w:vAlign w:val="center"/>
          </w:tcPr>
          <w:p w14:paraId="2E464CC9" w14:textId="77777777" w:rsidR="00D374CF" w:rsidRPr="00867C44" w:rsidRDefault="00D374CF" w:rsidP="00D374CF">
            <w:pPr>
              <w:autoSpaceDE w:val="0"/>
              <w:autoSpaceDN w:val="0"/>
              <w:adjustRightInd w:val="0"/>
              <w:jc w:val="center"/>
              <w:rPr>
                <w:rFonts w:ascii="Arial Narrow" w:hAnsi="Arial Narrow" w:cs="Arial"/>
                <w:sz w:val="20"/>
                <w:szCs w:val="20"/>
              </w:rPr>
            </w:pPr>
            <w:r w:rsidRPr="00867C44">
              <w:rPr>
                <w:rFonts w:ascii="Arial Narrow" w:hAnsi="Arial Narrow" w:cs="Arial"/>
                <w:sz w:val="20"/>
                <w:szCs w:val="20"/>
              </w:rPr>
              <w:t>Copper</w:t>
            </w:r>
          </w:p>
        </w:tc>
        <w:tc>
          <w:tcPr>
            <w:tcW w:w="1566" w:type="dxa"/>
            <w:vAlign w:val="center"/>
          </w:tcPr>
          <w:p w14:paraId="59FC8858" w14:textId="77777777" w:rsidR="00D374CF" w:rsidRPr="00867C44" w:rsidRDefault="00D374CF" w:rsidP="00D374CF">
            <w:pPr>
              <w:autoSpaceDE w:val="0"/>
              <w:autoSpaceDN w:val="0"/>
              <w:adjustRightInd w:val="0"/>
              <w:jc w:val="center"/>
              <w:rPr>
                <w:rFonts w:ascii="Arial Narrow" w:hAnsi="Arial Narrow" w:cs="Arial"/>
                <w:sz w:val="20"/>
                <w:szCs w:val="20"/>
              </w:rPr>
            </w:pPr>
            <w:r w:rsidRPr="00867C44">
              <w:rPr>
                <w:rFonts w:ascii="Arial Narrow" w:hAnsi="Arial Narrow" w:cs="Arial"/>
                <w:sz w:val="20"/>
                <w:szCs w:val="20"/>
              </w:rPr>
              <w:t>31.6</w:t>
            </w:r>
          </w:p>
        </w:tc>
        <w:tc>
          <w:tcPr>
            <w:tcW w:w="1565" w:type="dxa"/>
            <w:vAlign w:val="center"/>
          </w:tcPr>
          <w:p w14:paraId="48078331" w14:textId="77777777" w:rsidR="00D374CF" w:rsidRPr="00867C44" w:rsidRDefault="00D374CF" w:rsidP="00D374CF">
            <w:pPr>
              <w:autoSpaceDE w:val="0"/>
              <w:autoSpaceDN w:val="0"/>
              <w:adjustRightInd w:val="0"/>
              <w:jc w:val="center"/>
              <w:rPr>
                <w:rFonts w:ascii="Arial Narrow" w:hAnsi="Arial Narrow" w:cs="Arial"/>
                <w:sz w:val="20"/>
                <w:szCs w:val="20"/>
              </w:rPr>
            </w:pPr>
            <w:r w:rsidRPr="00867C44">
              <w:rPr>
                <w:rFonts w:ascii="Arial Narrow" w:hAnsi="Arial Narrow" w:cs="Arial"/>
                <w:sz w:val="20"/>
                <w:szCs w:val="20"/>
              </w:rPr>
              <w:t>149</w:t>
            </w:r>
          </w:p>
        </w:tc>
        <w:tc>
          <w:tcPr>
            <w:tcW w:w="1566" w:type="dxa"/>
            <w:vAlign w:val="bottom"/>
          </w:tcPr>
          <w:p w14:paraId="6340C5DE" w14:textId="737864D3" w:rsidR="00D374CF" w:rsidRPr="00D374CF" w:rsidRDefault="00D374CF" w:rsidP="00D374CF">
            <w:pPr>
              <w:autoSpaceDE w:val="0"/>
              <w:autoSpaceDN w:val="0"/>
              <w:adjustRightInd w:val="0"/>
              <w:jc w:val="center"/>
              <w:rPr>
                <w:rFonts w:ascii="Arial Narrow" w:hAnsi="Arial Narrow" w:cs="Arial"/>
                <w:sz w:val="20"/>
                <w:szCs w:val="20"/>
              </w:rPr>
            </w:pPr>
            <w:r w:rsidRPr="00D374CF">
              <w:rPr>
                <w:rFonts w:ascii="Arial Narrow" w:hAnsi="Arial Narrow" w:cs="Calibri"/>
                <w:color w:val="000000"/>
                <w:sz w:val="20"/>
                <w:szCs w:val="20"/>
              </w:rPr>
              <w:t>11.9</w:t>
            </w:r>
          </w:p>
        </w:tc>
        <w:tc>
          <w:tcPr>
            <w:tcW w:w="1565" w:type="dxa"/>
            <w:shd w:val="clear" w:color="auto" w:fill="auto"/>
            <w:vAlign w:val="bottom"/>
          </w:tcPr>
          <w:p w14:paraId="46F3B209" w14:textId="3DA5362C" w:rsidR="00D374CF" w:rsidRPr="00D374CF" w:rsidRDefault="00D374CF" w:rsidP="00D374CF">
            <w:pPr>
              <w:autoSpaceDE w:val="0"/>
              <w:autoSpaceDN w:val="0"/>
              <w:adjustRightInd w:val="0"/>
              <w:jc w:val="center"/>
              <w:rPr>
                <w:rFonts w:ascii="Arial Narrow" w:hAnsi="Arial Narrow" w:cs="Arial"/>
                <w:sz w:val="20"/>
                <w:szCs w:val="20"/>
              </w:rPr>
            </w:pPr>
            <w:r w:rsidRPr="00D374CF">
              <w:rPr>
                <w:rFonts w:ascii="Arial Narrow" w:hAnsi="Arial Narrow" w:cs="Calibri"/>
                <w:color w:val="000000"/>
                <w:sz w:val="20"/>
                <w:szCs w:val="20"/>
              </w:rPr>
              <w:t>10.2</w:t>
            </w:r>
          </w:p>
        </w:tc>
      </w:tr>
      <w:tr w:rsidR="00D374CF" w:rsidRPr="00867C44" w14:paraId="5469EAB0" w14:textId="77777777" w:rsidTr="004922CA">
        <w:trPr>
          <w:trHeight w:val="290"/>
        </w:trPr>
        <w:tc>
          <w:tcPr>
            <w:tcW w:w="1565" w:type="dxa"/>
            <w:vAlign w:val="center"/>
          </w:tcPr>
          <w:p w14:paraId="0A32F7F0" w14:textId="77777777" w:rsidR="00D374CF" w:rsidRPr="00867C44" w:rsidRDefault="00D374CF" w:rsidP="00D374CF">
            <w:pPr>
              <w:autoSpaceDE w:val="0"/>
              <w:autoSpaceDN w:val="0"/>
              <w:adjustRightInd w:val="0"/>
              <w:jc w:val="center"/>
              <w:rPr>
                <w:rFonts w:ascii="Arial Narrow" w:hAnsi="Arial Narrow" w:cs="Arial"/>
                <w:sz w:val="20"/>
                <w:szCs w:val="20"/>
              </w:rPr>
            </w:pPr>
            <w:r w:rsidRPr="00867C44">
              <w:rPr>
                <w:rFonts w:ascii="Arial Narrow" w:hAnsi="Arial Narrow" w:cs="Arial"/>
                <w:sz w:val="20"/>
                <w:szCs w:val="20"/>
              </w:rPr>
              <w:t>Lead</w:t>
            </w:r>
          </w:p>
        </w:tc>
        <w:tc>
          <w:tcPr>
            <w:tcW w:w="1566" w:type="dxa"/>
            <w:vAlign w:val="center"/>
          </w:tcPr>
          <w:p w14:paraId="605E7971" w14:textId="77777777" w:rsidR="00D374CF" w:rsidRPr="00867C44" w:rsidRDefault="00D374CF" w:rsidP="00D374CF">
            <w:pPr>
              <w:autoSpaceDE w:val="0"/>
              <w:autoSpaceDN w:val="0"/>
              <w:adjustRightInd w:val="0"/>
              <w:jc w:val="center"/>
              <w:rPr>
                <w:rFonts w:ascii="Arial Narrow" w:hAnsi="Arial Narrow" w:cs="Arial"/>
                <w:sz w:val="20"/>
                <w:szCs w:val="20"/>
              </w:rPr>
            </w:pPr>
            <w:r w:rsidRPr="00867C44">
              <w:rPr>
                <w:rFonts w:ascii="Arial Narrow" w:hAnsi="Arial Narrow" w:cs="Arial"/>
                <w:sz w:val="20"/>
                <w:szCs w:val="20"/>
              </w:rPr>
              <w:t>35.8</w:t>
            </w:r>
          </w:p>
        </w:tc>
        <w:tc>
          <w:tcPr>
            <w:tcW w:w="1565" w:type="dxa"/>
            <w:vAlign w:val="center"/>
          </w:tcPr>
          <w:p w14:paraId="2365DA4A" w14:textId="77777777" w:rsidR="00D374CF" w:rsidRPr="00867C44" w:rsidRDefault="00D374CF" w:rsidP="00D374CF">
            <w:pPr>
              <w:autoSpaceDE w:val="0"/>
              <w:autoSpaceDN w:val="0"/>
              <w:adjustRightInd w:val="0"/>
              <w:jc w:val="center"/>
              <w:rPr>
                <w:rFonts w:ascii="Arial Narrow" w:hAnsi="Arial Narrow" w:cs="Arial"/>
                <w:sz w:val="20"/>
                <w:szCs w:val="20"/>
              </w:rPr>
            </w:pPr>
            <w:r w:rsidRPr="00867C44">
              <w:rPr>
                <w:rFonts w:ascii="Arial Narrow" w:hAnsi="Arial Narrow" w:cs="Arial"/>
                <w:sz w:val="20"/>
                <w:szCs w:val="20"/>
              </w:rPr>
              <w:t>128</w:t>
            </w:r>
          </w:p>
        </w:tc>
        <w:tc>
          <w:tcPr>
            <w:tcW w:w="1566" w:type="dxa"/>
            <w:vAlign w:val="bottom"/>
          </w:tcPr>
          <w:p w14:paraId="1574147D" w14:textId="7E445B90" w:rsidR="00D374CF" w:rsidRPr="00D374CF" w:rsidRDefault="00D374CF" w:rsidP="00D374CF">
            <w:pPr>
              <w:autoSpaceDE w:val="0"/>
              <w:autoSpaceDN w:val="0"/>
              <w:adjustRightInd w:val="0"/>
              <w:jc w:val="center"/>
              <w:rPr>
                <w:rFonts w:ascii="Arial Narrow" w:hAnsi="Arial Narrow" w:cs="Arial"/>
                <w:sz w:val="20"/>
                <w:szCs w:val="20"/>
              </w:rPr>
            </w:pPr>
            <w:r w:rsidRPr="00D374CF">
              <w:rPr>
                <w:rFonts w:ascii="Arial Narrow" w:hAnsi="Arial Narrow" w:cs="Calibri"/>
                <w:color w:val="000000"/>
                <w:sz w:val="20"/>
                <w:szCs w:val="20"/>
              </w:rPr>
              <w:t>40</w:t>
            </w:r>
          </w:p>
        </w:tc>
        <w:tc>
          <w:tcPr>
            <w:tcW w:w="1565" w:type="dxa"/>
            <w:shd w:val="clear" w:color="auto" w:fill="auto"/>
            <w:vAlign w:val="bottom"/>
          </w:tcPr>
          <w:p w14:paraId="2142BD74" w14:textId="15E22EF7" w:rsidR="00D374CF" w:rsidRPr="00D374CF" w:rsidRDefault="00D374CF" w:rsidP="00D374CF">
            <w:pPr>
              <w:autoSpaceDE w:val="0"/>
              <w:autoSpaceDN w:val="0"/>
              <w:adjustRightInd w:val="0"/>
              <w:jc w:val="center"/>
              <w:rPr>
                <w:rFonts w:ascii="Arial Narrow" w:hAnsi="Arial Narrow" w:cs="Arial"/>
                <w:sz w:val="20"/>
                <w:szCs w:val="20"/>
              </w:rPr>
            </w:pPr>
            <w:r w:rsidRPr="00D374CF">
              <w:rPr>
                <w:rFonts w:ascii="Arial Narrow" w:hAnsi="Arial Narrow" w:cs="Calibri"/>
                <w:color w:val="000000"/>
                <w:sz w:val="20"/>
                <w:szCs w:val="20"/>
              </w:rPr>
              <w:t>35.2</w:t>
            </w:r>
          </w:p>
        </w:tc>
      </w:tr>
      <w:tr w:rsidR="00D374CF" w:rsidRPr="00867C44" w14:paraId="2AF7148D" w14:textId="77777777" w:rsidTr="004922CA">
        <w:trPr>
          <w:trHeight w:val="290"/>
        </w:trPr>
        <w:tc>
          <w:tcPr>
            <w:tcW w:w="1565" w:type="dxa"/>
            <w:vAlign w:val="center"/>
          </w:tcPr>
          <w:p w14:paraId="7E5D3E9F" w14:textId="77777777" w:rsidR="00D374CF" w:rsidRPr="00867C44" w:rsidRDefault="00D374CF" w:rsidP="00D374CF">
            <w:pPr>
              <w:autoSpaceDE w:val="0"/>
              <w:autoSpaceDN w:val="0"/>
              <w:adjustRightInd w:val="0"/>
              <w:jc w:val="center"/>
              <w:rPr>
                <w:rFonts w:ascii="Arial Narrow" w:hAnsi="Arial Narrow" w:cs="Arial"/>
                <w:sz w:val="20"/>
                <w:szCs w:val="20"/>
              </w:rPr>
            </w:pPr>
            <w:r w:rsidRPr="00867C44">
              <w:rPr>
                <w:rFonts w:ascii="Arial Narrow" w:hAnsi="Arial Narrow" w:cs="Arial"/>
                <w:sz w:val="20"/>
                <w:szCs w:val="20"/>
              </w:rPr>
              <w:t>Mercury</w:t>
            </w:r>
          </w:p>
        </w:tc>
        <w:tc>
          <w:tcPr>
            <w:tcW w:w="1566" w:type="dxa"/>
            <w:vAlign w:val="center"/>
          </w:tcPr>
          <w:p w14:paraId="5A384E0D" w14:textId="77777777" w:rsidR="00D374CF" w:rsidRPr="00867C44" w:rsidRDefault="00D374CF" w:rsidP="00D374CF">
            <w:pPr>
              <w:autoSpaceDE w:val="0"/>
              <w:autoSpaceDN w:val="0"/>
              <w:adjustRightInd w:val="0"/>
              <w:jc w:val="center"/>
              <w:rPr>
                <w:rFonts w:ascii="Arial Narrow" w:hAnsi="Arial Narrow" w:cs="Arial"/>
                <w:sz w:val="20"/>
                <w:szCs w:val="20"/>
              </w:rPr>
            </w:pPr>
            <w:r w:rsidRPr="00867C44">
              <w:rPr>
                <w:rFonts w:ascii="Arial Narrow" w:hAnsi="Arial Narrow" w:cs="Arial"/>
                <w:sz w:val="20"/>
                <w:szCs w:val="20"/>
              </w:rPr>
              <w:t>0.18</w:t>
            </w:r>
          </w:p>
        </w:tc>
        <w:tc>
          <w:tcPr>
            <w:tcW w:w="1565" w:type="dxa"/>
            <w:vAlign w:val="center"/>
          </w:tcPr>
          <w:p w14:paraId="3D171EF7" w14:textId="77777777" w:rsidR="00D374CF" w:rsidRPr="00867C44" w:rsidRDefault="00D374CF" w:rsidP="00D374CF">
            <w:pPr>
              <w:autoSpaceDE w:val="0"/>
              <w:autoSpaceDN w:val="0"/>
              <w:adjustRightInd w:val="0"/>
              <w:jc w:val="center"/>
              <w:rPr>
                <w:rFonts w:ascii="Arial Narrow" w:hAnsi="Arial Narrow" w:cs="Arial"/>
                <w:sz w:val="20"/>
                <w:szCs w:val="20"/>
              </w:rPr>
            </w:pPr>
            <w:r w:rsidRPr="00867C44">
              <w:rPr>
                <w:rFonts w:ascii="Arial Narrow" w:hAnsi="Arial Narrow" w:cs="Arial"/>
                <w:sz w:val="20"/>
                <w:szCs w:val="20"/>
              </w:rPr>
              <w:t>1.06</w:t>
            </w:r>
          </w:p>
        </w:tc>
        <w:tc>
          <w:tcPr>
            <w:tcW w:w="1566" w:type="dxa"/>
            <w:vAlign w:val="bottom"/>
          </w:tcPr>
          <w:p w14:paraId="3B0BC631" w14:textId="5B9DA79F" w:rsidR="00D374CF" w:rsidRPr="00D374CF" w:rsidRDefault="00D374CF" w:rsidP="00D374CF">
            <w:pPr>
              <w:autoSpaceDE w:val="0"/>
              <w:autoSpaceDN w:val="0"/>
              <w:adjustRightInd w:val="0"/>
              <w:jc w:val="center"/>
              <w:rPr>
                <w:rFonts w:ascii="Arial Narrow" w:hAnsi="Arial Narrow" w:cs="Arial"/>
                <w:sz w:val="20"/>
                <w:szCs w:val="20"/>
              </w:rPr>
            </w:pPr>
            <w:r w:rsidRPr="00D374CF">
              <w:rPr>
                <w:rFonts w:ascii="Arial Narrow" w:hAnsi="Arial Narrow" w:cs="Calibri"/>
                <w:color w:val="000000"/>
                <w:sz w:val="20"/>
                <w:szCs w:val="20"/>
              </w:rPr>
              <w:t>&lt;0.3</w:t>
            </w:r>
          </w:p>
        </w:tc>
        <w:tc>
          <w:tcPr>
            <w:tcW w:w="1565" w:type="dxa"/>
            <w:shd w:val="clear" w:color="auto" w:fill="auto"/>
            <w:vAlign w:val="bottom"/>
          </w:tcPr>
          <w:p w14:paraId="4DBF252F" w14:textId="55ECF578" w:rsidR="00D374CF" w:rsidRPr="00D374CF" w:rsidRDefault="00D374CF" w:rsidP="00D374CF">
            <w:pPr>
              <w:autoSpaceDE w:val="0"/>
              <w:autoSpaceDN w:val="0"/>
              <w:adjustRightInd w:val="0"/>
              <w:jc w:val="center"/>
              <w:rPr>
                <w:rFonts w:ascii="Arial Narrow" w:hAnsi="Arial Narrow" w:cs="Arial"/>
                <w:sz w:val="20"/>
                <w:szCs w:val="20"/>
              </w:rPr>
            </w:pPr>
            <w:r w:rsidRPr="00D374CF">
              <w:rPr>
                <w:rFonts w:ascii="Arial Narrow" w:hAnsi="Arial Narrow" w:cs="Calibri"/>
                <w:color w:val="000000"/>
                <w:sz w:val="20"/>
                <w:szCs w:val="20"/>
              </w:rPr>
              <w:t>&lt;0.3</w:t>
            </w:r>
          </w:p>
        </w:tc>
      </w:tr>
      <w:tr w:rsidR="00D374CF" w:rsidRPr="00867C44" w14:paraId="17CF4303" w14:textId="77777777" w:rsidTr="004922CA">
        <w:trPr>
          <w:trHeight w:val="290"/>
        </w:trPr>
        <w:tc>
          <w:tcPr>
            <w:tcW w:w="1565" w:type="dxa"/>
            <w:vAlign w:val="center"/>
          </w:tcPr>
          <w:p w14:paraId="63DC28CE" w14:textId="77777777" w:rsidR="00D374CF" w:rsidRPr="00867C44" w:rsidRDefault="00D374CF" w:rsidP="00D374CF">
            <w:pPr>
              <w:autoSpaceDE w:val="0"/>
              <w:autoSpaceDN w:val="0"/>
              <w:adjustRightInd w:val="0"/>
              <w:jc w:val="center"/>
              <w:rPr>
                <w:rFonts w:ascii="Arial Narrow" w:hAnsi="Arial Narrow" w:cs="Arial"/>
                <w:sz w:val="20"/>
                <w:szCs w:val="20"/>
              </w:rPr>
            </w:pPr>
            <w:r w:rsidRPr="00867C44">
              <w:rPr>
                <w:rFonts w:ascii="Arial Narrow" w:hAnsi="Arial Narrow" w:cs="Arial"/>
                <w:sz w:val="20"/>
                <w:szCs w:val="20"/>
              </w:rPr>
              <w:t>Nickel</w:t>
            </w:r>
          </w:p>
        </w:tc>
        <w:tc>
          <w:tcPr>
            <w:tcW w:w="1566" w:type="dxa"/>
            <w:vAlign w:val="center"/>
          </w:tcPr>
          <w:p w14:paraId="101660E6" w14:textId="77777777" w:rsidR="00D374CF" w:rsidRPr="00867C44" w:rsidRDefault="00D374CF" w:rsidP="00D374CF">
            <w:pPr>
              <w:autoSpaceDE w:val="0"/>
              <w:autoSpaceDN w:val="0"/>
              <w:adjustRightInd w:val="0"/>
              <w:jc w:val="center"/>
              <w:rPr>
                <w:rFonts w:ascii="Arial Narrow" w:hAnsi="Arial Narrow" w:cs="Arial"/>
                <w:sz w:val="20"/>
                <w:szCs w:val="20"/>
              </w:rPr>
            </w:pPr>
            <w:r w:rsidRPr="00867C44">
              <w:rPr>
                <w:rFonts w:ascii="Arial Narrow" w:hAnsi="Arial Narrow" w:cs="Arial"/>
                <w:sz w:val="20"/>
                <w:szCs w:val="20"/>
              </w:rPr>
              <w:t>22.7</w:t>
            </w:r>
          </w:p>
        </w:tc>
        <w:tc>
          <w:tcPr>
            <w:tcW w:w="1565" w:type="dxa"/>
            <w:vAlign w:val="center"/>
          </w:tcPr>
          <w:p w14:paraId="459006E9" w14:textId="77777777" w:rsidR="00D374CF" w:rsidRPr="00867C44" w:rsidRDefault="00D374CF" w:rsidP="00D374CF">
            <w:pPr>
              <w:autoSpaceDE w:val="0"/>
              <w:autoSpaceDN w:val="0"/>
              <w:adjustRightInd w:val="0"/>
              <w:jc w:val="center"/>
              <w:rPr>
                <w:rFonts w:ascii="Arial Narrow" w:hAnsi="Arial Narrow" w:cs="Arial"/>
                <w:sz w:val="20"/>
                <w:szCs w:val="20"/>
              </w:rPr>
            </w:pPr>
            <w:r w:rsidRPr="00867C44">
              <w:rPr>
                <w:rFonts w:ascii="Arial Narrow" w:hAnsi="Arial Narrow" w:cs="Arial"/>
                <w:sz w:val="20"/>
                <w:szCs w:val="20"/>
              </w:rPr>
              <w:t>48.6</w:t>
            </w:r>
          </w:p>
        </w:tc>
        <w:tc>
          <w:tcPr>
            <w:tcW w:w="1566" w:type="dxa"/>
            <w:vAlign w:val="bottom"/>
          </w:tcPr>
          <w:p w14:paraId="4165EAB1" w14:textId="3D210362" w:rsidR="00D374CF" w:rsidRPr="00D374CF" w:rsidRDefault="00D374CF" w:rsidP="00D374CF">
            <w:pPr>
              <w:autoSpaceDE w:val="0"/>
              <w:autoSpaceDN w:val="0"/>
              <w:adjustRightInd w:val="0"/>
              <w:jc w:val="center"/>
              <w:rPr>
                <w:rFonts w:ascii="Arial Narrow" w:hAnsi="Arial Narrow" w:cs="Arial"/>
                <w:sz w:val="20"/>
                <w:szCs w:val="20"/>
              </w:rPr>
            </w:pPr>
            <w:r w:rsidRPr="00D374CF">
              <w:rPr>
                <w:rFonts w:ascii="Arial Narrow" w:hAnsi="Arial Narrow" w:cs="Calibri"/>
                <w:color w:val="000000"/>
                <w:sz w:val="20"/>
                <w:szCs w:val="20"/>
              </w:rPr>
              <w:t>10.9</w:t>
            </w:r>
          </w:p>
        </w:tc>
        <w:tc>
          <w:tcPr>
            <w:tcW w:w="1565" w:type="dxa"/>
            <w:shd w:val="clear" w:color="auto" w:fill="auto"/>
            <w:vAlign w:val="bottom"/>
          </w:tcPr>
          <w:p w14:paraId="7DE95E2A" w14:textId="24BC6A8E" w:rsidR="00D374CF" w:rsidRPr="00D374CF" w:rsidRDefault="00D374CF" w:rsidP="00D374CF">
            <w:pPr>
              <w:autoSpaceDE w:val="0"/>
              <w:autoSpaceDN w:val="0"/>
              <w:adjustRightInd w:val="0"/>
              <w:jc w:val="center"/>
              <w:rPr>
                <w:rFonts w:ascii="Arial Narrow" w:hAnsi="Arial Narrow" w:cs="Arial"/>
                <w:sz w:val="20"/>
                <w:szCs w:val="20"/>
              </w:rPr>
            </w:pPr>
            <w:r w:rsidRPr="00D374CF">
              <w:rPr>
                <w:rFonts w:ascii="Arial Narrow" w:hAnsi="Arial Narrow" w:cs="Calibri"/>
                <w:color w:val="000000"/>
                <w:sz w:val="20"/>
                <w:szCs w:val="20"/>
              </w:rPr>
              <w:t>15.2</w:t>
            </w:r>
          </w:p>
        </w:tc>
      </w:tr>
      <w:tr w:rsidR="00D374CF" w:rsidRPr="00867C44" w14:paraId="6B87B822" w14:textId="77777777" w:rsidTr="004922CA">
        <w:trPr>
          <w:trHeight w:val="290"/>
        </w:trPr>
        <w:tc>
          <w:tcPr>
            <w:tcW w:w="1565" w:type="dxa"/>
            <w:vAlign w:val="center"/>
          </w:tcPr>
          <w:p w14:paraId="054A8B82" w14:textId="77777777" w:rsidR="00D374CF" w:rsidRPr="00867C44" w:rsidRDefault="00D374CF" w:rsidP="00D374CF">
            <w:pPr>
              <w:autoSpaceDE w:val="0"/>
              <w:autoSpaceDN w:val="0"/>
              <w:adjustRightInd w:val="0"/>
              <w:jc w:val="center"/>
              <w:rPr>
                <w:rFonts w:ascii="Arial Narrow" w:hAnsi="Arial Narrow" w:cs="Arial"/>
                <w:sz w:val="20"/>
                <w:szCs w:val="20"/>
              </w:rPr>
            </w:pPr>
            <w:r w:rsidRPr="00867C44">
              <w:rPr>
                <w:rFonts w:ascii="Arial Narrow" w:hAnsi="Arial Narrow" w:cs="Arial"/>
                <w:sz w:val="20"/>
                <w:szCs w:val="20"/>
              </w:rPr>
              <w:t>Zinc</w:t>
            </w:r>
          </w:p>
        </w:tc>
        <w:tc>
          <w:tcPr>
            <w:tcW w:w="1566" w:type="dxa"/>
            <w:vAlign w:val="center"/>
          </w:tcPr>
          <w:p w14:paraId="17D69D4C" w14:textId="77777777" w:rsidR="00D374CF" w:rsidRPr="00867C44" w:rsidRDefault="00D374CF" w:rsidP="00D374CF">
            <w:pPr>
              <w:autoSpaceDE w:val="0"/>
              <w:autoSpaceDN w:val="0"/>
              <w:adjustRightInd w:val="0"/>
              <w:jc w:val="center"/>
              <w:rPr>
                <w:rFonts w:ascii="Arial Narrow" w:hAnsi="Arial Narrow" w:cs="Arial"/>
                <w:sz w:val="20"/>
                <w:szCs w:val="20"/>
              </w:rPr>
            </w:pPr>
            <w:r w:rsidRPr="00867C44">
              <w:rPr>
                <w:rFonts w:ascii="Arial Narrow" w:hAnsi="Arial Narrow" w:cs="Arial"/>
                <w:sz w:val="20"/>
                <w:szCs w:val="20"/>
              </w:rPr>
              <w:t>121</w:t>
            </w:r>
          </w:p>
        </w:tc>
        <w:tc>
          <w:tcPr>
            <w:tcW w:w="1565" w:type="dxa"/>
            <w:vAlign w:val="center"/>
          </w:tcPr>
          <w:p w14:paraId="1F5D2063" w14:textId="77777777" w:rsidR="00D374CF" w:rsidRPr="00867C44" w:rsidRDefault="00D374CF" w:rsidP="00D374CF">
            <w:pPr>
              <w:autoSpaceDE w:val="0"/>
              <w:autoSpaceDN w:val="0"/>
              <w:adjustRightInd w:val="0"/>
              <w:jc w:val="center"/>
              <w:rPr>
                <w:rFonts w:ascii="Arial Narrow" w:hAnsi="Arial Narrow" w:cs="Arial"/>
                <w:sz w:val="20"/>
                <w:szCs w:val="20"/>
              </w:rPr>
            </w:pPr>
            <w:r w:rsidRPr="00867C44">
              <w:rPr>
                <w:rFonts w:ascii="Arial Narrow" w:hAnsi="Arial Narrow" w:cs="Arial"/>
                <w:sz w:val="20"/>
                <w:szCs w:val="20"/>
              </w:rPr>
              <w:t>459</w:t>
            </w:r>
          </w:p>
        </w:tc>
        <w:tc>
          <w:tcPr>
            <w:tcW w:w="1566" w:type="dxa"/>
            <w:vAlign w:val="bottom"/>
          </w:tcPr>
          <w:p w14:paraId="52B03D25" w14:textId="0ABAD667" w:rsidR="00D374CF" w:rsidRPr="00D374CF" w:rsidRDefault="00D374CF" w:rsidP="00D374CF">
            <w:pPr>
              <w:autoSpaceDE w:val="0"/>
              <w:autoSpaceDN w:val="0"/>
              <w:adjustRightInd w:val="0"/>
              <w:jc w:val="center"/>
              <w:rPr>
                <w:rFonts w:ascii="Arial Narrow" w:hAnsi="Arial Narrow" w:cs="Arial"/>
                <w:sz w:val="20"/>
                <w:szCs w:val="20"/>
              </w:rPr>
            </w:pPr>
            <w:r w:rsidRPr="00D374CF">
              <w:rPr>
                <w:rFonts w:ascii="Arial Narrow" w:hAnsi="Arial Narrow" w:cs="Calibri"/>
                <w:color w:val="000000"/>
                <w:sz w:val="20"/>
                <w:szCs w:val="20"/>
              </w:rPr>
              <w:t>62.7</w:t>
            </w:r>
          </w:p>
        </w:tc>
        <w:tc>
          <w:tcPr>
            <w:tcW w:w="1565" w:type="dxa"/>
            <w:shd w:val="clear" w:color="auto" w:fill="auto"/>
            <w:vAlign w:val="bottom"/>
          </w:tcPr>
          <w:p w14:paraId="4E26A3B6" w14:textId="25E49CBB" w:rsidR="00D374CF" w:rsidRPr="00D374CF" w:rsidRDefault="00D374CF" w:rsidP="00D374CF">
            <w:pPr>
              <w:autoSpaceDE w:val="0"/>
              <w:autoSpaceDN w:val="0"/>
              <w:adjustRightInd w:val="0"/>
              <w:jc w:val="center"/>
              <w:rPr>
                <w:rFonts w:ascii="Arial Narrow" w:hAnsi="Arial Narrow" w:cs="Arial"/>
                <w:sz w:val="20"/>
                <w:szCs w:val="20"/>
              </w:rPr>
            </w:pPr>
            <w:r w:rsidRPr="00D374CF">
              <w:rPr>
                <w:rFonts w:ascii="Arial Narrow" w:hAnsi="Arial Narrow" w:cs="Calibri"/>
                <w:color w:val="000000"/>
                <w:sz w:val="20"/>
                <w:szCs w:val="20"/>
              </w:rPr>
              <w:t>75.4</w:t>
            </w:r>
          </w:p>
        </w:tc>
      </w:tr>
    </w:tbl>
    <w:p w14:paraId="50AFDCFF" w14:textId="77777777" w:rsidR="009F272B" w:rsidRPr="00867C44" w:rsidRDefault="009F272B" w:rsidP="009F272B">
      <w:pPr>
        <w:pStyle w:val="BlockText"/>
        <w:spacing w:before="0" w:after="0" w:line="240" w:lineRule="auto"/>
        <w:rPr>
          <w:rFonts w:ascii="Arial Narrow" w:hAnsi="Arial Narrow"/>
          <w:sz w:val="20"/>
          <w:szCs w:val="20"/>
        </w:rPr>
      </w:pPr>
      <w:r w:rsidRPr="00867C44">
        <w:rPr>
          <w:rFonts w:ascii="Arial Narrow" w:hAnsi="Arial Narrow"/>
          <w:sz w:val="20"/>
          <w:szCs w:val="20"/>
          <w:vertAlign w:val="superscript"/>
        </w:rPr>
        <w:t>1</w:t>
      </w:r>
      <w:r w:rsidRPr="00867C44">
        <w:rPr>
          <w:rFonts w:ascii="Arial Narrow" w:hAnsi="Arial Narrow"/>
          <w:sz w:val="20"/>
          <w:szCs w:val="20"/>
        </w:rPr>
        <w:t xml:space="preserve"> TEC is the consensus-based Threshold Effect Concentration from MacDonald </w:t>
      </w:r>
      <w:r w:rsidRPr="00867C44">
        <w:rPr>
          <w:rFonts w:ascii="Arial Narrow" w:hAnsi="Arial Narrow"/>
          <w:i/>
          <w:sz w:val="20"/>
          <w:szCs w:val="20"/>
        </w:rPr>
        <w:t>et al</w:t>
      </w:r>
      <w:r w:rsidRPr="00867C44">
        <w:rPr>
          <w:rFonts w:ascii="Arial Narrow" w:hAnsi="Arial Narrow"/>
          <w:sz w:val="20"/>
          <w:szCs w:val="20"/>
        </w:rPr>
        <w:t xml:space="preserve">., 2000. </w:t>
      </w:r>
    </w:p>
    <w:p w14:paraId="05BE0B2A" w14:textId="77777777" w:rsidR="009F272B" w:rsidRDefault="009F272B" w:rsidP="009F272B">
      <w:pPr>
        <w:pStyle w:val="BlockText"/>
        <w:spacing w:before="0" w:after="0" w:line="240" w:lineRule="auto"/>
        <w:rPr>
          <w:rFonts w:ascii="Arial Narrow" w:hAnsi="Arial Narrow"/>
          <w:sz w:val="20"/>
          <w:szCs w:val="20"/>
        </w:rPr>
      </w:pPr>
      <w:r w:rsidRPr="00867C44">
        <w:rPr>
          <w:rFonts w:ascii="Arial Narrow" w:hAnsi="Arial Narrow"/>
          <w:sz w:val="20"/>
          <w:szCs w:val="20"/>
          <w:vertAlign w:val="superscript"/>
        </w:rPr>
        <w:t>2</w:t>
      </w:r>
      <w:r w:rsidRPr="00867C44">
        <w:rPr>
          <w:rFonts w:ascii="Arial Narrow" w:hAnsi="Arial Narrow"/>
          <w:sz w:val="20"/>
          <w:szCs w:val="20"/>
        </w:rPr>
        <w:t xml:space="preserve"> </w:t>
      </w:r>
      <w:proofErr w:type="gramStart"/>
      <w:r w:rsidRPr="00867C44">
        <w:rPr>
          <w:rFonts w:ascii="Arial Narrow" w:hAnsi="Arial Narrow"/>
          <w:sz w:val="20"/>
          <w:szCs w:val="20"/>
        </w:rPr>
        <w:t>PEC</w:t>
      </w:r>
      <w:proofErr w:type="gramEnd"/>
      <w:r w:rsidRPr="00867C44">
        <w:rPr>
          <w:rFonts w:ascii="Arial Narrow" w:hAnsi="Arial Narrow"/>
          <w:sz w:val="20"/>
          <w:szCs w:val="20"/>
        </w:rPr>
        <w:t xml:space="preserve"> is the consensus-based Probable Effect Concentration from MacDonald </w:t>
      </w:r>
      <w:r w:rsidRPr="00867C44">
        <w:rPr>
          <w:rFonts w:ascii="Arial Narrow" w:hAnsi="Arial Narrow"/>
          <w:i/>
          <w:sz w:val="20"/>
          <w:szCs w:val="20"/>
        </w:rPr>
        <w:t>et al</w:t>
      </w:r>
      <w:r w:rsidRPr="00867C44">
        <w:rPr>
          <w:rFonts w:ascii="Arial Narrow" w:hAnsi="Arial Narrow"/>
          <w:sz w:val="20"/>
          <w:szCs w:val="20"/>
        </w:rPr>
        <w:t>., 2000.</w:t>
      </w:r>
    </w:p>
    <w:p w14:paraId="3DD338A9" w14:textId="52A6406E" w:rsidR="00EC1A1D" w:rsidRDefault="00EC1A1D" w:rsidP="00B91C39">
      <w:pPr>
        <w:pStyle w:val="BlockText"/>
        <w:spacing w:before="0" w:after="0" w:line="240" w:lineRule="auto"/>
        <w:rPr>
          <w:rFonts w:ascii="Arial Narrow" w:hAnsi="Arial Narrow"/>
          <w:sz w:val="20"/>
          <w:szCs w:val="20"/>
        </w:rPr>
      </w:pPr>
    </w:p>
    <w:p w14:paraId="4F028BAF" w14:textId="2FB59C9B" w:rsidR="003816CC" w:rsidRDefault="003816CC" w:rsidP="00B91C39">
      <w:pPr>
        <w:pStyle w:val="BlockText"/>
        <w:spacing w:before="0" w:after="0" w:line="240" w:lineRule="auto"/>
        <w:rPr>
          <w:rFonts w:ascii="Arial Narrow" w:hAnsi="Arial Narrow"/>
          <w:sz w:val="20"/>
          <w:szCs w:val="20"/>
        </w:rPr>
      </w:pPr>
    </w:p>
    <w:p w14:paraId="1A4AA399" w14:textId="77777777" w:rsidR="009B4E67" w:rsidRPr="00867C44" w:rsidRDefault="009B4E67" w:rsidP="009B4E67">
      <w:pPr>
        <w:pStyle w:val="Heading3"/>
      </w:pPr>
      <w:bookmarkStart w:id="171" w:name="_Toc121736068"/>
      <w:bookmarkStart w:id="172" w:name="_Toc162948179"/>
      <w:r>
        <w:t>Sediment Toxics - PAHs</w:t>
      </w:r>
      <w:bookmarkEnd w:id="171"/>
      <w:bookmarkEnd w:id="172"/>
    </w:p>
    <w:p w14:paraId="3C72F3C8" w14:textId="221F5356" w:rsidR="009B4E67" w:rsidRDefault="009B4E67" w:rsidP="009B4E67">
      <w:pPr>
        <w:pStyle w:val="BlockText"/>
      </w:pPr>
      <w:r>
        <w:t>Polycyclic aromatic hydrocarbons (</w:t>
      </w:r>
      <w:r w:rsidRPr="00867C44">
        <w:t>PAHs</w:t>
      </w:r>
      <w:r>
        <w:t>)</w:t>
      </w:r>
      <w:r w:rsidRPr="00867C44">
        <w:t xml:space="preserve"> are a class of chemicals that occur naturally in coal, oil, and gasoline and can be generated when organic fuels are burned. PAHs in the aquatic environment are commonly associated with oil or fuel leaks or spills, but PAHs can also be elevated in urban areas from the runoff of deposited fossil fuel combustion byproducts. Many PAH compounds are toxic and can adversely impact benthic aquatic communities when they build up in sediments. P</w:t>
      </w:r>
      <w:r>
        <w:t>AHs</w:t>
      </w:r>
      <w:r w:rsidRPr="00867C44">
        <w:t xml:space="preserve"> were analyzed in sediments collected from </w:t>
      </w:r>
      <w:r w:rsidR="00A90567">
        <w:t xml:space="preserve">the Roanoke River </w:t>
      </w:r>
      <w:r>
        <w:t>(</w:t>
      </w:r>
      <w:r w:rsidR="00A90567">
        <w:t xml:space="preserve">4AROA202.32) on </w:t>
      </w:r>
      <w:r w:rsidR="002E3CDE">
        <w:t xml:space="preserve">5/3/2004. </w:t>
      </w:r>
      <w:r>
        <w:t xml:space="preserve">A total of 17 PAH compounds were analyzed, and </w:t>
      </w:r>
      <w:r w:rsidR="00C72584">
        <w:t>4</w:t>
      </w:r>
      <w:r>
        <w:t xml:space="preserve"> were below detection. </w:t>
      </w:r>
      <w:r w:rsidR="00C72584">
        <w:t xml:space="preserve">Concentrations of detectable PAH compounds ranged from 27 to 1039 </w:t>
      </w:r>
      <w:proofErr w:type="spellStart"/>
      <w:r w:rsidR="00C72584">
        <w:rPr>
          <w:rFonts w:ascii="Calibri" w:hAnsi="Calibri" w:cs="Calibri"/>
        </w:rPr>
        <w:t>μ</w:t>
      </w:r>
      <w:r w:rsidR="00C72584">
        <w:t>g</w:t>
      </w:r>
      <w:proofErr w:type="spellEnd"/>
      <w:r w:rsidR="00C72584">
        <w:t>/kg.</w:t>
      </w:r>
      <w:r w:rsidR="00F709FD" w:rsidRPr="00F709FD">
        <w:t xml:space="preserve"> </w:t>
      </w:r>
      <w:r w:rsidR="00F709FD">
        <w:t>These values are considerably higher than PAH levels which were below detection in Mason Creek, UT (4AXNB000.60), an unimpaired station within the Roanoke River watershed.</w:t>
      </w:r>
      <w:r w:rsidR="00C72584">
        <w:t xml:space="preserve"> </w:t>
      </w:r>
      <w:r w:rsidR="00C72584">
        <w:fldChar w:fldCharType="begin"/>
      </w:r>
      <w:r w:rsidR="00C72584">
        <w:instrText xml:space="preserve"> REF _Ref137472167 \h </w:instrText>
      </w:r>
      <w:r w:rsidR="00C72584">
        <w:fldChar w:fldCharType="separate"/>
      </w:r>
      <w:r w:rsidR="004A78BF">
        <w:t xml:space="preserve">Table </w:t>
      </w:r>
      <w:r w:rsidR="004A78BF">
        <w:rPr>
          <w:noProof/>
        </w:rPr>
        <w:t>18</w:t>
      </w:r>
      <w:r w:rsidR="00C72584">
        <w:fldChar w:fldCharType="end"/>
      </w:r>
      <w:r w:rsidR="00C72584">
        <w:t xml:space="preserve"> shows the </w:t>
      </w:r>
      <w:r w:rsidR="004C5783">
        <w:t xml:space="preserve">PAH concentrations measured in Roanoke River sediments compared to </w:t>
      </w:r>
      <w:r>
        <w:t xml:space="preserve">threshold effect concentrations (TEC) </w:t>
      </w:r>
      <w:r w:rsidR="004C5783">
        <w:t>and</w:t>
      </w:r>
      <w:r>
        <w:t xml:space="preserve"> </w:t>
      </w:r>
      <w:r w:rsidRPr="00867C44">
        <w:t>probable effect concentration</w:t>
      </w:r>
      <w:r>
        <w:t>s</w:t>
      </w:r>
      <w:r w:rsidRPr="00867C44">
        <w:t xml:space="preserve"> (PEC) </w:t>
      </w:r>
      <w:r>
        <w:t xml:space="preserve">reported by MacDonald </w:t>
      </w:r>
      <w:r w:rsidRPr="00B53BF5">
        <w:rPr>
          <w:i/>
        </w:rPr>
        <w:t>et al.</w:t>
      </w:r>
      <w:r>
        <w:t xml:space="preserve"> (2000). </w:t>
      </w:r>
      <w:r w:rsidR="004C5783">
        <w:t>No PAH compounds exceeded PEC values, but four compounds (benzo(a)anthracene, benzo(a)pyrene, chrysene, and phenanthrene) and total PAHs were detected above TEC values. Based on limited data, this indicates that PAH could be a possible, but not likely, stressor to the benthic community.</w:t>
      </w:r>
      <w:r>
        <w:t xml:space="preserve"> </w:t>
      </w:r>
    </w:p>
    <w:p w14:paraId="20AE0E95" w14:textId="77777777" w:rsidR="005E4B50" w:rsidRDefault="005E4B50" w:rsidP="0023520A">
      <w:pPr>
        <w:pStyle w:val="BlockText"/>
        <w:spacing w:before="0" w:after="0" w:line="240" w:lineRule="auto"/>
      </w:pPr>
    </w:p>
    <w:p w14:paraId="12B42DC1" w14:textId="60E20E11" w:rsidR="00C72584" w:rsidRDefault="00C72584" w:rsidP="00C72584">
      <w:pPr>
        <w:pStyle w:val="Caption"/>
      </w:pPr>
      <w:bookmarkStart w:id="173" w:name="_Ref137472167"/>
      <w:bookmarkStart w:id="174" w:name="_Toc162948285"/>
      <w:r>
        <w:t xml:space="preserve">Table </w:t>
      </w:r>
      <w:r w:rsidR="008C06B8">
        <w:rPr>
          <w:noProof/>
        </w:rPr>
        <w:fldChar w:fldCharType="begin"/>
      </w:r>
      <w:r w:rsidR="008C06B8">
        <w:rPr>
          <w:noProof/>
        </w:rPr>
        <w:instrText xml:space="preserve"> SEQ Table \* ARABIC </w:instrText>
      </w:r>
      <w:r w:rsidR="008C06B8">
        <w:rPr>
          <w:noProof/>
        </w:rPr>
        <w:fldChar w:fldCharType="separate"/>
      </w:r>
      <w:r w:rsidR="004A78BF">
        <w:rPr>
          <w:noProof/>
        </w:rPr>
        <w:t>18</w:t>
      </w:r>
      <w:r w:rsidR="008C06B8">
        <w:rPr>
          <w:noProof/>
        </w:rPr>
        <w:fldChar w:fldCharType="end"/>
      </w:r>
      <w:bookmarkEnd w:id="173"/>
      <w:r>
        <w:t>. Polycyclic aromatic hydrocarbon (PAH)</w:t>
      </w:r>
      <w:r w:rsidRPr="00867C44">
        <w:t xml:space="preserve"> concentrations in sediments from </w:t>
      </w:r>
      <w:r>
        <w:t>Roanoke River Project streams.</w:t>
      </w:r>
      <w:bookmarkEnd w:id="174"/>
    </w:p>
    <w:tbl>
      <w:tblPr>
        <w:tblW w:w="7323"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3"/>
        <w:gridCol w:w="1763"/>
        <w:gridCol w:w="1763"/>
        <w:gridCol w:w="2034"/>
      </w:tblGrid>
      <w:tr w:rsidR="002E3CDE" w:rsidRPr="002E3CDE" w14:paraId="357B6B56" w14:textId="77777777" w:rsidTr="00C72584">
        <w:trPr>
          <w:trHeight w:val="732"/>
        </w:trPr>
        <w:tc>
          <w:tcPr>
            <w:tcW w:w="1763" w:type="dxa"/>
            <w:shd w:val="clear" w:color="auto" w:fill="D9D9D9" w:themeFill="background1" w:themeFillShade="D9"/>
            <w:vAlign w:val="center"/>
          </w:tcPr>
          <w:p w14:paraId="5002C19A" w14:textId="4C656539" w:rsidR="002E3CDE" w:rsidRPr="002E3CDE" w:rsidRDefault="002E3CDE" w:rsidP="00CC30EB">
            <w:pPr>
              <w:autoSpaceDE w:val="0"/>
              <w:autoSpaceDN w:val="0"/>
              <w:adjustRightInd w:val="0"/>
              <w:jc w:val="center"/>
              <w:rPr>
                <w:rFonts w:ascii="Arial Narrow" w:hAnsi="Arial Narrow" w:cs="Arial"/>
                <w:b/>
                <w:sz w:val="20"/>
                <w:szCs w:val="20"/>
              </w:rPr>
            </w:pPr>
            <w:r w:rsidRPr="002E3CDE">
              <w:rPr>
                <w:rFonts w:ascii="Arial Narrow" w:hAnsi="Arial Narrow" w:cs="Arial"/>
                <w:b/>
                <w:sz w:val="20"/>
                <w:szCs w:val="20"/>
              </w:rPr>
              <w:t>PAH</w:t>
            </w:r>
          </w:p>
        </w:tc>
        <w:tc>
          <w:tcPr>
            <w:tcW w:w="1763" w:type="dxa"/>
            <w:shd w:val="clear" w:color="auto" w:fill="D9D9D9" w:themeFill="background1" w:themeFillShade="D9"/>
            <w:vAlign w:val="center"/>
          </w:tcPr>
          <w:p w14:paraId="14CA23F7" w14:textId="77777777" w:rsidR="002E3CDE" w:rsidRPr="002E3CDE" w:rsidRDefault="002E3CDE" w:rsidP="00CC30EB">
            <w:pPr>
              <w:autoSpaceDE w:val="0"/>
              <w:autoSpaceDN w:val="0"/>
              <w:adjustRightInd w:val="0"/>
              <w:jc w:val="center"/>
              <w:rPr>
                <w:rFonts w:ascii="Arial Narrow" w:hAnsi="Arial Narrow" w:cs="Arial"/>
                <w:b/>
                <w:sz w:val="20"/>
                <w:szCs w:val="20"/>
              </w:rPr>
            </w:pPr>
            <w:r w:rsidRPr="002E3CDE">
              <w:rPr>
                <w:rFonts w:ascii="Arial Narrow" w:hAnsi="Arial Narrow" w:cs="Arial"/>
                <w:b/>
                <w:sz w:val="20"/>
                <w:szCs w:val="20"/>
              </w:rPr>
              <w:t>TEC</w:t>
            </w:r>
            <w:r w:rsidRPr="002E3CDE">
              <w:rPr>
                <w:rFonts w:ascii="Arial Narrow" w:hAnsi="Arial Narrow" w:cs="Arial"/>
                <w:b/>
                <w:sz w:val="20"/>
                <w:szCs w:val="20"/>
                <w:vertAlign w:val="superscript"/>
              </w:rPr>
              <w:t>1</w:t>
            </w:r>
          </w:p>
          <w:p w14:paraId="29D2673D" w14:textId="77777777" w:rsidR="002E3CDE" w:rsidRPr="002E3CDE" w:rsidRDefault="002E3CDE" w:rsidP="00CC30EB">
            <w:pPr>
              <w:autoSpaceDE w:val="0"/>
              <w:autoSpaceDN w:val="0"/>
              <w:adjustRightInd w:val="0"/>
              <w:jc w:val="center"/>
              <w:rPr>
                <w:rFonts w:ascii="Arial Narrow" w:hAnsi="Arial Narrow" w:cs="Arial"/>
                <w:b/>
                <w:sz w:val="20"/>
                <w:szCs w:val="20"/>
              </w:rPr>
            </w:pPr>
            <w:r w:rsidRPr="002E3CDE">
              <w:rPr>
                <w:rFonts w:ascii="Arial Narrow" w:hAnsi="Arial Narrow" w:cs="Arial"/>
                <w:b/>
                <w:sz w:val="20"/>
                <w:szCs w:val="20"/>
              </w:rPr>
              <w:t>(mg/kg)</w:t>
            </w:r>
          </w:p>
        </w:tc>
        <w:tc>
          <w:tcPr>
            <w:tcW w:w="1763" w:type="dxa"/>
            <w:shd w:val="clear" w:color="auto" w:fill="D9D9D9" w:themeFill="background1" w:themeFillShade="D9"/>
            <w:vAlign w:val="center"/>
          </w:tcPr>
          <w:p w14:paraId="07CF64F5" w14:textId="77777777" w:rsidR="002E3CDE" w:rsidRPr="002E3CDE" w:rsidRDefault="002E3CDE" w:rsidP="00CC30EB">
            <w:pPr>
              <w:autoSpaceDE w:val="0"/>
              <w:autoSpaceDN w:val="0"/>
              <w:adjustRightInd w:val="0"/>
              <w:jc w:val="center"/>
              <w:rPr>
                <w:rFonts w:ascii="Arial Narrow" w:hAnsi="Arial Narrow" w:cs="Arial"/>
                <w:b/>
                <w:sz w:val="20"/>
                <w:szCs w:val="20"/>
              </w:rPr>
            </w:pPr>
            <w:r w:rsidRPr="002E3CDE">
              <w:rPr>
                <w:rFonts w:ascii="Arial Narrow" w:hAnsi="Arial Narrow" w:cs="Arial"/>
                <w:b/>
                <w:sz w:val="20"/>
                <w:szCs w:val="20"/>
              </w:rPr>
              <w:t>PEC</w:t>
            </w:r>
            <w:r w:rsidRPr="002E3CDE">
              <w:rPr>
                <w:rFonts w:ascii="Arial Narrow" w:hAnsi="Arial Narrow" w:cs="Arial"/>
                <w:b/>
                <w:sz w:val="20"/>
                <w:szCs w:val="20"/>
                <w:vertAlign w:val="superscript"/>
              </w:rPr>
              <w:t>2</w:t>
            </w:r>
          </w:p>
          <w:p w14:paraId="3A60BDA8" w14:textId="77777777" w:rsidR="002E3CDE" w:rsidRPr="002E3CDE" w:rsidRDefault="002E3CDE" w:rsidP="00CC30EB">
            <w:pPr>
              <w:autoSpaceDE w:val="0"/>
              <w:autoSpaceDN w:val="0"/>
              <w:adjustRightInd w:val="0"/>
              <w:jc w:val="center"/>
              <w:rPr>
                <w:rFonts w:ascii="Arial Narrow" w:hAnsi="Arial Narrow" w:cs="Arial"/>
                <w:b/>
                <w:sz w:val="20"/>
                <w:szCs w:val="20"/>
              </w:rPr>
            </w:pPr>
            <w:r w:rsidRPr="002E3CDE">
              <w:rPr>
                <w:rFonts w:ascii="Arial Narrow" w:hAnsi="Arial Narrow" w:cs="Arial"/>
                <w:b/>
                <w:sz w:val="20"/>
                <w:szCs w:val="20"/>
              </w:rPr>
              <w:t>(mg/kg)</w:t>
            </w:r>
          </w:p>
        </w:tc>
        <w:tc>
          <w:tcPr>
            <w:tcW w:w="2034" w:type="dxa"/>
            <w:shd w:val="clear" w:color="auto" w:fill="D9D9D9" w:themeFill="background1" w:themeFillShade="D9"/>
            <w:vAlign w:val="center"/>
          </w:tcPr>
          <w:p w14:paraId="01EA0D10" w14:textId="06905E77" w:rsidR="002E3CDE" w:rsidRPr="002E3CDE" w:rsidRDefault="002E3CDE" w:rsidP="00CC30EB">
            <w:pPr>
              <w:autoSpaceDE w:val="0"/>
              <w:autoSpaceDN w:val="0"/>
              <w:adjustRightInd w:val="0"/>
              <w:jc w:val="center"/>
              <w:rPr>
                <w:rFonts w:ascii="Arial Narrow" w:hAnsi="Arial Narrow" w:cs="Calibri"/>
                <w:b/>
                <w:bCs/>
                <w:color w:val="000000"/>
                <w:sz w:val="20"/>
                <w:szCs w:val="20"/>
              </w:rPr>
            </w:pPr>
            <w:r w:rsidRPr="002E3CDE">
              <w:rPr>
                <w:rFonts w:ascii="Arial Narrow" w:hAnsi="Arial Narrow" w:cs="Arial"/>
                <w:b/>
                <w:sz w:val="20"/>
                <w:szCs w:val="20"/>
              </w:rPr>
              <w:t>Concentration (</w:t>
            </w:r>
            <w:proofErr w:type="spellStart"/>
            <w:r w:rsidRPr="002E3CDE">
              <w:rPr>
                <w:rFonts w:ascii="Arial Narrow" w:hAnsi="Arial Narrow" w:cs="Calibri"/>
                <w:b/>
                <w:sz w:val="20"/>
                <w:szCs w:val="20"/>
              </w:rPr>
              <w:t>μ</w:t>
            </w:r>
            <w:r w:rsidRPr="002E3CDE">
              <w:rPr>
                <w:rFonts w:ascii="Arial Narrow" w:hAnsi="Arial Narrow" w:cs="Calibri"/>
                <w:b/>
                <w:bCs/>
                <w:color w:val="000000"/>
                <w:sz w:val="20"/>
                <w:szCs w:val="20"/>
              </w:rPr>
              <w:t>g</w:t>
            </w:r>
            <w:proofErr w:type="spellEnd"/>
            <w:r w:rsidRPr="002E3CDE">
              <w:rPr>
                <w:rFonts w:ascii="Arial Narrow" w:hAnsi="Arial Narrow" w:cs="Calibri"/>
                <w:b/>
                <w:bCs/>
                <w:color w:val="000000"/>
                <w:sz w:val="20"/>
                <w:szCs w:val="20"/>
              </w:rPr>
              <w:t>/kg)</w:t>
            </w:r>
          </w:p>
          <w:p w14:paraId="0B03C0E9" w14:textId="77777777" w:rsidR="002E3CDE" w:rsidRPr="002E3CDE" w:rsidRDefault="002E3CDE" w:rsidP="00CC30EB">
            <w:pPr>
              <w:autoSpaceDE w:val="0"/>
              <w:autoSpaceDN w:val="0"/>
              <w:adjustRightInd w:val="0"/>
              <w:jc w:val="center"/>
              <w:rPr>
                <w:rFonts w:ascii="Arial Narrow" w:hAnsi="Arial Narrow" w:cs="Arial"/>
                <w:b/>
                <w:sz w:val="20"/>
                <w:szCs w:val="20"/>
              </w:rPr>
            </w:pPr>
            <w:r w:rsidRPr="002E3CDE">
              <w:rPr>
                <w:rFonts w:ascii="Arial Narrow" w:hAnsi="Arial Narrow" w:cs="Arial"/>
                <w:b/>
                <w:sz w:val="20"/>
                <w:szCs w:val="20"/>
              </w:rPr>
              <w:t>In Roanoke River</w:t>
            </w:r>
          </w:p>
          <w:p w14:paraId="2A0C5090" w14:textId="0AD4E5D0" w:rsidR="002E3CDE" w:rsidRPr="002E3CDE" w:rsidRDefault="002E3CDE" w:rsidP="00CC30EB">
            <w:pPr>
              <w:autoSpaceDE w:val="0"/>
              <w:autoSpaceDN w:val="0"/>
              <w:adjustRightInd w:val="0"/>
              <w:jc w:val="center"/>
              <w:rPr>
                <w:rFonts w:ascii="Arial Narrow" w:hAnsi="Arial Narrow" w:cs="Arial"/>
                <w:b/>
                <w:sz w:val="20"/>
                <w:szCs w:val="20"/>
              </w:rPr>
            </w:pPr>
            <w:r w:rsidRPr="002E3CDE">
              <w:rPr>
                <w:rFonts w:ascii="Arial Narrow" w:hAnsi="Arial Narrow" w:cs="Arial"/>
                <w:b/>
                <w:sz w:val="20"/>
                <w:szCs w:val="20"/>
              </w:rPr>
              <w:t>(4AROA202.32)</w:t>
            </w:r>
          </w:p>
        </w:tc>
      </w:tr>
      <w:tr w:rsidR="002E3CDE" w:rsidRPr="002E3CDE" w14:paraId="02A667F3" w14:textId="77777777" w:rsidTr="00C72584">
        <w:trPr>
          <w:trHeight w:val="290"/>
        </w:trPr>
        <w:tc>
          <w:tcPr>
            <w:tcW w:w="1763" w:type="dxa"/>
            <w:vAlign w:val="bottom"/>
          </w:tcPr>
          <w:p w14:paraId="5AD19453" w14:textId="08A11934" w:rsidR="002E3CDE" w:rsidRPr="002E3CDE" w:rsidRDefault="002E3CDE" w:rsidP="002E3CDE">
            <w:pPr>
              <w:autoSpaceDE w:val="0"/>
              <w:autoSpaceDN w:val="0"/>
              <w:adjustRightInd w:val="0"/>
              <w:jc w:val="center"/>
              <w:rPr>
                <w:rFonts w:ascii="Arial Narrow" w:hAnsi="Arial Narrow" w:cs="Arial"/>
                <w:sz w:val="20"/>
                <w:szCs w:val="20"/>
              </w:rPr>
            </w:pPr>
            <w:r w:rsidRPr="002E3CDE">
              <w:rPr>
                <w:rFonts w:ascii="Arial Narrow" w:hAnsi="Arial Narrow" w:cs="Calibri"/>
                <w:color w:val="000000"/>
                <w:sz w:val="20"/>
                <w:szCs w:val="20"/>
              </w:rPr>
              <w:t>Anthracene</w:t>
            </w:r>
          </w:p>
        </w:tc>
        <w:tc>
          <w:tcPr>
            <w:tcW w:w="1763" w:type="dxa"/>
            <w:vAlign w:val="bottom"/>
          </w:tcPr>
          <w:p w14:paraId="353420A6" w14:textId="595D6CE1" w:rsidR="002E3CDE" w:rsidRPr="002E3CDE" w:rsidRDefault="002E3CDE" w:rsidP="002E3CDE">
            <w:pPr>
              <w:autoSpaceDE w:val="0"/>
              <w:autoSpaceDN w:val="0"/>
              <w:adjustRightInd w:val="0"/>
              <w:jc w:val="center"/>
              <w:rPr>
                <w:rFonts w:ascii="Arial Narrow" w:hAnsi="Arial Narrow" w:cs="Arial"/>
                <w:sz w:val="20"/>
                <w:szCs w:val="20"/>
              </w:rPr>
            </w:pPr>
            <w:r w:rsidRPr="002E3CDE">
              <w:rPr>
                <w:rFonts w:ascii="Arial Narrow" w:hAnsi="Arial Narrow" w:cs="Calibri"/>
                <w:color w:val="000000"/>
                <w:sz w:val="20"/>
                <w:szCs w:val="20"/>
              </w:rPr>
              <w:t>57.2</w:t>
            </w:r>
          </w:p>
        </w:tc>
        <w:tc>
          <w:tcPr>
            <w:tcW w:w="1763" w:type="dxa"/>
            <w:vAlign w:val="bottom"/>
          </w:tcPr>
          <w:p w14:paraId="2BD55ABF" w14:textId="1DD43F7B" w:rsidR="002E3CDE" w:rsidRPr="002E3CDE" w:rsidRDefault="002E3CDE" w:rsidP="002E3CDE">
            <w:pPr>
              <w:autoSpaceDE w:val="0"/>
              <w:autoSpaceDN w:val="0"/>
              <w:adjustRightInd w:val="0"/>
              <w:jc w:val="center"/>
              <w:rPr>
                <w:rFonts w:ascii="Arial Narrow" w:hAnsi="Arial Narrow" w:cs="Arial"/>
                <w:sz w:val="20"/>
                <w:szCs w:val="20"/>
              </w:rPr>
            </w:pPr>
            <w:r w:rsidRPr="002E3CDE">
              <w:rPr>
                <w:rFonts w:ascii="Arial Narrow" w:hAnsi="Arial Narrow" w:cs="Calibri"/>
                <w:color w:val="000000"/>
                <w:sz w:val="20"/>
                <w:szCs w:val="20"/>
              </w:rPr>
              <w:t>845</w:t>
            </w:r>
          </w:p>
        </w:tc>
        <w:tc>
          <w:tcPr>
            <w:tcW w:w="2034" w:type="dxa"/>
            <w:shd w:val="clear" w:color="auto" w:fill="auto"/>
            <w:vAlign w:val="bottom"/>
          </w:tcPr>
          <w:p w14:paraId="30B3F40D" w14:textId="079062E0" w:rsidR="002E3CDE" w:rsidRPr="002E3CDE" w:rsidRDefault="002E3CDE" w:rsidP="002E3CDE">
            <w:pPr>
              <w:autoSpaceDE w:val="0"/>
              <w:autoSpaceDN w:val="0"/>
              <w:adjustRightInd w:val="0"/>
              <w:jc w:val="center"/>
              <w:rPr>
                <w:rFonts w:ascii="Arial Narrow" w:hAnsi="Arial Narrow" w:cs="Arial"/>
                <w:sz w:val="20"/>
                <w:szCs w:val="20"/>
              </w:rPr>
            </w:pPr>
            <w:r w:rsidRPr="002E3CDE">
              <w:rPr>
                <w:rFonts w:ascii="Arial Narrow" w:hAnsi="Arial Narrow" w:cs="Calibri"/>
                <w:color w:val="000000"/>
                <w:sz w:val="20"/>
                <w:szCs w:val="20"/>
              </w:rPr>
              <w:t>&lt;72</w:t>
            </w:r>
          </w:p>
        </w:tc>
      </w:tr>
      <w:tr w:rsidR="002E3CDE" w:rsidRPr="002E3CDE" w14:paraId="15BB4D94" w14:textId="77777777" w:rsidTr="00C72584">
        <w:trPr>
          <w:trHeight w:val="290"/>
        </w:trPr>
        <w:tc>
          <w:tcPr>
            <w:tcW w:w="1763" w:type="dxa"/>
            <w:vAlign w:val="bottom"/>
          </w:tcPr>
          <w:p w14:paraId="56E84679" w14:textId="7F57D7D6" w:rsidR="002E3CDE" w:rsidRPr="002E3CDE" w:rsidRDefault="002E3CDE" w:rsidP="002E3CDE">
            <w:pPr>
              <w:autoSpaceDE w:val="0"/>
              <w:autoSpaceDN w:val="0"/>
              <w:adjustRightInd w:val="0"/>
              <w:jc w:val="center"/>
              <w:rPr>
                <w:rFonts w:ascii="Arial Narrow" w:hAnsi="Arial Narrow" w:cs="Arial"/>
                <w:sz w:val="20"/>
                <w:szCs w:val="20"/>
              </w:rPr>
            </w:pPr>
            <w:r w:rsidRPr="002E3CDE">
              <w:rPr>
                <w:rFonts w:ascii="Arial Narrow" w:hAnsi="Arial Narrow" w:cs="Calibri"/>
                <w:color w:val="000000"/>
                <w:sz w:val="20"/>
                <w:szCs w:val="20"/>
              </w:rPr>
              <w:t>Benzo(a)anthracene</w:t>
            </w:r>
          </w:p>
        </w:tc>
        <w:tc>
          <w:tcPr>
            <w:tcW w:w="1763" w:type="dxa"/>
            <w:vAlign w:val="bottom"/>
          </w:tcPr>
          <w:p w14:paraId="27E48034" w14:textId="6AEB6486" w:rsidR="002E3CDE" w:rsidRPr="002E3CDE" w:rsidRDefault="002E3CDE" w:rsidP="002E3CDE">
            <w:pPr>
              <w:autoSpaceDE w:val="0"/>
              <w:autoSpaceDN w:val="0"/>
              <w:adjustRightInd w:val="0"/>
              <w:jc w:val="center"/>
              <w:rPr>
                <w:rFonts w:ascii="Arial Narrow" w:hAnsi="Arial Narrow" w:cs="Arial"/>
                <w:sz w:val="20"/>
                <w:szCs w:val="20"/>
              </w:rPr>
            </w:pPr>
            <w:r w:rsidRPr="002E3CDE">
              <w:rPr>
                <w:rFonts w:ascii="Arial Narrow" w:hAnsi="Arial Narrow" w:cs="Calibri"/>
                <w:color w:val="000000"/>
                <w:sz w:val="20"/>
                <w:szCs w:val="20"/>
              </w:rPr>
              <w:t>108</w:t>
            </w:r>
          </w:p>
        </w:tc>
        <w:tc>
          <w:tcPr>
            <w:tcW w:w="1763" w:type="dxa"/>
            <w:vAlign w:val="bottom"/>
          </w:tcPr>
          <w:p w14:paraId="0417021E" w14:textId="31DCD0F5" w:rsidR="002E3CDE" w:rsidRPr="002E3CDE" w:rsidRDefault="002E3CDE" w:rsidP="002E3CDE">
            <w:pPr>
              <w:autoSpaceDE w:val="0"/>
              <w:autoSpaceDN w:val="0"/>
              <w:adjustRightInd w:val="0"/>
              <w:jc w:val="center"/>
              <w:rPr>
                <w:rFonts w:ascii="Arial Narrow" w:hAnsi="Arial Narrow" w:cs="Arial"/>
                <w:sz w:val="20"/>
                <w:szCs w:val="20"/>
              </w:rPr>
            </w:pPr>
            <w:r w:rsidRPr="002E3CDE">
              <w:rPr>
                <w:rFonts w:ascii="Arial Narrow" w:hAnsi="Arial Narrow" w:cs="Calibri"/>
                <w:color w:val="000000"/>
                <w:sz w:val="20"/>
                <w:szCs w:val="20"/>
              </w:rPr>
              <w:t>1050</w:t>
            </w:r>
          </w:p>
        </w:tc>
        <w:tc>
          <w:tcPr>
            <w:tcW w:w="2034" w:type="dxa"/>
            <w:shd w:val="clear" w:color="auto" w:fill="auto"/>
            <w:vAlign w:val="bottom"/>
          </w:tcPr>
          <w:p w14:paraId="2D905937" w14:textId="52E0C706" w:rsidR="002E3CDE" w:rsidRPr="002E3CDE" w:rsidRDefault="002E3CDE" w:rsidP="002E3CDE">
            <w:pPr>
              <w:autoSpaceDE w:val="0"/>
              <w:autoSpaceDN w:val="0"/>
              <w:adjustRightInd w:val="0"/>
              <w:jc w:val="center"/>
              <w:rPr>
                <w:rFonts w:ascii="Arial Narrow" w:hAnsi="Arial Narrow" w:cs="Arial"/>
                <w:sz w:val="20"/>
                <w:szCs w:val="20"/>
              </w:rPr>
            </w:pPr>
            <w:r w:rsidRPr="002E3CDE">
              <w:rPr>
                <w:rFonts w:ascii="Arial Narrow" w:hAnsi="Arial Narrow" w:cs="Calibri"/>
                <w:color w:val="000000"/>
                <w:sz w:val="20"/>
                <w:szCs w:val="20"/>
              </w:rPr>
              <w:t>904</w:t>
            </w:r>
          </w:p>
        </w:tc>
      </w:tr>
      <w:tr w:rsidR="002E3CDE" w:rsidRPr="002E3CDE" w14:paraId="27075868" w14:textId="77777777" w:rsidTr="00C72584">
        <w:trPr>
          <w:trHeight w:val="290"/>
        </w:trPr>
        <w:tc>
          <w:tcPr>
            <w:tcW w:w="1763" w:type="dxa"/>
            <w:vAlign w:val="bottom"/>
          </w:tcPr>
          <w:p w14:paraId="4D9BF2E4" w14:textId="31E88260" w:rsidR="002E3CDE" w:rsidRPr="002E3CDE" w:rsidRDefault="002E3CDE" w:rsidP="002E3CDE">
            <w:pPr>
              <w:autoSpaceDE w:val="0"/>
              <w:autoSpaceDN w:val="0"/>
              <w:adjustRightInd w:val="0"/>
              <w:jc w:val="center"/>
              <w:rPr>
                <w:rFonts w:ascii="Arial Narrow" w:hAnsi="Arial Narrow" w:cs="Arial"/>
                <w:sz w:val="20"/>
                <w:szCs w:val="20"/>
              </w:rPr>
            </w:pPr>
            <w:r w:rsidRPr="002E3CDE">
              <w:rPr>
                <w:rFonts w:ascii="Arial Narrow" w:hAnsi="Arial Narrow" w:cs="Calibri"/>
                <w:color w:val="000000"/>
                <w:sz w:val="20"/>
                <w:szCs w:val="20"/>
              </w:rPr>
              <w:t>Benzo(a)pyrene</w:t>
            </w:r>
          </w:p>
        </w:tc>
        <w:tc>
          <w:tcPr>
            <w:tcW w:w="1763" w:type="dxa"/>
            <w:vAlign w:val="bottom"/>
          </w:tcPr>
          <w:p w14:paraId="72C203A5" w14:textId="55465319" w:rsidR="002E3CDE" w:rsidRPr="002E3CDE" w:rsidRDefault="002E3CDE" w:rsidP="002E3CDE">
            <w:pPr>
              <w:autoSpaceDE w:val="0"/>
              <w:autoSpaceDN w:val="0"/>
              <w:adjustRightInd w:val="0"/>
              <w:jc w:val="center"/>
              <w:rPr>
                <w:rFonts w:ascii="Arial Narrow" w:hAnsi="Arial Narrow" w:cs="Arial"/>
                <w:sz w:val="20"/>
                <w:szCs w:val="20"/>
              </w:rPr>
            </w:pPr>
            <w:r w:rsidRPr="002E3CDE">
              <w:rPr>
                <w:rFonts w:ascii="Arial Narrow" w:hAnsi="Arial Narrow" w:cs="Calibri"/>
                <w:color w:val="000000"/>
                <w:sz w:val="20"/>
                <w:szCs w:val="20"/>
              </w:rPr>
              <w:t>150</w:t>
            </w:r>
          </w:p>
        </w:tc>
        <w:tc>
          <w:tcPr>
            <w:tcW w:w="1763" w:type="dxa"/>
            <w:vAlign w:val="bottom"/>
          </w:tcPr>
          <w:p w14:paraId="1812C396" w14:textId="35F7735E" w:rsidR="002E3CDE" w:rsidRPr="002E3CDE" w:rsidRDefault="002E3CDE" w:rsidP="002E3CDE">
            <w:pPr>
              <w:autoSpaceDE w:val="0"/>
              <w:autoSpaceDN w:val="0"/>
              <w:adjustRightInd w:val="0"/>
              <w:jc w:val="center"/>
              <w:rPr>
                <w:rFonts w:ascii="Arial Narrow" w:hAnsi="Arial Narrow" w:cs="Arial"/>
                <w:sz w:val="20"/>
                <w:szCs w:val="20"/>
              </w:rPr>
            </w:pPr>
            <w:r w:rsidRPr="002E3CDE">
              <w:rPr>
                <w:rFonts w:ascii="Arial Narrow" w:hAnsi="Arial Narrow" w:cs="Calibri"/>
                <w:color w:val="000000"/>
                <w:sz w:val="20"/>
                <w:szCs w:val="20"/>
              </w:rPr>
              <w:t>1450</w:t>
            </w:r>
          </w:p>
        </w:tc>
        <w:tc>
          <w:tcPr>
            <w:tcW w:w="2034" w:type="dxa"/>
            <w:shd w:val="clear" w:color="auto" w:fill="auto"/>
            <w:vAlign w:val="bottom"/>
          </w:tcPr>
          <w:p w14:paraId="6CDAF574" w14:textId="7B3AEAB9" w:rsidR="002E3CDE" w:rsidRPr="002E3CDE" w:rsidRDefault="002E3CDE" w:rsidP="002E3CDE">
            <w:pPr>
              <w:autoSpaceDE w:val="0"/>
              <w:autoSpaceDN w:val="0"/>
              <w:adjustRightInd w:val="0"/>
              <w:jc w:val="center"/>
              <w:rPr>
                <w:rFonts w:ascii="Arial Narrow" w:hAnsi="Arial Narrow" w:cs="Arial"/>
                <w:sz w:val="20"/>
                <w:szCs w:val="20"/>
              </w:rPr>
            </w:pPr>
            <w:r w:rsidRPr="002E3CDE">
              <w:rPr>
                <w:rFonts w:ascii="Arial Narrow" w:hAnsi="Arial Narrow" w:cs="Calibri"/>
                <w:color w:val="000000"/>
                <w:sz w:val="20"/>
                <w:szCs w:val="20"/>
              </w:rPr>
              <w:t>877</w:t>
            </w:r>
          </w:p>
        </w:tc>
      </w:tr>
      <w:tr w:rsidR="002E3CDE" w:rsidRPr="002E3CDE" w14:paraId="4F91A7F0" w14:textId="77777777" w:rsidTr="00C72584">
        <w:trPr>
          <w:trHeight w:val="290"/>
        </w:trPr>
        <w:tc>
          <w:tcPr>
            <w:tcW w:w="1763" w:type="dxa"/>
            <w:vAlign w:val="bottom"/>
          </w:tcPr>
          <w:p w14:paraId="5FD74B98" w14:textId="50D68BDF" w:rsidR="002E3CDE" w:rsidRPr="002E3CDE" w:rsidRDefault="002E3CDE" w:rsidP="002E3CDE">
            <w:pPr>
              <w:autoSpaceDE w:val="0"/>
              <w:autoSpaceDN w:val="0"/>
              <w:adjustRightInd w:val="0"/>
              <w:jc w:val="center"/>
              <w:rPr>
                <w:rFonts w:ascii="Arial Narrow" w:hAnsi="Arial Narrow" w:cs="Arial"/>
                <w:sz w:val="20"/>
                <w:szCs w:val="20"/>
              </w:rPr>
            </w:pPr>
            <w:r w:rsidRPr="002E3CDE">
              <w:rPr>
                <w:rFonts w:ascii="Arial Narrow" w:hAnsi="Arial Narrow" w:cs="Calibri"/>
                <w:color w:val="000000"/>
                <w:sz w:val="20"/>
                <w:szCs w:val="20"/>
              </w:rPr>
              <w:t>Chrysene</w:t>
            </w:r>
          </w:p>
        </w:tc>
        <w:tc>
          <w:tcPr>
            <w:tcW w:w="1763" w:type="dxa"/>
            <w:vAlign w:val="bottom"/>
          </w:tcPr>
          <w:p w14:paraId="617C00CD" w14:textId="6E9BAC08" w:rsidR="002E3CDE" w:rsidRPr="002E3CDE" w:rsidRDefault="002E3CDE" w:rsidP="002E3CDE">
            <w:pPr>
              <w:autoSpaceDE w:val="0"/>
              <w:autoSpaceDN w:val="0"/>
              <w:adjustRightInd w:val="0"/>
              <w:jc w:val="center"/>
              <w:rPr>
                <w:rFonts w:ascii="Arial Narrow" w:hAnsi="Arial Narrow" w:cs="Arial"/>
                <w:sz w:val="20"/>
                <w:szCs w:val="20"/>
              </w:rPr>
            </w:pPr>
            <w:r w:rsidRPr="002E3CDE">
              <w:rPr>
                <w:rFonts w:ascii="Arial Narrow" w:hAnsi="Arial Narrow" w:cs="Calibri"/>
                <w:color w:val="000000"/>
                <w:sz w:val="20"/>
                <w:szCs w:val="20"/>
              </w:rPr>
              <w:t>166</w:t>
            </w:r>
          </w:p>
        </w:tc>
        <w:tc>
          <w:tcPr>
            <w:tcW w:w="1763" w:type="dxa"/>
            <w:vAlign w:val="bottom"/>
          </w:tcPr>
          <w:p w14:paraId="6D37989A" w14:textId="2471DD63" w:rsidR="002E3CDE" w:rsidRPr="002E3CDE" w:rsidRDefault="002E3CDE" w:rsidP="002E3CDE">
            <w:pPr>
              <w:autoSpaceDE w:val="0"/>
              <w:autoSpaceDN w:val="0"/>
              <w:adjustRightInd w:val="0"/>
              <w:jc w:val="center"/>
              <w:rPr>
                <w:rFonts w:ascii="Arial Narrow" w:hAnsi="Arial Narrow" w:cs="Arial"/>
                <w:sz w:val="20"/>
                <w:szCs w:val="20"/>
              </w:rPr>
            </w:pPr>
            <w:r w:rsidRPr="002E3CDE">
              <w:rPr>
                <w:rFonts w:ascii="Arial Narrow" w:hAnsi="Arial Narrow" w:cs="Calibri"/>
                <w:color w:val="000000"/>
                <w:sz w:val="20"/>
                <w:szCs w:val="20"/>
              </w:rPr>
              <w:t>1290</w:t>
            </w:r>
          </w:p>
        </w:tc>
        <w:tc>
          <w:tcPr>
            <w:tcW w:w="2034" w:type="dxa"/>
            <w:shd w:val="clear" w:color="auto" w:fill="auto"/>
            <w:vAlign w:val="bottom"/>
          </w:tcPr>
          <w:p w14:paraId="06463CA8" w14:textId="5833D5FB" w:rsidR="002E3CDE" w:rsidRPr="002E3CDE" w:rsidRDefault="002E3CDE" w:rsidP="002E3CDE">
            <w:pPr>
              <w:autoSpaceDE w:val="0"/>
              <w:autoSpaceDN w:val="0"/>
              <w:adjustRightInd w:val="0"/>
              <w:jc w:val="center"/>
              <w:rPr>
                <w:rFonts w:ascii="Arial Narrow" w:hAnsi="Arial Narrow" w:cs="Arial"/>
                <w:sz w:val="20"/>
                <w:szCs w:val="20"/>
              </w:rPr>
            </w:pPr>
            <w:r w:rsidRPr="002E3CDE">
              <w:rPr>
                <w:rFonts w:ascii="Arial Narrow" w:hAnsi="Arial Narrow" w:cs="Calibri"/>
                <w:color w:val="000000"/>
                <w:sz w:val="20"/>
                <w:szCs w:val="20"/>
              </w:rPr>
              <w:t>931</w:t>
            </w:r>
          </w:p>
        </w:tc>
      </w:tr>
      <w:tr w:rsidR="002E3CDE" w:rsidRPr="002E3CDE" w14:paraId="30CEB785" w14:textId="77777777" w:rsidTr="00C72584">
        <w:trPr>
          <w:trHeight w:val="290"/>
        </w:trPr>
        <w:tc>
          <w:tcPr>
            <w:tcW w:w="1763" w:type="dxa"/>
            <w:vAlign w:val="bottom"/>
          </w:tcPr>
          <w:p w14:paraId="21E470CA" w14:textId="1E2046E7" w:rsidR="002E3CDE" w:rsidRPr="002E3CDE" w:rsidRDefault="002E3CDE" w:rsidP="002E3CDE">
            <w:pPr>
              <w:autoSpaceDE w:val="0"/>
              <w:autoSpaceDN w:val="0"/>
              <w:adjustRightInd w:val="0"/>
              <w:jc w:val="center"/>
              <w:rPr>
                <w:rFonts w:ascii="Arial Narrow" w:hAnsi="Arial Narrow" w:cs="Arial"/>
                <w:sz w:val="20"/>
                <w:szCs w:val="20"/>
              </w:rPr>
            </w:pPr>
            <w:r w:rsidRPr="002E3CDE">
              <w:rPr>
                <w:rFonts w:ascii="Arial Narrow" w:hAnsi="Arial Narrow" w:cs="Calibri"/>
                <w:color w:val="000000"/>
                <w:sz w:val="20"/>
                <w:szCs w:val="20"/>
              </w:rPr>
              <w:t>Fluoranthene</w:t>
            </w:r>
          </w:p>
        </w:tc>
        <w:tc>
          <w:tcPr>
            <w:tcW w:w="1763" w:type="dxa"/>
            <w:vAlign w:val="bottom"/>
          </w:tcPr>
          <w:p w14:paraId="53C7BD9D" w14:textId="37AD67F9" w:rsidR="002E3CDE" w:rsidRPr="002E3CDE" w:rsidRDefault="002E3CDE" w:rsidP="002E3CDE">
            <w:pPr>
              <w:autoSpaceDE w:val="0"/>
              <w:autoSpaceDN w:val="0"/>
              <w:adjustRightInd w:val="0"/>
              <w:jc w:val="center"/>
              <w:rPr>
                <w:rFonts w:ascii="Arial Narrow" w:hAnsi="Arial Narrow" w:cs="Arial"/>
                <w:sz w:val="20"/>
                <w:szCs w:val="20"/>
              </w:rPr>
            </w:pPr>
            <w:r w:rsidRPr="002E3CDE">
              <w:rPr>
                <w:rFonts w:ascii="Arial Narrow" w:hAnsi="Arial Narrow" w:cs="Calibri"/>
                <w:color w:val="000000"/>
                <w:sz w:val="20"/>
                <w:szCs w:val="20"/>
              </w:rPr>
              <w:t>423</w:t>
            </w:r>
          </w:p>
        </w:tc>
        <w:tc>
          <w:tcPr>
            <w:tcW w:w="1763" w:type="dxa"/>
            <w:vAlign w:val="bottom"/>
          </w:tcPr>
          <w:p w14:paraId="30C20DC6" w14:textId="04EC28B5" w:rsidR="002E3CDE" w:rsidRPr="002E3CDE" w:rsidRDefault="002E3CDE" w:rsidP="002E3CDE">
            <w:pPr>
              <w:autoSpaceDE w:val="0"/>
              <w:autoSpaceDN w:val="0"/>
              <w:adjustRightInd w:val="0"/>
              <w:jc w:val="center"/>
              <w:rPr>
                <w:rFonts w:ascii="Arial Narrow" w:hAnsi="Arial Narrow" w:cs="Arial"/>
                <w:sz w:val="20"/>
                <w:szCs w:val="20"/>
              </w:rPr>
            </w:pPr>
            <w:r w:rsidRPr="002E3CDE">
              <w:rPr>
                <w:rFonts w:ascii="Arial Narrow" w:hAnsi="Arial Narrow" w:cs="Calibri"/>
                <w:color w:val="000000"/>
                <w:sz w:val="20"/>
                <w:szCs w:val="20"/>
              </w:rPr>
              <w:t>2230</w:t>
            </w:r>
          </w:p>
        </w:tc>
        <w:tc>
          <w:tcPr>
            <w:tcW w:w="2034" w:type="dxa"/>
            <w:shd w:val="clear" w:color="auto" w:fill="auto"/>
            <w:vAlign w:val="bottom"/>
          </w:tcPr>
          <w:p w14:paraId="03E63011" w14:textId="6A0E8F34" w:rsidR="002E3CDE" w:rsidRPr="002E3CDE" w:rsidRDefault="002E3CDE" w:rsidP="002E3CDE">
            <w:pPr>
              <w:autoSpaceDE w:val="0"/>
              <w:autoSpaceDN w:val="0"/>
              <w:adjustRightInd w:val="0"/>
              <w:jc w:val="center"/>
              <w:rPr>
                <w:rFonts w:ascii="Arial Narrow" w:hAnsi="Arial Narrow" w:cs="Arial"/>
                <w:sz w:val="20"/>
                <w:szCs w:val="20"/>
              </w:rPr>
            </w:pPr>
            <w:r w:rsidRPr="002E3CDE">
              <w:rPr>
                <w:rFonts w:ascii="Arial Narrow" w:hAnsi="Arial Narrow" w:cs="Calibri"/>
                <w:color w:val="000000"/>
                <w:sz w:val="20"/>
                <w:szCs w:val="20"/>
              </w:rPr>
              <w:t>27</w:t>
            </w:r>
          </w:p>
        </w:tc>
      </w:tr>
      <w:tr w:rsidR="002E3CDE" w:rsidRPr="002E3CDE" w14:paraId="584F8362" w14:textId="77777777" w:rsidTr="00C72584">
        <w:trPr>
          <w:trHeight w:val="290"/>
        </w:trPr>
        <w:tc>
          <w:tcPr>
            <w:tcW w:w="1763" w:type="dxa"/>
            <w:vAlign w:val="bottom"/>
          </w:tcPr>
          <w:p w14:paraId="56FD1067" w14:textId="72E25010" w:rsidR="002E3CDE" w:rsidRPr="002E3CDE" w:rsidRDefault="002E3CDE" w:rsidP="002E3CDE">
            <w:pPr>
              <w:autoSpaceDE w:val="0"/>
              <w:autoSpaceDN w:val="0"/>
              <w:adjustRightInd w:val="0"/>
              <w:jc w:val="center"/>
              <w:rPr>
                <w:rFonts w:ascii="Arial Narrow" w:hAnsi="Arial Narrow" w:cs="Arial"/>
                <w:sz w:val="20"/>
                <w:szCs w:val="20"/>
              </w:rPr>
            </w:pPr>
            <w:r w:rsidRPr="002E3CDE">
              <w:rPr>
                <w:rFonts w:ascii="Arial Narrow" w:hAnsi="Arial Narrow" w:cs="Calibri"/>
                <w:color w:val="000000"/>
                <w:sz w:val="20"/>
                <w:szCs w:val="20"/>
              </w:rPr>
              <w:t>Fluorene</w:t>
            </w:r>
          </w:p>
        </w:tc>
        <w:tc>
          <w:tcPr>
            <w:tcW w:w="1763" w:type="dxa"/>
            <w:vAlign w:val="bottom"/>
          </w:tcPr>
          <w:p w14:paraId="456B10F1" w14:textId="6F266B5F" w:rsidR="002E3CDE" w:rsidRPr="002E3CDE" w:rsidRDefault="002E3CDE" w:rsidP="002E3CDE">
            <w:pPr>
              <w:autoSpaceDE w:val="0"/>
              <w:autoSpaceDN w:val="0"/>
              <w:adjustRightInd w:val="0"/>
              <w:jc w:val="center"/>
              <w:rPr>
                <w:rFonts w:ascii="Arial Narrow" w:hAnsi="Arial Narrow" w:cs="Arial"/>
                <w:sz w:val="20"/>
                <w:szCs w:val="20"/>
              </w:rPr>
            </w:pPr>
            <w:r w:rsidRPr="002E3CDE">
              <w:rPr>
                <w:rFonts w:ascii="Arial Narrow" w:hAnsi="Arial Narrow" w:cs="Calibri"/>
                <w:color w:val="000000"/>
                <w:sz w:val="20"/>
                <w:szCs w:val="20"/>
              </w:rPr>
              <w:t>77.4</w:t>
            </w:r>
          </w:p>
        </w:tc>
        <w:tc>
          <w:tcPr>
            <w:tcW w:w="1763" w:type="dxa"/>
            <w:vAlign w:val="bottom"/>
          </w:tcPr>
          <w:p w14:paraId="3775B901" w14:textId="2FF21B91" w:rsidR="002E3CDE" w:rsidRPr="002E3CDE" w:rsidRDefault="002E3CDE" w:rsidP="002E3CDE">
            <w:pPr>
              <w:autoSpaceDE w:val="0"/>
              <w:autoSpaceDN w:val="0"/>
              <w:adjustRightInd w:val="0"/>
              <w:jc w:val="center"/>
              <w:rPr>
                <w:rFonts w:ascii="Arial Narrow" w:hAnsi="Arial Narrow" w:cs="Arial"/>
                <w:sz w:val="20"/>
                <w:szCs w:val="20"/>
              </w:rPr>
            </w:pPr>
            <w:r w:rsidRPr="002E3CDE">
              <w:rPr>
                <w:rFonts w:ascii="Arial Narrow" w:hAnsi="Arial Narrow" w:cs="Calibri"/>
                <w:color w:val="000000"/>
                <w:sz w:val="20"/>
                <w:szCs w:val="20"/>
              </w:rPr>
              <w:t>536</w:t>
            </w:r>
          </w:p>
        </w:tc>
        <w:tc>
          <w:tcPr>
            <w:tcW w:w="2034" w:type="dxa"/>
            <w:shd w:val="clear" w:color="auto" w:fill="auto"/>
            <w:vAlign w:val="bottom"/>
          </w:tcPr>
          <w:p w14:paraId="3A4731D5" w14:textId="3A99B4BB" w:rsidR="002E3CDE" w:rsidRPr="002E3CDE" w:rsidRDefault="002E3CDE" w:rsidP="002E3CDE">
            <w:pPr>
              <w:autoSpaceDE w:val="0"/>
              <w:autoSpaceDN w:val="0"/>
              <w:adjustRightInd w:val="0"/>
              <w:jc w:val="center"/>
              <w:rPr>
                <w:rFonts w:ascii="Arial Narrow" w:hAnsi="Arial Narrow" w:cs="Calibri"/>
                <w:color w:val="000000"/>
                <w:sz w:val="20"/>
                <w:szCs w:val="20"/>
              </w:rPr>
            </w:pPr>
            <w:r w:rsidRPr="002E3CDE">
              <w:rPr>
                <w:rFonts w:ascii="Arial Narrow" w:hAnsi="Arial Narrow" w:cs="Calibri"/>
                <w:color w:val="000000"/>
                <w:sz w:val="20"/>
                <w:szCs w:val="20"/>
              </w:rPr>
              <w:t>54</w:t>
            </w:r>
          </w:p>
        </w:tc>
      </w:tr>
      <w:tr w:rsidR="002E3CDE" w:rsidRPr="002E3CDE" w14:paraId="20FD2D57" w14:textId="77777777" w:rsidTr="00C72584">
        <w:trPr>
          <w:trHeight w:val="290"/>
        </w:trPr>
        <w:tc>
          <w:tcPr>
            <w:tcW w:w="1763" w:type="dxa"/>
            <w:vAlign w:val="bottom"/>
          </w:tcPr>
          <w:p w14:paraId="622FFFBB" w14:textId="76184D7C" w:rsidR="002E3CDE" w:rsidRPr="002E3CDE" w:rsidRDefault="002E3CDE" w:rsidP="002E3CDE">
            <w:pPr>
              <w:autoSpaceDE w:val="0"/>
              <w:autoSpaceDN w:val="0"/>
              <w:adjustRightInd w:val="0"/>
              <w:jc w:val="center"/>
              <w:rPr>
                <w:rFonts w:ascii="Arial Narrow" w:hAnsi="Arial Narrow" w:cs="Arial"/>
                <w:sz w:val="20"/>
                <w:szCs w:val="20"/>
              </w:rPr>
            </w:pPr>
            <w:r w:rsidRPr="002E3CDE">
              <w:rPr>
                <w:rFonts w:ascii="Arial Narrow" w:hAnsi="Arial Narrow" w:cs="Calibri"/>
                <w:color w:val="000000"/>
                <w:sz w:val="20"/>
                <w:szCs w:val="20"/>
              </w:rPr>
              <w:t>Naphthalene</w:t>
            </w:r>
          </w:p>
        </w:tc>
        <w:tc>
          <w:tcPr>
            <w:tcW w:w="1763" w:type="dxa"/>
            <w:vAlign w:val="bottom"/>
          </w:tcPr>
          <w:p w14:paraId="66728A1D" w14:textId="1D6176A6" w:rsidR="002E3CDE" w:rsidRPr="002E3CDE" w:rsidRDefault="002E3CDE" w:rsidP="002E3CDE">
            <w:pPr>
              <w:autoSpaceDE w:val="0"/>
              <w:autoSpaceDN w:val="0"/>
              <w:adjustRightInd w:val="0"/>
              <w:jc w:val="center"/>
              <w:rPr>
                <w:rFonts w:ascii="Arial Narrow" w:hAnsi="Arial Narrow" w:cs="Arial"/>
                <w:sz w:val="20"/>
                <w:szCs w:val="20"/>
              </w:rPr>
            </w:pPr>
            <w:r w:rsidRPr="002E3CDE">
              <w:rPr>
                <w:rFonts w:ascii="Arial Narrow" w:hAnsi="Arial Narrow" w:cs="Calibri"/>
                <w:color w:val="000000"/>
                <w:sz w:val="20"/>
                <w:szCs w:val="20"/>
              </w:rPr>
              <w:t>176</w:t>
            </w:r>
          </w:p>
        </w:tc>
        <w:tc>
          <w:tcPr>
            <w:tcW w:w="1763" w:type="dxa"/>
            <w:vAlign w:val="bottom"/>
          </w:tcPr>
          <w:p w14:paraId="53296AED" w14:textId="3F1187A9" w:rsidR="002E3CDE" w:rsidRPr="002E3CDE" w:rsidRDefault="002E3CDE" w:rsidP="002E3CDE">
            <w:pPr>
              <w:autoSpaceDE w:val="0"/>
              <w:autoSpaceDN w:val="0"/>
              <w:adjustRightInd w:val="0"/>
              <w:jc w:val="center"/>
              <w:rPr>
                <w:rFonts w:ascii="Arial Narrow" w:hAnsi="Arial Narrow" w:cs="Arial"/>
                <w:sz w:val="20"/>
                <w:szCs w:val="20"/>
              </w:rPr>
            </w:pPr>
            <w:r w:rsidRPr="002E3CDE">
              <w:rPr>
                <w:rFonts w:ascii="Arial Narrow" w:hAnsi="Arial Narrow" w:cs="Calibri"/>
                <w:color w:val="000000"/>
                <w:sz w:val="20"/>
                <w:szCs w:val="20"/>
              </w:rPr>
              <w:t>561</w:t>
            </w:r>
          </w:p>
        </w:tc>
        <w:tc>
          <w:tcPr>
            <w:tcW w:w="2034" w:type="dxa"/>
            <w:shd w:val="clear" w:color="auto" w:fill="auto"/>
            <w:vAlign w:val="bottom"/>
          </w:tcPr>
          <w:p w14:paraId="76F7F19E" w14:textId="492DDD6D" w:rsidR="002E3CDE" w:rsidRPr="002E3CDE" w:rsidRDefault="002E3CDE" w:rsidP="002E3CDE">
            <w:pPr>
              <w:autoSpaceDE w:val="0"/>
              <w:autoSpaceDN w:val="0"/>
              <w:adjustRightInd w:val="0"/>
              <w:jc w:val="center"/>
              <w:rPr>
                <w:rFonts w:ascii="Arial Narrow" w:hAnsi="Arial Narrow" w:cs="Calibri"/>
                <w:color w:val="000000"/>
                <w:sz w:val="20"/>
                <w:szCs w:val="20"/>
              </w:rPr>
            </w:pPr>
            <w:r w:rsidRPr="002E3CDE">
              <w:rPr>
                <w:rFonts w:ascii="Arial Narrow" w:hAnsi="Arial Narrow" w:cs="Calibri"/>
                <w:color w:val="000000"/>
                <w:sz w:val="20"/>
                <w:szCs w:val="20"/>
              </w:rPr>
              <w:t>&lt;72</w:t>
            </w:r>
          </w:p>
        </w:tc>
      </w:tr>
      <w:tr w:rsidR="002E3CDE" w:rsidRPr="002E3CDE" w14:paraId="4FBB1D85" w14:textId="77777777" w:rsidTr="00C72584">
        <w:trPr>
          <w:trHeight w:val="290"/>
        </w:trPr>
        <w:tc>
          <w:tcPr>
            <w:tcW w:w="1763" w:type="dxa"/>
            <w:vAlign w:val="bottom"/>
          </w:tcPr>
          <w:p w14:paraId="4C0DB9DF" w14:textId="1E8E3191" w:rsidR="002E3CDE" w:rsidRPr="002E3CDE" w:rsidRDefault="002E3CDE" w:rsidP="002E3CDE">
            <w:pPr>
              <w:autoSpaceDE w:val="0"/>
              <w:autoSpaceDN w:val="0"/>
              <w:adjustRightInd w:val="0"/>
              <w:jc w:val="center"/>
              <w:rPr>
                <w:rFonts w:ascii="Arial Narrow" w:hAnsi="Arial Narrow" w:cs="Arial"/>
                <w:sz w:val="20"/>
                <w:szCs w:val="20"/>
              </w:rPr>
            </w:pPr>
            <w:r w:rsidRPr="002E3CDE">
              <w:rPr>
                <w:rFonts w:ascii="Arial Narrow" w:hAnsi="Arial Narrow" w:cs="Calibri"/>
                <w:color w:val="000000"/>
                <w:sz w:val="20"/>
                <w:szCs w:val="20"/>
              </w:rPr>
              <w:t>Phenanthrene</w:t>
            </w:r>
          </w:p>
        </w:tc>
        <w:tc>
          <w:tcPr>
            <w:tcW w:w="1763" w:type="dxa"/>
            <w:vAlign w:val="bottom"/>
          </w:tcPr>
          <w:p w14:paraId="45A08BD5" w14:textId="501052FA" w:rsidR="002E3CDE" w:rsidRPr="002E3CDE" w:rsidRDefault="002E3CDE" w:rsidP="002E3CDE">
            <w:pPr>
              <w:autoSpaceDE w:val="0"/>
              <w:autoSpaceDN w:val="0"/>
              <w:adjustRightInd w:val="0"/>
              <w:jc w:val="center"/>
              <w:rPr>
                <w:rFonts w:ascii="Arial Narrow" w:hAnsi="Arial Narrow" w:cs="Arial"/>
                <w:sz w:val="20"/>
                <w:szCs w:val="20"/>
              </w:rPr>
            </w:pPr>
            <w:r w:rsidRPr="002E3CDE">
              <w:rPr>
                <w:rFonts w:ascii="Arial Narrow" w:hAnsi="Arial Narrow" w:cs="Calibri"/>
                <w:color w:val="000000"/>
                <w:sz w:val="20"/>
                <w:szCs w:val="20"/>
              </w:rPr>
              <w:t>204</w:t>
            </w:r>
          </w:p>
        </w:tc>
        <w:tc>
          <w:tcPr>
            <w:tcW w:w="1763" w:type="dxa"/>
            <w:vAlign w:val="bottom"/>
          </w:tcPr>
          <w:p w14:paraId="3B2152D4" w14:textId="1D4C2FB7" w:rsidR="002E3CDE" w:rsidRPr="002E3CDE" w:rsidRDefault="002E3CDE" w:rsidP="002E3CDE">
            <w:pPr>
              <w:autoSpaceDE w:val="0"/>
              <w:autoSpaceDN w:val="0"/>
              <w:adjustRightInd w:val="0"/>
              <w:jc w:val="center"/>
              <w:rPr>
                <w:rFonts w:ascii="Arial Narrow" w:hAnsi="Arial Narrow" w:cs="Arial"/>
                <w:sz w:val="20"/>
                <w:szCs w:val="20"/>
              </w:rPr>
            </w:pPr>
            <w:r w:rsidRPr="002E3CDE">
              <w:rPr>
                <w:rFonts w:ascii="Arial Narrow" w:hAnsi="Arial Narrow" w:cs="Calibri"/>
                <w:color w:val="000000"/>
                <w:sz w:val="20"/>
                <w:szCs w:val="20"/>
              </w:rPr>
              <w:t>1170</w:t>
            </w:r>
          </w:p>
        </w:tc>
        <w:tc>
          <w:tcPr>
            <w:tcW w:w="2034" w:type="dxa"/>
            <w:shd w:val="clear" w:color="auto" w:fill="auto"/>
            <w:vAlign w:val="bottom"/>
          </w:tcPr>
          <w:p w14:paraId="087370CD" w14:textId="70E22D2F" w:rsidR="002E3CDE" w:rsidRPr="002E3CDE" w:rsidRDefault="002E3CDE" w:rsidP="002E3CDE">
            <w:pPr>
              <w:autoSpaceDE w:val="0"/>
              <w:autoSpaceDN w:val="0"/>
              <w:adjustRightInd w:val="0"/>
              <w:jc w:val="center"/>
              <w:rPr>
                <w:rFonts w:ascii="Arial Narrow" w:hAnsi="Arial Narrow" w:cs="Calibri"/>
                <w:color w:val="000000"/>
                <w:sz w:val="20"/>
                <w:szCs w:val="20"/>
              </w:rPr>
            </w:pPr>
            <w:r w:rsidRPr="002E3CDE">
              <w:rPr>
                <w:rFonts w:ascii="Arial Narrow" w:hAnsi="Arial Narrow" w:cs="Calibri"/>
                <w:color w:val="000000"/>
                <w:sz w:val="20"/>
                <w:szCs w:val="20"/>
              </w:rPr>
              <w:t>1039</w:t>
            </w:r>
          </w:p>
        </w:tc>
      </w:tr>
      <w:tr w:rsidR="002E3CDE" w:rsidRPr="002E3CDE" w14:paraId="6ACC084F" w14:textId="77777777" w:rsidTr="00C72584">
        <w:trPr>
          <w:trHeight w:val="290"/>
        </w:trPr>
        <w:tc>
          <w:tcPr>
            <w:tcW w:w="1763" w:type="dxa"/>
            <w:vAlign w:val="bottom"/>
          </w:tcPr>
          <w:p w14:paraId="38A8C601" w14:textId="0ECF52BB" w:rsidR="002E3CDE" w:rsidRPr="002E3CDE" w:rsidRDefault="002E3CDE" w:rsidP="002E3CDE">
            <w:pPr>
              <w:autoSpaceDE w:val="0"/>
              <w:autoSpaceDN w:val="0"/>
              <w:adjustRightInd w:val="0"/>
              <w:jc w:val="center"/>
              <w:rPr>
                <w:rFonts w:ascii="Arial Narrow" w:hAnsi="Arial Narrow" w:cs="Arial"/>
                <w:sz w:val="20"/>
                <w:szCs w:val="20"/>
              </w:rPr>
            </w:pPr>
            <w:r w:rsidRPr="002E3CDE">
              <w:rPr>
                <w:rFonts w:ascii="Arial Narrow" w:hAnsi="Arial Narrow" w:cs="Calibri"/>
                <w:color w:val="000000"/>
                <w:sz w:val="20"/>
                <w:szCs w:val="20"/>
              </w:rPr>
              <w:t>Pyrene</w:t>
            </w:r>
          </w:p>
        </w:tc>
        <w:tc>
          <w:tcPr>
            <w:tcW w:w="1763" w:type="dxa"/>
            <w:vAlign w:val="bottom"/>
          </w:tcPr>
          <w:p w14:paraId="3DC0F638" w14:textId="42A57BD7" w:rsidR="002E3CDE" w:rsidRPr="002E3CDE" w:rsidRDefault="002E3CDE" w:rsidP="002E3CDE">
            <w:pPr>
              <w:autoSpaceDE w:val="0"/>
              <w:autoSpaceDN w:val="0"/>
              <w:adjustRightInd w:val="0"/>
              <w:jc w:val="center"/>
              <w:rPr>
                <w:rFonts w:ascii="Arial Narrow" w:hAnsi="Arial Narrow" w:cs="Arial"/>
                <w:sz w:val="20"/>
                <w:szCs w:val="20"/>
              </w:rPr>
            </w:pPr>
            <w:r w:rsidRPr="002E3CDE">
              <w:rPr>
                <w:rFonts w:ascii="Arial Narrow" w:hAnsi="Arial Narrow" w:cs="Calibri"/>
                <w:color w:val="000000"/>
                <w:sz w:val="20"/>
                <w:szCs w:val="20"/>
              </w:rPr>
              <w:t>195</w:t>
            </w:r>
          </w:p>
        </w:tc>
        <w:tc>
          <w:tcPr>
            <w:tcW w:w="1763" w:type="dxa"/>
            <w:vAlign w:val="bottom"/>
          </w:tcPr>
          <w:p w14:paraId="2EB2A4BA" w14:textId="618CD1E0" w:rsidR="002E3CDE" w:rsidRPr="002E3CDE" w:rsidRDefault="002E3CDE" w:rsidP="002E3CDE">
            <w:pPr>
              <w:autoSpaceDE w:val="0"/>
              <w:autoSpaceDN w:val="0"/>
              <w:adjustRightInd w:val="0"/>
              <w:jc w:val="center"/>
              <w:rPr>
                <w:rFonts w:ascii="Arial Narrow" w:hAnsi="Arial Narrow" w:cs="Arial"/>
                <w:sz w:val="20"/>
                <w:szCs w:val="20"/>
              </w:rPr>
            </w:pPr>
            <w:r w:rsidRPr="002E3CDE">
              <w:rPr>
                <w:rFonts w:ascii="Arial Narrow" w:hAnsi="Arial Narrow" w:cs="Calibri"/>
                <w:color w:val="000000"/>
                <w:sz w:val="20"/>
                <w:szCs w:val="20"/>
              </w:rPr>
              <w:t>1520</w:t>
            </w:r>
          </w:p>
        </w:tc>
        <w:tc>
          <w:tcPr>
            <w:tcW w:w="2034" w:type="dxa"/>
            <w:shd w:val="clear" w:color="auto" w:fill="auto"/>
            <w:vAlign w:val="bottom"/>
          </w:tcPr>
          <w:p w14:paraId="16663A01" w14:textId="19DE5468" w:rsidR="002E3CDE" w:rsidRPr="002E3CDE" w:rsidRDefault="002E3CDE" w:rsidP="002E3CDE">
            <w:pPr>
              <w:autoSpaceDE w:val="0"/>
              <w:autoSpaceDN w:val="0"/>
              <w:adjustRightInd w:val="0"/>
              <w:jc w:val="center"/>
              <w:rPr>
                <w:rFonts w:ascii="Arial Narrow" w:hAnsi="Arial Narrow" w:cs="Calibri"/>
                <w:color w:val="000000"/>
                <w:sz w:val="20"/>
                <w:szCs w:val="20"/>
              </w:rPr>
            </w:pPr>
            <w:r w:rsidRPr="002E3CDE">
              <w:rPr>
                <w:rFonts w:ascii="Arial Narrow" w:hAnsi="Arial Narrow" w:cs="Calibri"/>
                <w:color w:val="000000"/>
                <w:sz w:val="20"/>
                <w:szCs w:val="20"/>
              </w:rPr>
              <w:t>121</w:t>
            </w:r>
          </w:p>
        </w:tc>
      </w:tr>
      <w:tr w:rsidR="002E3CDE" w:rsidRPr="002E3CDE" w14:paraId="1A980329" w14:textId="77777777" w:rsidTr="00C72584">
        <w:trPr>
          <w:trHeight w:val="290"/>
        </w:trPr>
        <w:tc>
          <w:tcPr>
            <w:tcW w:w="1763" w:type="dxa"/>
            <w:vAlign w:val="bottom"/>
          </w:tcPr>
          <w:p w14:paraId="5EDD1FE6" w14:textId="725C785B" w:rsidR="002E3CDE" w:rsidRPr="002E3CDE" w:rsidRDefault="002E3CDE" w:rsidP="002E3CDE">
            <w:pPr>
              <w:autoSpaceDE w:val="0"/>
              <w:autoSpaceDN w:val="0"/>
              <w:adjustRightInd w:val="0"/>
              <w:jc w:val="center"/>
              <w:rPr>
                <w:rFonts w:ascii="Arial Narrow" w:hAnsi="Arial Narrow" w:cs="Arial"/>
                <w:sz w:val="20"/>
                <w:szCs w:val="20"/>
              </w:rPr>
            </w:pPr>
            <w:r w:rsidRPr="002E3CDE">
              <w:rPr>
                <w:rFonts w:ascii="Arial Narrow" w:hAnsi="Arial Narrow" w:cs="Calibri"/>
                <w:color w:val="000000"/>
                <w:sz w:val="20"/>
                <w:szCs w:val="20"/>
              </w:rPr>
              <w:t>Total PAHs</w:t>
            </w:r>
          </w:p>
        </w:tc>
        <w:tc>
          <w:tcPr>
            <w:tcW w:w="1763" w:type="dxa"/>
            <w:vAlign w:val="bottom"/>
          </w:tcPr>
          <w:p w14:paraId="641DA9AC" w14:textId="6082302B" w:rsidR="002E3CDE" w:rsidRPr="002E3CDE" w:rsidRDefault="002E3CDE" w:rsidP="002E3CDE">
            <w:pPr>
              <w:autoSpaceDE w:val="0"/>
              <w:autoSpaceDN w:val="0"/>
              <w:adjustRightInd w:val="0"/>
              <w:jc w:val="center"/>
              <w:rPr>
                <w:rFonts w:ascii="Arial Narrow" w:hAnsi="Arial Narrow" w:cs="Arial"/>
                <w:sz w:val="20"/>
                <w:szCs w:val="20"/>
              </w:rPr>
            </w:pPr>
            <w:r w:rsidRPr="002E3CDE">
              <w:rPr>
                <w:rFonts w:ascii="Arial Narrow" w:hAnsi="Arial Narrow" w:cs="Calibri"/>
                <w:color w:val="000000"/>
                <w:sz w:val="20"/>
                <w:szCs w:val="20"/>
              </w:rPr>
              <w:t>1610</w:t>
            </w:r>
          </w:p>
        </w:tc>
        <w:tc>
          <w:tcPr>
            <w:tcW w:w="1763" w:type="dxa"/>
            <w:vAlign w:val="bottom"/>
          </w:tcPr>
          <w:p w14:paraId="610313A2" w14:textId="7D7EDE39" w:rsidR="002E3CDE" w:rsidRPr="002E3CDE" w:rsidRDefault="002E3CDE" w:rsidP="002E3CDE">
            <w:pPr>
              <w:autoSpaceDE w:val="0"/>
              <w:autoSpaceDN w:val="0"/>
              <w:adjustRightInd w:val="0"/>
              <w:jc w:val="center"/>
              <w:rPr>
                <w:rFonts w:ascii="Arial Narrow" w:hAnsi="Arial Narrow" w:cs="Arial"/>
                <w:sz w:val="20"/>
                <w:szCs w:val="20"/>
              </w:rPr>
            </w:pPr>
            <w:r w:rsidRPr="002E3CDE">
              <w:rPr>
                <w:rFonts w:ascii="Arial Narrow" w:hAnsi="Arial Narrow" w:cs="Calibri"/>
                <w:color w:val="000000"/>
                <w:sz w:val="20"/>
                <w:szCs w:val="20"/>
              </w:rPr>
              <w:t>22800</w:t>
            </w:r>
          </w:p>
        </w:tc>
        <w:tc>
          <w:tcPr>
            <w:tcW w:w="2034" w:type="dxa"/>
            <w:shd w:val="clear" w:color="auto" w:fill="auto"/>
            <w:vAlign w:val="bottom"/>
          </w:tcPr>
          <w:p w14:paraId="4E151A1F" w14:textId="4AB6B93E" w:rsidR="002E3CDE" w:rsidRPr="002E3CDE" w:rsidRDefault="00250F26" w:rsidP="002E3CDE">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4097</w:t>
            </w:r>
          </w:p>
        </w:tc>
      </w:tr>
    </w:tbl>
    <w:p w14:paraId="60A20D93" w14:textId="77777777" w:rsidR="00C72584" w:rsidRPr="00867C44" w:rsidRDefault="00C72584" w:rsidP="00C72584">
      <w:pPr>
        <w:pStyle w:val="BlockText"/>
        <w:spacing w:before="0" w:after="0" w:line="240" w:lineRule="auto"/>
        <w:rPr>
          <w:rFonts w:ascii="Arial Narrow" w:hAnsi="Arial Narrow"/>
          <w:sz w:val="20"/>
          <w:szCs w:val="20"/>
        </w:rPr>
      </w:pPr>
      <w:r w:rsidRPr="00867C44">
        <w:rPr>
          <w:rFonts w:ascii="Arial Narrow" w:hAnsi="Arial Narrow"/>
          <w:sz w:val="20"/>
          <w:szCs w:val="20"/>
          <w:vertAlign w:val="superscript"/>
        </w:rPr>
        <w:t>1</w:t>
      </w:r>
      <w:r w:rsidRPr="00867C44">
        <w:rPr>
          <w:rFonts w:ascii="Arial Narrow" w:hAnsi="Arial Narrow"/>
          <w:sz w:val="20"/>
          <w:szCs w:val="20"/>
        </w:rPr>
        <w:t xml:space="preserve"> TEC is the consensus-based Threshold Effect Concentration from MacDonald </w:t>
      </w:r>
      <w:r w:rsidRPr="00867C44">
        <w:rPr>
          <w:rFonts w:ascii="Arial Narrow" w:hAnsi="Arial Narrow"/>
          <w:i/>
          <w:sz w:val="20"/>
          <w:szCs w:val="20"/>
        </w:rPr>
        <w:t>et al</w:t>
      </w:r>
      <w:r w:rsidRPr="00867C44">
        <w:rPr>
          <w:rFonts w:ascii="Arial Narrow" w:hAnsi="Arial Narrow"/>
          <w:sz w:val="20"/>
          <w:szCs w:val="20"/>
        </w:rPr>
        <w:t xml:space="preserve">., 2000. </w:t>
      </w:r>
    </w:p>
    <w:p w14:paraId="43EFBB6F" w14:textId="77777777" w:rsidR="00C72584" w:rsidRDefault="00C72584" w:rsidP="00C72584">
      <w:pPr>
        <w:pStyle w:val="BlockText"/>
        <w:spacing w:before="0" w:after="0" w:line="240" w:lineRule="auto"/>
        <w:rPr>
          <w:rFonts w:ascii="Arial Narrow" w:hAnsi="Arial Narrow"/>
          <w:sz w:val="20"/>
          <w:szCs w:val="20"/>
        </w:rPr>
      </w:pPr>
      <w:r w:rsidRPr="00867C44">
        <w:rPr>
          <w:rFonts w:ascii="Arial Narrow" w:hAnsi="Arial Narrow"/>
          <w:sz w:val="20"/>
          <w:szCs w:val="20"/>
          <w:vertAlign w:val="superscript"/>
        </w:rPr>
        <w:t>2</w:t>
      </w:r>
      <w:r w:rsidRPr="00867C44">
        <w:rPr>
          <w:rFonts w:ascii="Arial Narrow" w:hAnsi="Arial Narrow"/>
          <w:sz w:val="20"/>
          <w:szCs w:val="20"/>
        </w:rPr>
        <w:t xml:space="preserve"> </w:t>
      </w:r>
      <w:proofErr w:type="gramStart"/>
      <w:r w:rsidRPr="00867C44">
        <w:rPr>
          <w:rFonts w:ascii="Arial Narrow" w:hAnsi="Arial Narrow"/>
          <w:sz w:val="20"/>
          <w:szCs w:val="20"/>
        </w:rPr>
        <w:t>PEC</w:t>
      </w:r>
      <w:proofErr w:type="gramEnd"/>
      <w:r w:rsidRPr="00867C44">
        <w:rPr>
          <w:rFonts w:ascii="Arial Narrow" w:hAnsi="Arial Narrow"/>
          <w:sz w:val="20"/>
          <w:szCs w:val="20"/>
        </w:rPr>
        <w:t xml:space="preserve"> is the consensus-based Probable Effect Concentration from MacDonald </w:t>
      </w:r>
      <w:r w:rsidRPr="00867C44">
        <w:rPr>
          <w:rFonts w:ascii="Arial Narrow" w:hAnsi="Arial Narrow"/>
          <w:i/>
          <w:sz w:val="20"/>
          <w:szCs w:val="20"/>
        </w:rPr>
        <w:t>et al</w:t>
      </w:r>
      <w:r w:rsidRPr="00867C44">
        <w:rPr>
          <w:rFonts w:ascii="Arial Narrow" w:hAnsi="Arial Narrow"/>
          <w:sz w:val="20"/>
          <w:szCs w:val="20"/>
        </w:rPr>
        <w:t>., 2000.</w:t>
      </w:r>
    </w:p>
    <w:p w14:paraId="03B4F409" w14:textId="77777777" w:rsidR="002E3CDE" w:rsidRPr="00867C44" w:rsidRDefault="002E3CDE" w:rsidP="005E4B50">
      <w:pPr>
        <w:pStyle w:val="BlockText"/>
        <w:spacing w:before="0" w:after="0" w:line="240" w:lineRule="auto"/>
      </w:pPr>
    </w:p>
    <w:p w14:paraId="20FF1946" w14:textId="77777777" w:rsidR="009B4E67" w:rsidRPr="00867C44" w:rsidRDefault="009B4E67" w:rsidP="009B4E67">
      <w:pPr>
        <w:pStyle w:val="Heading3"/>
      </w:pPr>
      <w:bookmarkStart w:id="175" w:name="_Toc121736069"/>
      <w:bookmarkStart w:id="176" w:name="_Toc162948180"/>
      <w:r w:rsidRPr="00867C44">
        <w:t>Sediment Toxics - PCBs</w:t>
      </w:r>
      <w:bookmarkEnd w:id="175"/>
      <w:bookmarkEnd w:id="176"/>
    </w:p>
    <w:p w14:paraId="1ECDC799" w14:textId="3CA10D2C" w:rsidR="00BA4843" w:rsidRDefault="009B4E67" w:rsidP="009B4E67">
      <w:pPr>
        <w:pStyle w:val="BlockText"/>
      </w:pPr>
      <w:r w:rsidRPr="00867C44">
        <w:t xml:space="preserve">Polychlorinated biphenyls (PCBs) are a group of man-made chlorinated organic compounds that were widely used in electrical equipment and other applications from the 1930s to 1970s. While their manufacturing has been banned in the US for decades, these compounds are extremely persistent in the environment and can continue to produce toxicity in aquatic sediments. </w:t>
      </w:r>
      <w:r w:rsidR="00D7664B">
        <w:t xml:space="preserve">The upper Roanoke River </w:t>
      </w:r>
      <w:r w:rsidR="00AA5AB7">
        <w:t>was included in a 2009 TMDL to address PCB contamination in the watershed</w:t>
      </w:r>
      <w:r w:rsidR="00B46237">
        <w:t xml:space="preserve"> (Tetra Tech, 2009)</w:t>
      </w:r>
      <w:r w:rsidR="00AA5AB7">
        <w:t xml:space="preserve">. The Roanoke River, Tinker Creek, and Wolf Creek (along with other tributaries) were assigned load and </w:t>
      </w:r>
      <w:proofErr w:type="spellStart"/>
      <w:r w:rsidR="00AA5AB7">
        <w:t>wasteload</w:t>
      </w:r>
      <w:proofErr w:type="spellEnd"/>
      <w:r w:rsidR="00AA5AB7">
        <w:t xml:space="preserve"> allocation</w:t>
      </w:r>
      <w:r w:rsidR="00B46237">
        <w:t>s</w:t>
      </w:r>
      <w:r w:rsidR="00AA5AB7">
        <w:t xml:space="preserve"> for PCB</w:t>
      </w:r>
      <w:r w:rsidR="00B46237">
        <w:t>s</w:t>
      </w:r>
      <w:r w:rsidR="00AA5AB7">
        <w:t xml:space="preserve"> requiring 75 to 97% reductions. Relevant PCB sediment monitoring data from the 2009 TMDL is shown in </w:t>
      </w:r>
      <w:r w:rsidR="00BA4843">
        <w:fldChar w:fldCharType="begin"/>
      </w:r>
      <w:r w:rsidR="00BA4843">
        <w:instrText xml:space="preserve"> REF _Ref137478041 \h </w:instrText>
      </w:r>
      <w:r w:rsidR="00BA4843">
        <w:fldChar w:fldCharType="separate"/>
      </w:r>
      <w:r w:rsidR="004A78BF">
        <w:t xml:space="preserve">Table </w:t>
      </w:r>
      <w:r w:rsidR="004A78BF">
        <w:rPr>
          <w:noProof/>
        </w:rPr>
        <w:t>19</w:t>
      </w:r>
      <w:r w:rsidR="00BA4843">
        <w:fldChar w:fldCharType="end"/>
      </w:r>
      <w:r w:rsidR="00BA4843">
        <w:t xml:space="preserve">. In Tinker Creek, sediment PCB concentrations ranged as high as 940.76 </w:t>
      </w:r>
      <w:proofErr w:type="spellStart"/>
      <w:r w:rsidR="00BA4843">
        <w:rPr>
          <w:rFonts w:ascii="Calibri" w:hAnsi="Calibri" w:cs="Calibri"/>
        </w:rPr>
        <w:t>μ</w:t>
      </w:r>
      <w:r w:rsidR="00BA4843">
        <w:t>g</w:t>
      </w:r>
      <w:proofErr w:type="spellEnd"/>
      <w:r w:rsidR="00BA4843">
        <w:t xml:space="preserve">/kg, which exceeds the probable effect concentration (PEC) of 676 </w:t>
      </w:r>
      <w:proofErr w:type="spellStart"/>
      <w:r w:rsidR="00BA4843">
        <w:rPr>
          <w:rFonts w:ascii="Calibri" w:hAnsi="Calibri" w:cs="Calibri"/>
        </w:rPr>
        <w:t>μ</w:t>
      </w:r>
      <w:r w:rsidR="00BA4843">
        <w:t>g</w:t>
      </w:r>
      <w:proofErr w:type="spellEnd"/>
      <w:r w:rsidR="00BA4843">
        <w:t xml:space="preserve">/kg reported by MacDonald </w:t>
      </w:r>
      <w:r w:rsidR="00BA4843" w:rsidRPr="00BA4843">
        <w:rPr>
          <w:i/>
        </w:rPr>
        <w:t>et al.</w:t>
      </w:r>
      <w:r w:rsidR="00BA4843">
        <w:t xml:space="preserve"> (2000). In the Roanoke River, sediment PCBs ranged from 1.94 </w:t>
      </w:r>
      <w:proofErr w:type="spellStart"/>
      <w:r w:rsidR="00BA4843">
        <w:rPr>
          <w:rFonts w:ascii="Calibri" w:hAnsi="Calibri" w:cs="Calibri"/>
        </w:rPr>
        <w:t>μ</w:t>
      </w:r>
      <w:r w:rsidR="00BA4843">
        <w:t>g</w:t>
      </w:r>
      <w:proofErr w:type="spellEnd"/>
      <w:r w:rsidR="00BA4843">
        <w:t xml:space="preserve">/kg to 133.37 </w:t>
      </w:r>
      <w:proofErr w:type="spellStart"/>
      <w:r w:rsidR="00BA4843">
        <w:rPr>
          <w:rFonts w:ascii="Calibri" w:hAnsi="Calibri" w:cs="Calibri"/>
        </w:rPr>
        <w:t>μ</w:t>
      </w:r>
      <w:r w:rsidR="00BA4843">
        <w:t>g</w:t>
      </w:r>
      <w:proofErr w:type="spellEnd"/>
      <w:r w:rsidR="00BA4843">
        <w:t xml:space="preserve">/kg. This range is well below the PEC, but above the TEC of 59.8 </w:t>
      </w:r>
      <w:proofErr w:type="spellStart"/>
      <w:r w:rsidR="00BA4843">
        <w:rPr>
          <w:rFonts w:ascii="Calibri" w:hAnsi="Calibri" w:cs="Calibri"/>
        </w:rPr>
        <w:t>μ</w:t>
      </w:r>
      <w:r w:rsidR="00BA4843">
        <w:t>g</w:t>
      </w:r>
      <w:proofErr w:type="spellEnd"/>
      <w:r w:rsidR="00BA4843">
        <w:t xml:space="preserve">/kg. </w:t>
      </w:r>
      <w:r w:rsidR="00592F6B">
        <w:t xml:space="preserve">Based on these levels, PCBs may be a possible, but unlikely stressor in the Roanoke River. PCBs may be a more likely stressor in Tinker Creek, since levels exceeded the PEC. </w:t>
      </w:r>
    </w:p>
    <w:p w14:paraId="3D4C6DE8" w14:textId="44526BC4" w:rsidR="005E4B50" w:rsidRDefault="005E4B50" w:rsidP="005E4B50">
      <w:pPr>
        <w:pStyle w:val="BlockText"/>
        <w:spacing w:before="0" w:after="0" w:line="240" w:lineRule="auto"/>
      </w:pPr>
    </w:p>
    <w:p w14:paraId="28FD2742" w14:textId="77777777" w:rsidR="0093755C" w:rsidRDefault="0093755C" w:rsidP="005E4B50">
      <w:pPr>
        <w:pStyle w:val="BlockText"/>
        <w:spacing w:before="0" w:after="0" w:line="240" w:lineRule="auto"/>
      </w:pPr>
    </w:p>
    <w:p w14:paraId="5630ED62" w14:textId="15B6DCA2" w:rsidR="00B46237" w:rsidRDefault="00B46237" w:rsidP="00B46237">
      <w:pPr>
        <w:pStyle w:val="Caption"/>
      </w:pPr>
      <w:bookmarkStart w:id="177" w:name="_Ref137478041"/>
      <w:bookmarkStart w:id="178" w:name="_Toc162948286"/>
      <w:r>
        <w:t xml:space="preserve">Table </w:t>
      </w:r>
      <w:r w:rsidR="008C06B8">
        <w:rPr>
          <w:noProof/>
        </w:rPr>
        <w:fldChar w:fldCharType="begin"/>
      </w:r>
      <w:r w:rsidR="008C06B8">
        <w:rPr>
          <w:noProof/>
        </w:rPr>
        <w:instrText xml:space="preserve"> SEQ Table \* ARABIC </w:instrText>
      </w:r>
      <w:r w:rsidR="008C06B8">
        <w:rPr>
          <w:noProof/>
        </w:rPr>
        <w:fldChar w:fldCharType="separate"/>
      </w:r>
      <w:r w:rsidR="004A78BF">
        <w:rPr>
          <w:noProof/>
        </w:rPr>
        <w:t>19</w:t>
      </w:r>
      <w:r w:rsidR="008C06B8">
        <w:rPr>
          <w:noProof/>
        </w:rPr>
        <w:fldChar w:fldCharType="end"/>
      </w:r>
      <w:bookmarkEnd w:id="177"/>
      <w:r>
        <w:t xml:space="preserve">. </w:t>
      </w:r>
      <w:r w:rsidRPr="00112A3F">
        <w:t>Poly</w:t>
      </w:r>
      <w:r>
        <w:t xml:space="preserve">chlorinated biphenyl </w:t>
      </w:r>
      <w:r w:rsidRPr="00112A3F">
        <w:t>(</w:t>
      </w:r>
      <w:r>
        <w:t>PCB)</w:t>
      </w:r>
      <w:r w:rsidRPr="00112A3F">
        <w:t xml:space="preserve"> concentrations in sediments </w:t>
      </w:r>
      <w:r>
        <w:t xml:space="preserve">reported </w:t>
      </w:r>
      <w:r w:rsidRPr="00112A3F">
        <w:t xml:space="preserve">from Roanoke River </w:t>
      </w:r>
      <w:r>
        <w:t>PCB TMDL.</w:t>
      </w:r>
      <w:bookmarkEnd w:id="178"/>
    </w:p>
    <w:tbl>
      <w:tblPr>
        <w:tblW w:w="9483"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4"/>
        <w:gridCol w:w="1355"/>
        <w:gridCol w:w="1824"/>
        <w:gridCol w:w="885"/>
        <w:gridCol w:w="1355"/>
        <w:gridCol w:w="1355"/>
        <w:gridCol w:w="1355"/>
      </w:tblGrid>
      <w:tr w:rsidR="00B46237" w:rsidRPr="002E3CDE" w14:paraId="578AC04C" w14:textId="77777777" w:rsidTr="00B46237">
        <w:trPr>
          <w:trHeight w:val="732"/>
        </w:trPr>
        <w:tc>
          <w:tcPr>
            <w:tcW w:w="1354" w:type="dxa"/>
            <w:shd w:val="clear" w:color="auto" w:fill="D9D9D9" w:themeFill="background1" w:themeFillShade="D9"/>
            <w:vAlign w:val="center"/>
          </w:tcPr>
          <w:p w14:paraId="1CB54617" w14:textId="4063AB9F" w:rsidR="00B46237" w:rsidRPr="002E3CDE" w:rsidRDefault="00B46237" w:rsidP="007F06E3">
            <w:pPr>
              <w:autoSpaceDE w:val="0"/>
              <w:autoSpaceDN w:val="0"/>
              <w:adjustRightInd w:val="0"/>
              <w:jc w:val="center"/>
              <w:rPr>
                <w:rFonts w:ascii="Arial Narrow" w:hAnsi="Arial Narrow" w:cs="Arial"/>
                <w:b/>
                <w:sz w:val="20"/>
                <w:szCs w:val="20"/>
              </w:rPr>
            </w:pPr>
            <w:r>
              <w:rPr>
                <w:rFonts w:ascii="Arial Narrow" w:hAnsi="Arial Narrow" w:cs="Arial"/>
                <w:b/>
                <w:sz w:val="20"/>
                <w:szCs w:val="20"/>
              </w:rPr>
              <w:t>Stream</w:t>
            </w:r>
          </w:p>
        </w:tc>
        <w:tc>
          <w:tcPr>
            <w:tcW w:w="1355" w:type="dxa"/>
            <w:shd w:val="clear" w:color="auto" w:fill="D9D9D9" w:themeFill="background1" w:themeFillShade="D9"/>
            <w:vAlign w:val="center"/>
          </w:tcPr>
          <w:p w14:paraId="700E3297" w14:textId="6F17FA93" w:rsidR="00B46237" w:rsidRPr="002E3CDE" w:rsidRDefault="00B46237" w:rsidP="007F06E3">
            <w:pPr>
              <w:autoSpaceDE w:val="0"/>
              <w:autoSpaceDN w:val="0"/>
              <w:adjustRightInd w:val="0"/>
              <w:jc w:val="center"/>
              <w:rPr>
                <w:rFonts w:ascii="Arial Narrow" w:hAnsi="Arial Narrow" w:cs="Arial"/>
                <w:b/>
                <w:sz w:val="20"/>
                <w:szCs w:val="20"/>
              </w:rPr>
            </w:pPr>
            <w:r>
              <w:rPr>
                <w:rFonts w:ascii="Arial Narrow" w:hAnsi="Arial Narrow" w:cs="Arial"/>
                <w:b/>
                <w:sz w:val="20"/>
                <w:szCs w:val="20"/>
              </w:rPr>
              <w:t>Station</w:t>
            </w:r>
          </w:p>
        </w:tc>
        <w:tc>
          <w:tcPr>
            <w:tcW w:w="1824" w:type="dxa"/>
            <w:shd w:val="clear" w:color="auto" w:fill="D9D9D9" w:themeFill="background1" w:themeFillShade="D9"/>
          </w:tcPr>
          <w:p w14:paraId="177EA1A0" w14:textId="156AE165" w:rsidR="00B46237" w:rsidRPr="002E3CDE" w:rsidRDefault="00B46237" w:rsidP="007F06E3">
            <w:pPr>
              <w:autoSpaceDE w:val="0"/>
              <w:autoSpaceDN w:val="0"/>
              <w:adjustRightInd w:val="0"/>
              <w:jc w:val="center"/>
              <w:rPr>
                <w:rFonts w:ascii="Arial Narrow" w:hAnsi="Arial Narrow" w:cs="Arial"/>
                <w:b/>
                <w:sz w:val="20"/>
                <w:szCs w:val="20"/>
              </w:rPr>
            </w:pPr>
            <w:r>
              <w:rPr>
                <w:rFonts w:ascii="Arial Narrow" w:hAnsi="Arial Narrow" w:cs="Arial"/>
                <w:b/>
                <w:sz w:val="20"/>
                <w:szCs w:val="20"/>
              </w:rPr>
              <w:t>Period of Record</w:t>
            </w:r>
          </w:p>
        </w:tc>
        <w:tc>
          <w:tcPr>
            <w:tcW w:w="885" w:type="dxa"/>
            <w:shd w:val="clear" w:color="auto" w:fill="D9D9D9" w:themeFill="background1" w:themeFillShade="D9"/>
          </w:tcPr>
          <w:p w14:paraId="2462B6AB" w14:textId="5AD4FC5A" w:rsidR="00B46237" w:rsidRPr="002E3CDE" w:rsidRDefault="00B46237" w:rsidP="007F06E3">
            <w:pPr>
              <w:autoSpaceDE w:val="0"/>
              <w:autoSpaceDN w:val="0"/>
              <w:adjustRightInd w:val="0"/>
              <w:jc w:val="center"/>
              <w:rPr>
                <w:rFonts w:ascii="Arial Narrow" w:hAnsi="Arial Narrow" w:cs="Arial"/>
                <w:b/>
                <w:sz w:val="20"/>
                <w:szCs w:val="20"/>
              </w:rPr>
            </w:pPr>
            <w:r>
              <w:rPr>
                <w:rFonts w:ascii="Arial Narrow" w:hAnsi="Arial Narrow" w:cs="Arial"/>
                <w:b/>
                <w:sz w:val="20"/>
                <w:szCs w:val="20"/>
              </w:rPr>
              <w:t>Sample Count</w:t>
            </w:r>
          </w:p>
        </w:tc>
        <w:tc>
          <w:tcPr>
            <w:tcW w:w="1355" w:type="dxa"/>
            <w:shd w:val="clear" w:color="auto" w:fill="D9D9D9" w:themeFill="background1" w:themeFillShade="D9"/>
          </w:tcPr>
          <w:p w14:paraId="5C347892" w14:textId="437B60D2" w:rsidR="00B46237" w:rsidRDefault="00B46237" w:rsidP="007F06E3">
            <w:pPr>
              <w:autoSpaceDE w:val="0"/>
              <w:autoSpaceDN w:val="0"/>
              <w:adjustRightInd w:val="0"/>
              <w:jc w:val="center"/>
              <w:rPr>
                <w:rFonts w:ascii="Arial Narrow" w:hAnsi="Arial Narrow" w:cs="Arial"/>
                <w:b/>
                <w:sz w:val="20"/>
                <w:szCs w:val="20"/>
              </w:rPr>
            </w:pPr>
            <w:r>
              <w:rPr>
                <w:rFonts w:ascii="Arial Narrow" w:hAnsi="Arial Narrow" w:cs="Arial"/>
                <w:b/>
                <w:sz w:val="20"/>
                <w:szCs w:val="20"/>
              </w:rPr>
              <w:t>Minimum Total PCBs</w:t>
            </w:r>
          </w:p>
          <w:p w14:paraId="3A9FE46D" w14:textId="6E3B2E35" w:rsidR="00B46237" w:rsidRPr="002E3CDE" w:rsidRDefault="00B46237" w:rsidP="007F06E3">
            <w:pPr>
              <w:autoSpaceDE w:val="0"/>
              <w:autoSpaceDN w:val="0"/>
              <w:adjustRightInd w:val="0"/>
              <w:jc w:val="center"/>
              <w:rPr>
                <w:rFonts w:ascii="Arial Narrow" w:hAnsi="Arial Narrow" w:cs="Arial"/>
                <w:b/>
                <w:sz w:val="20"/>
                <w:szCs w:val="20"/>
              </w:rPr>
            </w:pPr>
            <w:r>
              <w:rPr>
                <w:rFonts w:ascii="Arial Narrow" w:hAnsi="Arial Narrow" w:cs="Arial"/>
                <w:b/>
                <w:sz w:val="20"/>
                <w:szCs w:val="20"/>
              </w:rPr>
              <w:t>(</w:t>
            </w:r>
            <w:proofErr w:type="spellStart"/>
            <w:r>
              <w:rPr>
                <w:rFonts w:ascii="Calibri" w:hAnsi="Calibri" w:cs="Calibri"/>
                <w:b/>
                <w:sz w:val="20"/>
                <w:szCs w:val="20"/>
              </w:rPr>
              <w:t>μ</w:t>
            </w:r>
            <w:r>
              <w:rPr>
                <w:rFonts w:ascii="Arial Narrow" w:hAnsi="Arial Narrow" w:cs="Arial"/>
                <w:b/>
                <w:sz w:val="20"/>
                <w:szCs w:val="20"/>
              </w:rPr>
              <w:t>g</w:t>
            </w:r>
            <w:proofErr w:type="spellEnd"/>
            <w:r>
              <w:rPr>
                <w:rFonts w:ascii="Arial Narrow" w:hAnsi="Arial Narrow" w:cs="Arial"/>
                <w:b/>
                <w:sz w:val="20"/>
                <w:szCs w:val="20"/>
              </w:rPr>
              <w:t>/kg)</w:t>
            </w:r>
          </w:p>
        </w:tc>
        <w:tc>
          <w:tcPr>
            <w:tcW w:w="1355" w:type="dxa"/>
            <w:shd w:val="clear" w:color="auto" w:fill="D9D9D9" w:themeFill="background1" w:themeFillShade="D9"/>
          </w:tcPr>
          <w:p w14:paraId="1E4AD9B1" w14:textId="5344FC96" w:rsidR="00B46237" w:rsidRDefault="00B46237" w:rsidP="007F06E3">
            <w:pPr>
              <w:autoSpaceDE w:val="0"/>
              <w:autoSpaceDN w:val="0"/>
              <w:adjustRightInd w:val="0"/>
              <w:jc w:val="center"/>
              <w:rPr>
                <w:rFonts w:ascii="Arial Narrow" w:hAnsi="Arial Narrow" w:cs="Arial"/>
                <w:b/>
                <w:sz w:val="20"/>
                <w:szCs w:val="20"/>
              </w:rPr>
            </w:pPr>
            <w:r>
              <w:rPr>
                <w:rFonts w:ascii="Arial Narrow" w:hAnsi="Arial Narrow" w:cs="Arial"/>
                <w:b/>
                <w:sz w:val="20"/>
                <w:szCs w:val="20"/>
              </w:rPr>
              <w:t>Maximum Total PCBs</w:t>
            </w:r>
          </w:p>
          <w:p w14:paraId="0204B215" w14:textId="388E228F" w:rsidR="00B46237" w:rsidRPr="002E3CDE" w:rsidRDefault="00B46237" w:rsidP="007F06E3">
            <w:pPr>
              <w:autoSpaceDE w:val="0"/>
              <w:autoSpaceDN w:val="0"/>
              <w:adjustRightInd w:val="0"/>
              <w:jc w:val="center"/>
              <w:rPr>
                <w:rFonts w:ascii="Arial Narrow" w:hAnsi="Arial Narrow" w:cs="Arial"/>
                <w:b/>
                <w:sz w:val="20"/>
                <w:szCs w:val="20"/>
              </w:rPr>
            </w:pPr>
            <w:r>
              <w:rPr>
                <w:rFonts w:ascii="Arial Narrow" w:hAnsi="Arial Narrow" w:cs="Arial"/>
                <w:b/>
                <w:sz w:val="20"/>
                <w:szCs w:val="20"/>
              </w:rPr>
              <w:t>(</w:t>
            </w:r>
            <w:proofErr w:type="spellStart"/>
            <w:r>
              <w:rPr>
                <w:rFonts w:ascii="Calibri" w:hAnsi="Calibri" w:cs="Calibri"/>
                <w:b/>
                <w:sz w:val="20"/>
                <w:szCs w:val="20"/>
              </w:rPr>
              <w:t>μ</w:t>
            </w:r>
            <w:r>
              <w:rPr>
                <w:rFonts w:ascii="Arial Narrow" w:hAnsi="Arial Narrow" w:cs="Arial"/>
                <w:b/>
                <w:sz w:val="20"/>
                <w:szCs w:val="20"/>
              </w:rPr>
              <w:t>g</w:t>
            </w:r>
            <w:proofErr w:type="spellEnd"/>
            <w:r>
              <w:rPr>
                <w:rFonts w:ascii="Arial Narrow" w:hAnsi="Arial Narrow" w:cs="Arial"/>
                <w:b/>
                <w:sz w:val="20"/>
                <w:szCs w:val="20"/>
              </w:rPr>
              <w:t>/kg)</w:t>
            </w:r>
          </w:p>
        </w:tc>
        <w:tc>
          <w:tcPr>
            <w:tcW w:w="1355" w:type="dxa"/>
            <w:shd w:val="clear" w:color="auto" w:fill="D9D9D9" w:themeFill="background1" w:themeFillShade="D9"/>
          </w:tcPr>
          <w:p w14:paraId="4C7D5275" w14:textId="4955CB86" w:rsidR="00B46237" w:rsidRDefault="00B46237" w:rsidP="007F06E3">
            <w:pPr>
              <w:autoSpaceDE w:val="0"/>
              <w:autoSpaceDN w:val="0"/>
              <w:adjustRightInd w:val="0"/>
              <w:jc w:val="center"/>
              <w:rPr>
                <w:rFonts w:ascii="Arial Narrow" w:hAnsi="Arial Narrow" w:cs="Arial"/>
                <w:b/>
                <w:sz w:val="20"/>
                <w:szCs w:val="20"/>
              </w:rPr>
            </w:pPr>
            <w:r>
              <w:rPr>
                <w:rFonts w:ascii="Arial Narrow" w:hAnsi="Arial Narrow" w:cs="Arial"/>
                <w:b/>
                <w:sz w:val="20"/>
                <w:szCs w:val="20"/>
              </w:rPr>
              <w:t>Average Total PCBs</w:t>
            </w:r>
          </w:p>
          <w:p w14:paraId="7E6A855A" w14:textId="7ED1206D" w:rsidR="00B46237" w:rsidRPr="002E3CDE" w:rsidRDefault="00B46237" w:rsidP="007F06E3">
            <w:pPr>
              <w:autoSpaceDE w:val="0"/>
              <w:autoSpaceDN w:val="0"/>
              <w:adjustRightInd w:val="0"/>
              <w:jc w:val="center"/>
              <w:rPr>
                <w:rFonts w:ascii="Arial Narrow" w:hAnsi="Arial Narrow" w:cs="Arial"/>
                <w:b/>
                <w:sz w:val="20"/>
                <w:szCs w:val="20"/>
              </w:rPr>
            </w:pPr>
            <w:r>
              <w:rPr>
                <w:rFonts w:ascii="Arial Narrow" w:hAnsi="Arial Narrow" w:cs="Arial"/>
                <w:b/>
                <w:sz w:val="20"/>
                <w:szCs w:val="20"/>
              </w:rPr>
              <w:t>(</w:t>
            </w:r>
            <w:proofErr w:type="spellStart"/>
            <w:r>
              <w:rPr>
                <w:rFonts w:ascii="Calibri" w:hAnsi="Calibri" w:cs="Calibri"/>
                <w:b/>
                <w:sz w:val="20"/>
                <w:szCs w:val="20"/>
              </w:rPr>
              <w:t>μ</w:t>
            </w:r>
            <w:r>
              <w:rPr>
                <w:rFonts w:ascii="Arial Narrow" w:hAnsi="Arial Narrow" w:cs="Arial"/>
                <w:b/>
                <w:sz w:val="20"/>
                <w:szCs w:val="20"/>
              </w:rPr>
              <w:t>g</w:t>
            </w:r>
            <w:proofErr w:type="spellEnd"/>
            <w:r>
              <w:rPr>
                <w:rFonts w:ascii="Arial Narrow" w:hAnsi="Arial Narrow" w:cs="Arial"/>
                <w:b/>
                <w:sz w:val="20"/>
                <w:szCs w:val="20"/>
              </w:rPr>
              <w:t>/kg)</w:t>
            </w:r>
          </w:p>
        </w:tc>
      </w:tr>
      <w:tr w:rsidR="00B46237" w:rsidRPr="002E3CDE" w14:paraId="3D2C939C" w14:textId="77777777" w:rsidTr="00B46237">
        <w:trPr>
          <w:trHeight w:val="290"/>
        </w:trPr>
        <w:tc>
          <w:tcPr>
            <w:tcW w:w="1354" w:type="dxa"/>
            <w:vAlign w:val="bottom"/>
          </w:tcPr>
          <w:p w14:paraId="65C9062D" w14:textId="538296C8" w:rsidR="00B46237" w:rsidRPr="002E3CDE" w:rsidRDefault="00B46237" w:rsidP="00CC30EB">
            <w:pPr>
              <w:autoSpaceDE w:val="0"/>
              <w:autoSpaceDN w:val="0"/>
              <w:adjustRightInd w:val="0"/>
              <w:jc w:val="center"/>
              <w:rPr>
                <w:rFonts w:ascii="Arial Narrow" w:hAnsi="Arial Narrow" w:cs="Arial"/>
                <w:sz w:val="20"/>
                <w:szCs w:val="20"/>
              </w:rPr>
            </w:pPr>
            <w:r>
              <w:rPr>
                <w:rFonts w:ascii="Arial Narrow" w:hAnsi="Arial Narrow" w:cs="Arial"/>
                <w:sz w:val="20"/>
                <w:szCs w:val="20"/>
              </w:rPr>
              <w:t>Tinker Creek</w:t>
            </w:r>
          </w:p>
        </w:tc>
        <w:tc>
          <w:tcPr>
            <w:tcW w:w="1355" w:type="dxa"/>
            <w:vAlign w:val="bottom"/>
          </w:tcPr>
          <w:p w14:paraId="6BFEE13C" w14:textId="77237914" w:rsidR="00B46237" w:rsidRPr="002E3CDE" w:rsidRDefault="00B46237" w:rsidP="00CC30EB">
            <w:pPr>
              <w:autoSpaceDE w:val="0"/>
              <w:autoSpaceDN w:val="0"/>
              <w:adjustRightInd w:val="0"/>
              <w:jc w:val="center"/>
              <w:rPr>
                <w:rFonts w:ascii="Arial Narrow" w:hAnsi="Arial Narrow" w:cs="Arial"/>
                <w:sz w:val="20"/>
                <w:szCs w:val="20"/>
              </w:rPr>
            </w:pPr>
            <w:r>
              <w:rPr>
                <w:rFonts w:ascii="Arial Narrow" w:hAnsi="Arial Narrow" w:cs="Arial"/>
                <w:sz w:val="20"/>
                <w:szCs w:val="20"/>
              </w:rPr>
              <w:t>4ATKR000.69</w:t>
            </w:r>
          </w:p>
        </w:tc>
        <w:tc>
          <w:tcPr>
            <w:tcW w:w="1824" w:type="dxa"/>
          </w:tcPr>
          <w:p w14:paraId="68CA648D" w14:textId="6F0F9A4E" w:rsidR="00B46237" w:rsidRPr="002E3CDE" w:rsidRDefault="00B46237" w:rsidP="00CC30EB">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7/15/1997</w:t>
            </w:r>
          </w:p>
        </w:tc>
        <w:tc>
          <w:tcPr>
            <w:tcW w:w="885" w:type="dxa"/>
          </w:tcPr>
          <w:p w14:paraId="4BE105F3" w14:textId="371AC8B2" w:rsidR="00B46237" w:rsidRPr="002E3CDE" w:rsidRDefault="00B46237" w:rsidP="00CC30EB">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2</w:t>
            </w:r>
          </w:p>
        </w:tc>
        <w:tc>
          <w:tcPr>
            <w:tcW w:w="1355" w:type="dxa"/>
          </w:tcPr>
          <w:p w14:paraId="0416526A" w14:textId="3A3A92B7" w:rsidR="00B46237" w:rsidRPr="002E3CDE" w:rsidRDefault="00B46237" w:rsidP="00CC30EB">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54.52</w:t>
            </w:r>
          </w:p>
        </w:tc>
        <w:tc>
          <w:tcPr>
            <w:tcW w:w="1355" w:type="dxa"/>
            <w:vAlign w:val="bottom"/>
          </w:tcPr>
          <w:p w14:paraId="2C13A26D" w14:textId="66C44612" w:rsidR="00B46237" w:rsidRPr="002E3CDE" w:rsidRDefault="00B46237" w:rsidP="00CC30EB">
            <w:pPr>
              <w:autoSpaceDE w:val="0"/>
              <w:autoSpaceDN w:val="0"/>
              <w:adjustRightInd w:val="0"/>
              <w:jc w:val="center"/>
              <w:rPr>
                <w:rFonts w:ascii="Arial Narrow" w:hAnsi="Arial Narrow" w:cs="Arial"/>
                <w:sz w:val="20"/>
                <w:szCs w:val="20"/>
              </w:rPr>
            </w:pPr>
            <w:r>
              <w:rPr>
                <w:rFonts w:ascii="Arial Narrow" w:hAnsi="Arial Narrow" w:cs="Arial"/>
                <w:sz w:val="20"/>
                <w:szCs w:val="20"/>
              </w:rPr>
              <w:t>940.76</w:t>
            </w:r>
          </w:p>
        </w:tc>
        <w:tc>
          <w:tcPr>
            <w:tcW w:w="1355" w:type="dxa"/>
            <w:shd w:val="clear" w:color="auto" w:fill="auto"/>
            <w:vAlign w:val="bottom"/>
          </w:tcPr>
          <w:p w14:paraId="084AEB2B" w14:textId="28B807F7" w:rsidR="00B46237" w:rsidRPr="002E3CDE" w:rsidRDefault="00B46237" w:rsidP="00CC30EB">
            <w:pPr>
              <w:autoSpaceDE w:val="0"/>
              <w:autoSpaceDN w:val="0"/>
              <w:adjustRightInd w:val="0"/>
              <w:jc w:val="center"/>
              <w:rPr>
                <w:rFonts w:ascii="Arial Narrow" w:hAnsi="Arial Narrow" w:cs="Arial"/>
                <w:sz w:val="20"/>
                <w:szCs w:val="20"/>
              </w:rPr>
            </w:pPr>
            <w:r>
              <w:rPr>
                <w:rFonts w:ascii="Arial Narrow" w:hAnsi="Arial Narrow" w:cs="Arial"/>
                <w:sz w:val="20"/>
                <w:szCs w:val="20"/>
              </w:rPr>
              <w:t>497.64</w:t>
            </w:r>
          </w:p>
        </w:tc>
      </w:tr>
      <w:tr w:rsidR="00B46237" w:rsidRPr="002E3CDE" w14:paraId="5D4595A7" w14:textId="77777777" w:rsidTr="00B46237">
        <w:trPr>
          <w:trHeight w:val="290"/>
        </w:trPr>
        <w:tc>
          <w:tcPr>
            <w:tcW w:w="1354" w:type="dxa"/>
            <w:vAlign w:val="bottom"/>
          </w:tcPr>
          <w:p w14:paraId="722789FB" w14:textId="195123D5" w:rsidR="00B46237" w:rsidRPr="002E3CDE" w:rsidRDefault="00B46237" w:rsidP="00CC30EB">
            <w:pPr>
              <w:autoSpaceDE w:val="0"/>
              <w:autoSpaceDN w:val="0"/>
              <w:adjustRightInd w:val="0"/>
              <w:jc w:val="center"/>
              <w:rPr>
                <w:rFonts w:ascii="Arial Narrow" w:hAnsi="Arial Narrow" w:cs="Arial"/>
                <w:sz w:val="20"/>
                <w:szCs w:val="20"/>
              </w:rPr>
            </w:pPr>
          </w:p>
        </w:tc>
        <w:tc>
          <w:tcPr>
            <w:tcW w:w="1355" w:type="dxa"/>
            <w:vAlign w:val="bottom"/>
          </w:tcPr>
          <w:p w14:paraId="71E558DE" w14:textId="5368A3FD" w:rsidR="00B46237" w:rsidRPr="002E3CDE" w:rsidRDefault="00B46237" w:rsidP="00CC30EB">
            <w:pPr>
              <w:autoSpaceDE w:val="0"/>
              <w:autoSpaceDN w:val="0"/>
              <w:adjustRightInd w:val="0"/>
              <w:jc w:val="center"/>
              <w:rPr>
                <w:rFonts w:ascii="Arial Narrow" w:hAnsi="Arial Narrow" w:cs="Arial"/>
                <w:sz w:val="20"/>
                <w:szCs w:val="20"/>
              </w:rPr>
            </w:pPr>
            <w:r>
              <w:rPr>
                <w:rFonts w:ascii="Arial Narrow" w:hAnsi="Arial Narrow" w:cs="Arial"/>
                <w:sz w:val="20"/>
                <w:szCs w:val="20"/>
              </w:rPr>
              <w:t>4ATKR000.17</w:t>
            </w:r>
          </w:p>
        </w:tc>
        <w:tc>
          <w:tcPr>
            <w:tcW w:w="1824" w:type="dxa"/>
          </w:tcPr>
          <w:p w14:paraId="54BE586F" w14:textId="0BC30390" w:rsidR="00B46237" w:rsidRPr="002E3CDE" w:rsidRDefault="00B46237" w:rsidP="00CC30EB">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8/5/1999 – 9/10/2007</w:t>
            </w:r>
          </w:p>
        </w:tc>
        <w:tc>
          <w:tcPr>
            <w:tcW w:w="885" w:type="dxa"/>
          </w:tcPr>
          <w:p w14:paraId="395649A0" w14:textId="7E130D59" w:rsidR="00B46237" w:rsidRPr="002E3CDE" w:rsidRDefault="00B46237" w:rsidP="00CC30EB">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3</w:t>
            </w:r>
          </w:p>
        </w:tc>
        <w:tc>
          <w:tcPr>
            <w:tcW w:w="1355" w:type="dxa"/>
          </w:tcPr>
          <w:p w14:paraId="0FB7C440" w14:textId="047426B8" w:rsidR="00B46237" w:rsidRPr="002E3CDE" w:rsidRDefault="00B46237" w:rsidP="00CC30EB">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26.45</w:t>
            </w:r>
          </w:p>
        </w:tc>
        <w:tc>
          <w:tcPr>
            <w:tcW w:w="1355" w:type="dxa"/>
            <w:vAlign w:val="bottom"/>
          </w:tcPr>
          <w:p w14:paraId="068F3211" w14:textId="77911825" w:rsidR="00B46237" w:rsidRPr="002E3CDE" w:rsidRDefault="00B46237" w:rsidP="00CC30EB">
            <w:pPr>
              <w:autoSpaceDE w:val="0"/>
              <w:autoSpaceDN w:val="0"/>
              <w:adjustRightInd w:val="0"/>
              <w:jc w:val="center"/>
              <w:rPr>
                <w:rFonts w:ascii="Arial Narrow" w:hAnsi="Arial Narrow" w:cs="Arial"/>
                <w:sz w:val="20"/>
                <w:szCs w:val="20"/>
              </w:rPr>
            </w:pPr>
            <w:r>
              <w:rPr>
                <w:rFonts w:ascii="Arial Narrow" w:hAnsi="Arial Narrow" w:cs="Arial"/>
                <w:sz w:val="20"/>
                <w:szCs w:val="20"/>
              </w:rPr>
              <w:t>101.9</w:t>
            </w:r>
          </w:p>
        </w:tc>
        <w:tc>
          <w:tcPr>
            <w:tcW w:w="1355" w:type="dxa"/>
            <w:shd w:val="clear" w:color="auto" w:fill="auto"/>
            <w:vAlign w:val="bottom"/>
          </w:tcPr>
          <w:p w14:paraId="3E805B91" w14:textId="063D5995" w:rsidR="00B46237" w:rsidRPr="002E3CDE" w:rsidRDefault="00B46237" w:rsidP="00CC30EB">
            <w:pPr>
              <w:autoSpaceDE w:val="0"/>
              <w:autoSpaceDN w:val="0"/>
              <w:adjustRightInd w:val="0"/>
              <w:jc w:val="center"/>
              <w:rPr>
                <w:rFonts w:ascii="Arial Narrow" w:hAnsi="Arial Narrow" w:cs="Arial"/>
                <w:sz w:val="20"/>
                <w:szCs w:val="20"/>
              </w:rPr>
            </w:pPr>
            <w:r>
              <w:rPr>
                <w:rFonts w:ascii="Arial Narrow" w:hAnsi="Arial Narrow" w:cs="Arial"/>
                <w:sz w:val="20"/>
                <w:szCs w:val="20"/>
              </w:rPr>
              <w:t>74.03</w:t>
            </w:r>
          </w:p>
        </w:tc>
      </w:tr>
      <w:tr w:rsidR="00B46237" w:rsidRPr="002E3CDE" w14:paraId="6B8BA6D0" w14:textId="77777777" w:rsidTr="00B46237">
        <w:trPr>
          <w:trHeight w:val="290"/>
        </w:trPr>
        <w:tc>
          <w:tcPr>
            <w:tcW w:w="1354" w:type="dxa"/>
            <w:vAlign w:val="bottom"/>
          </w:tcPr>
          <w:p w14:paraId="2A71FBE4" w14:textId="7E9E8968" w:rsidR="00B46237" w:rsidRPr="002E3CDE" w:rsidRDefault="00B46237" w:rsidP="00CC30EB">
            <w:pPr>
              <w:autoSpaceDE w:val="0"/>
              <w:autoSpaceDN w:val="0"/>
              <w:adjustRightInd w:val="0"/>
              <w:jc w:val="center"/>
              <w:rPr>
                <w:rFonts w:ascii="Arial Narrow" w:hAnsi="Arial Narrow" w:cs="Arial"/>
                <w:sz w:val="20"/>
                <w:szCs w:val="20"/>
              </w:rPr>
            </w:pPr>
            <w:r>
              <w:rPr>
                <w:rFonts w:ascii="Arial Narrow" w:hAnsi="Arial Narrow" w:cs="Arial"/>
                <w:sz w:val="20"/>
                <w:szCs w:val="20"/>
              </w:rPr>
              <w:t>Roanoke River</w:t>
            </w:r>
          </w:p>
        </w:tc>
        <w:tc>
          <w:tcPr>
            <w:tcW w:w="1355" w:type="dxa"/>
            <w:vAlign w:val="bottom"/>
          </w:tcPr>
          <w:p w14:paraId="71D926A0" w14:textId="77777777" w:rsidR="00B46237" w:rsidRPr="002E3CDE" w:rsidRDefault="00B46237" w:rsidP="00CC30EB">
            <w:pPr>
              <w:autoSpaceDE w:val="0"/>
              <w:autoSpaceDN w:val="0"/>
              <w:adjustRightInd w:val="0"/>
              <w:jc w:val="center"/>
              <w:rPr>
                <w:rFonts w:ascii="Arial Narrow" w:hAnsi="Arial Narrow" w:cs="Arial"/>
                <w:sz w:val="20"/>
                <w:szCs w:val="20"/>
              </w:rPr>
            </w:pPr>
            <w:r>
              <w:rPr>
                <w:rFonts w:ascii="Arial Narrow" w:hAnsi="Arial Narrow" w:cs="Arial"/>
                <w:sz w:val="20"/>
                <w:szCs w:val="20"/>
              </w:rPr>
              <w:t>4AROA212.99</w:t>
            </w:r>
          </w:p>
        </w:tc>
        <w:tc>
          <w:tcPr>
            <w:tcW w:w="1824" w:type="dxa"/>
          </w:tcPr>
          <w:p w14:paraId="32ABCF4C" w14:textId="77777777" w:rsidR="00B46237" w:rsidRPr="002E3CDE" w:rsidRDefault="00B46237" w:rsidP="00CC30EB">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7/15/1997</w:t>
            </w:r>
          </w:p>
        </w:tc>
        <w:tc>
          <w:tcPr>
            <w:tcW w:w="885" w:type="dxa"/>
          </w:tcPr>
          <w:p w14:paraId="1BDB52A9" w14:textId="77777777" w:rsidR="00B46237" w:rsidRPr="002E3CDE" w:rsidRDefault="00B46237" w:rsidP="00CC30EB">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1</w:t>
            </w:r>
          </w:p>
        </w:tc>
        <w:tc>
          <w:tcPr>
            <w:tcW w:w="1355" w:type="dxa"/>
          </w:tcPr>
          <w:p w14:paraId="47FEE819" w14:textId="77777777" w:rsidR="00B46237" w:rsidRPr="002E3CDE" w:rsidRDefault="00B46237" w:rsidP="00CC30EB">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9.98</w:t>
            </w:r>
          </w:p>
        </w:tc>
        <w:tc>
          <w:tcPr>
            <w:tcW w:w="1355" w:type="dxa"/>
            <w:vAlign w:val="bottom"/>
          </w:tcPr>
          <w:p w14:paraId="191AE498" w14:textId="77777777" w:rsidR="00B46237" w:rsidRPr="002E3CDE" w:rsidRDefault="00B46237" w:rsidP="00CC30EB">
            <w:pPr>
              <w:autoSpaceDE w:val="0"/>
              <w:autoSpaceDN w:val="0"/>
              <w:adjustRightInd w:val="0"/>
              <w:jc w:val="center"/>
              <w:rPr>
                <w:rFonts w:ascii="Arial Narrow" w:hAnsi="Arial Narrow" w:cs="Arial"/>
                <w:sz w:val="20"/>
                <w:szCs w:val="20"/>
              </w:rPr>
            </w:pPr>
            <w:r>
              <w:rPr>
                <w:rFonts w:ascii="Arial Narrow" w:hAnsi="Arial Narrow" w:cs="Arial"/>
                <w:sz w:val="20"/>
                <w:szCs w:val="20"/>
              </w:rPr>
              <w:t>9.98</w:t>
            </w:r>
          </w:p>
        </w:tc>
        <w:tc>
          <w:tcPr>
            <w:tcW w:w="1355" w:type="dxa"/>
            <w:shd w:val="clear" w:color="auto" w:fill="auto"/>
            <w:vAlign w:val="bottom"/>
          </w:tcPr>
          <w:p w14:paraId="37C06912" w14:textId="77777777" w:rsidR="00B46237" w:rsidRPr="002E3CDE" w:rsidRDefault="00B46237" w:rsidP="00CC30EB">
            <w:pPr>
              <w:autoSpaceDE w:val="0"/>
              <w:autoSpaceDN w:val="0"/>
              <w:adjustRightInd w:val="0"/>
              <w:jc w:val="center"/>
              <w:rPr>
                <w:rFonts w:ascii="Arial Narrow" w:hAnsi="Arial Narrow" w:cs="Arial"/>
                <w:sz w:val="20"/>
                <w:szCs w:val="20"/>
              </w:rPr>
            </w:pPr>
            <w:r>
              <w:rPr>
                <w:rFonts w:ascii="Arial Narrow" w:hAnsi="Arial Narrow" w:cs="Arial"/>
                <w:sz w:val="20"/>
                <w:szCs w:val="20"/>
              </w:rPr>
              <w:t>9.98</w:t>
            </w:r>
          </w:p>
        </w:tc>
      </w:tr>
      <w:tr w:rsidR="00B46237" w:rsidRPr="002E3CDE" w14:paraId="14A00326" w14:textId="77777777" w:rsidTr="00B46237">
        <w:trPr>
          <w:trHeight w:val="290"/>
        </w:trPr>
        <w:tc>
          <w:tcPr>
            <w:tcW w:w="1354" w:type="dxa"/>
            <w:vAlign w:val="bottom"/>
          </w:tcPr>
          <w:p w14:paraId="48F3D9FA" w14:textId="76077659" w:rsidR="00B46237" w:rsidRPr="002E3CDE" w:rsidRDefault="00B46237" w:rsidP="00CC30EB">
            <w:pPr>
              <w:autoSpaceDE w:val="0"/>
              <w:autoSpaceDN w:val="0"/>
              <w:adjustRightInd w:val="0"/>
              <w:jc w:val="center"/>
              <w:rPr>
                <w:rFonts w:ascii="Arial Narrow" w:hAnsi="Arial Narrow" w:cs="Arial"/>
                <w:sz w:val="20"/>
                <w:szCs w:val="20"/>
              </w:rPr>
            </w:pPr>
          </w:p>
        </w:tc>
        <w:tc>
          <w:tcPr>
            <w:tcW w:w="1355" w:type="dxa"/>
            <w:vAlign w:val="bottom"/>
          </w:tcPr>
          <w:p w14:paraId="4DFE26DC" w14:textId="4AD24D92" w:rsidR="00B46237" w:rsidRPr="002E3CDE" w:rsidRDefault="00B46237" w:rsidP="00CC30EB">
            <w:pPr>
              <w:autoSpaceDE w:val="0"/>
              <w:autoSpaceDN w:val="0"/>
              <w:adjustRightInd w:val="0"/>
              <w:jc w:val="center"/>
              <w:rPr>
                <w:rFonts w:ascii="Arial Narrow" w:hAnsi="Arial Narrow" w:cs="Arial"/>
                <w:sz w:val="20"/>
                <w:szCs w:val="20"/>
              </w:rPr>
            </w:pPr>
            <w:r>
              <w:rPr>
                <w:rFonts w:ascii="Arial Narrow" w:hAnsi="Arial Narrow" w:cs="Arial"/>
                <w:sz w:val="20"/>
                <w:szCs w:val="20"/>
              </w:rPr>
              <w:t>4AROA206.80</w:t>
            </w:r>
          </w:p>
        </w:tc>
        <w:tc>
          <w:tcPr>
            <w:tcW w:w="1824" w:type="dxa"/>
          </w:tcPr>
          <w:p w14:paraId="70F8DBAC" w14:textId="6268FC6A" w:rsidR="00B46237" w:rsidRPr="002E3CDE" w:rsidRDefault="00B46237" w:rsidP="00CC30EB">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6/2/1999</w:t>
            </w:r>
          </w:p>
        </w:tc>
        <w:tc>
          <w:tcPr>
            <w:tcW w:w="885" w:type="dxa"/>
          </w:tcPr>
          <w:p w14:paraId="08BFE3FA" w14:textId="05A3F0B6" w:rsidR="00B46237" w:rsidRPr="002E3CDE" w:rsidRDefault="00B46237" w:rsidP="00CC30EB">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2</w:t>
            </w:r>
          </w:p>
        </w:tc>
        <w:tc>
          <w:tcPr>
            <w:tcW w:w="1355" w:type="dxa"/>
          </w:tcPr>
          <w:p w14:paraId="6E55B170" w14:textId="74774A92" w:rsidR="00B46237" w:rsidRPr="002E3CDE" w:rsidRDefault="00B46237" w:rsidP="00CC30EB">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1.94</w:t>
            </w:r>
          </w:p>
        </w:tc>
        <w:tc>
          <w:tcPr>
            <w:tcW w:w="1355" w:type="dxa"/>
            <w:vAlign w:val="bottom"/>
          </w:tcPr>
          <w:p w14:paraId="2A259400" w14:textId="35DFF973" w:rsidR="00B46237" w:rsidRPr="002E3CDE" w:rsidRDefault="00B46237" w:rsidP="00CC30EB">
            <w:pPr>
              <w:autoSpaceDE w:val="0"/>
              <w:autoSpaceDN w:val="0"/>
              <w:adjustRightInd w:val="0"/>
              <w:jc w:val="center"/>
              <w:rPr>
                <w:rFonts w:ascii="Arial Narrow" w:hAnsi="Arial Narrow" w:cs="Arial"/>
                <w:sz w:val="20"/>
                <w:szCs w:val="20"/>
              </w:rPr>
            </w:pPr>
            <w:r>
              <w:rPr>
                <w:rFonts w:ascii="Arial Narrow" w:hAnsi="Arial Narrow" w:cs="Arial"/>
                <w:sz w:val="20"/>
                <w:szCs w:val="20"/>
              </w:rPr>
              <w:t>11.65</w:t>
            </w:r>
          </w:p>
        </w:tc>
        <w:tc>
          <w:tcPr>
            <w:tcW w:w="1355" w:type="dxa"/>
            <w:shd w:val="clear" w:color="auto" w:fill="auto"/>
            <w:vAlign w:val="bottom"/>
          </w:tcPr>
          <w:p w14:paraId="7EAB81D0" w14:textId="15BDB572" w:rsidR="00B46237" w:rsidRPr="002E3CDE" w:rsidRDefault="00B46237" w:rsidP="00CC30EB">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6.79</w:t>
            </w:r>
          </w:p>
        </w:tc>
      </w:tr>
      <w:tr w:rsidR="00B46237" w:rsidRPr="002E3CDE" w14:paraId="7F366879" w14:textId="77777777" w:rsidTr="00B46237">
        <w:trPr>
          <w:trHeight w:val="290"/>
        </w:trPr>
        <w:tc>
          <w:tcPr>
            <w:tcW w:w="1354" w:type="dxa"/>
            <w:vAlign w:val="bottom"/>
          </w:tcPr>
          <w:p w14:paraId="59A58293" w14:textId="17543A75" w:rsidR="00B46237" w:rsidRPr="002E3CDE" w:rsidRDefault="00B46237" w:rsidP="00CC30EB">
            <w:pPr>
              <w:autoSpaceDE w:val="0"/>
              <w:autoSpaceDN w:val="0"/>
              <w:adjustRightInd w:val="0"/>
              <w:jc w:val="center"/>
              <w:rPr>
                <w:rFonts w:ascii="Arial Narrow" w:hAnsi="Arial Narrow" w:cs="Arial"/>
                <w:sz w:val="20"/>
                <w:szCs w:val="20"/>
              </w:rPr>
            </w:pPr>
          </w:p>
        </w:tc>
        <w:tc>
          <w:tcPr>
            <w:tcW w:w="1355" w:type="dxa"/>
            <w:vAlign w:val="bottom"/>
          </w:tcPr>
          <w:p w14:paraId="3D8F1CF7" w14:textId="60A144EC" w:rsidR="00B46237" w:rsidRPr="002E3CDE" w:rsidRDefault="00B46237" w:rsidP="00CC30EB">
            <w:pPr>
              <w:autoSpaceDE w:val="0"/>
              <w:autoSpaceDN w:val="0"/>
              <w:adjustRightInd w:val="0"/>
              <w:jc w:val="center"/>
              <w:rPr>
                <w:rFonts w:ascii="Arial Narrow" w:hAnsi="Arial Narrow" w:cs="Arial"/>
                <w:sz w:val="20"/>
                <w:szCs w:val="20"/>
              </w:rPr>
            </w:pPr>
            <w:r>
              <w:rPr>
                <w:rFonts w:ascii="Arial Narrow" w:hAnsi="Arial Narrow" w:cs="Arial"/>
                <w:sz w:val="20"/>
                <w:szCs w:val="20"/>
              </w:rPr>
              <w:t>4AROA202.20</w:t>
            </w:r>
          </w:p>
        </w:tc>
        <w:tc>
          <w:tcPr>
            <w:tcW w:w="1824" w:type="dxa"/>
          </w:tcPr>
          <w:p w14:paraId="0A6C616E" w14:textId="4C66BCDA" w:rsidR="00B46237" w:rsidRPr="002E3CDE" w:rsidRDefault="00B46237" w:rsidP="00CC30EB">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8/6/1999</w:t>
            </w:r>
          </w:p>
        </w:tc>
        <w:tc>
          <w:tcPr>
            <w:tcW w:w="885" w:type="dxa"/>
          </w:tcPr>
          <w:p w14:paraId="550A0F90" w14:textId="55EAB685" w:rsidR="00B46237" w:rsidRPr="002E3CDE" w:rsidRDefault="00B46237" w:rsidP="00CC30EB">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2</w:t>
            </w:r>
          </w:p>
        </w:tc>
        <w:tc>
          <w:tcPr>
            <w:tcW w:w="1355" w:type="dxa"/>
          </w:tcPr>
          <w:p w14:paraId="53890A4D" w14:textId="5B5F03D2" w:rsidR="00B46237" w:rsidRPr="002E3CDE" w:rsidRDefault="00B46237" w:rsidP="00CC30EB">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43.83</w:t>
            </w:r>
          </w:p>
        </w:tc>
        <w:tc>
          <w:tcPr>
            <w:tcW w:w="1355" w:type="dxa"/>
            <w:vAlign w:val="bottom"/>
          </w:tcPr>
          <w:p w14:paraId="36570839" w14:textId="3DB66324" w:rsidR="00B46237" w:rsidRPr="002E3CDE" w:rsidRDefault="00B46237" w:rsidP="00CC30EB">
            <w:pPr>
              <w:autoSpaceDE w:val="0"/>
              <w:autoSpaceDN w:val="0"/>
              <w:adjustRightInd w:val="0"/>
              <w:jc w:val="center"/>
              <w:rPr>
                <w:rFonts w:ascii="Arial Narrow" w:hAnsi="Arial Narrow" w:cs="Arial"/>
                <w:sz w:val="20"/>
                <w:szCs w:val="20"/>
              </w:rPr>
            </w:pPr>
            <w:r>
              <w:rPr>
                <w:rFonts w:ascii="Arial Narrow" w:hAnsi="Arial Narrow" w:cs="Arial"/>
                <w:sz w:val="20"/>
                <w:szCs w:val="20"/>
              </w:rPr>
              <w:t>77.84</w:t>
            </w:r>
          </w:p>
        </w:tc>
        <w:tc>
          <w:tcPr>
            <w:tcW w:w="1355" w:type="dxa"/>
            <w:shd w:val="clear" w:color="auto" w:fill="auto"/>
            <w:vAlign w:val="bottom"/>
          </w:tcPr>
          <w:p w14:paraId="43E33A0A" w14:textId="73AE878F" w:rsidR="00B46237" w:rsidRPr="002E3CDE" w:rsidRDefault="00B46237" w:rsidP="00CC30EB">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60.83</w:t>
            </w:r>
          </w:p>
        </w:tc>
      </w:tr>
      <w:tr w:rsidR="00B46237" w:rsidRPr="002E3CDE" w14:paraId="15867C2D" w14:textId="77777777" w:rsidTr="00B46237">
        <w:trPr>
          <w:trHeight w:val="290"/>
        </w:trPr>
        <w:tc>
          <w:tcPr>
            <w:tcW w:w="1354" w:type="dxa"/>
            <w:vAlign w:val="bottom"/>
          </w:tcPr>
          <w:p w14:paraId="6552D7CD" w14:textId="15535361" w:rsidR="00B46237" w:rsidRPr="002E3CDE" w:rsidRDefault="00B46237" w:rsidP="007F06E3">
            <w:pPr>
              <w:autoSpaceDE w:val="0"/>
              <w:autoSpaceDN w:val="0"/>
              <w:adjustRightInd w:val="0"/>
              <w:jc w:val="center"/>
              <w:rPr>
                <w:rFonts w:ascii="Arial Narrow" w:hAnsi="Arial Narrow" w:cs="Arial"/>
                <w:sz w:val="20"/>
                <w:szCs w:val="20"/>
              </w:rPr>
            </w:pPr>
          </w:p>
        </w:tc>
        <w:tc>
          <w:tcPr>
            <w:tcW w:w="1355" w:type="dxa"/>
            <w:vAlign w:val="bottom"/>
          </w:tcPr>
          <w:p w14:paraId="362DB867" w14:textId="018DC91F" w:rsidR="00B46237" w:rsidRPr="002E3CDE" w:rsidRDefault="00B46237" w:rsidP="007F06E3">
            <w:pPr>
              <w:autoSpaceDE w:val="0"/>
              <w:autoSpaceDN w:val="0"/>
              <w:adjustRightInd w:val="0"/>
              <w:jc w:val="center"/>
              <w:rPr>
                <w:rFonts w:ascii="Arial Narrow" w:hAnsi="Arial Narrow" w:cs="Arial"/>
                <w:sz w:val="20"/>
                <w:szCs w:val="20"/>
              </w:rPr>
            </w:pPr>
            <w:r>
              <w:rPr>
                <w:rFonts w:ascii="Arial Narrow" w:hAnsi="Arial Narrow" w:cs="Arial"/>
                <w:sz w:val="20"/>
                <w:szCs w:val="20"/>
              </w:rPr>
              <w:t>4AROA199.78</w:t>
            </w:r>
          </w:p>
        </w:tc>
        <w:tc>
          <w:tcPr>
            <w:tcW w:w="1824" w:type="dxa"/>
          </w:tcPr>
          <w:p w14:paraId="5DCB1AD0" w14:textId="7D984A84" w:rsidR="00B46237" w:rsidRPr="002E3CDE" w:rsidRDefault="00B46237" w:rsidP="007F06E3">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6/2/1999</w:t>
            </w:r>
          </w:p>
        </w:tc>
        <w:tc>
          <w:tcPr>
            <w:tcW w:w="885" w:type="dxa"/>
          </w:tcPr>
          <w:p w14:paraId="7A175657" w14:textId="11FFB363" w:rsidR="00B46237" w:rsidRPr="002E3CDE" w:rsidRDefault="00B46237" w:rsidP="007F06E3">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1</w:t>
            </w:r>
          </w:p>
        </w:tc>
        <w:tc>
          <w:tcPr>
            <w:tcW w:w="1355" w:type="dxa"/>
          </w:tcPr>
          <w:p w14:paraId="4E49C4FB" w14:textId="51694184" w:rsidR="00B46237" w:rsidRPr="002E3CDE" w:rsidRDefault="00B46237" w:rsidP="007F06E3">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81.87</w:t>
            </w:r>
          </w:p>
        </w:tc>
        <w:tc>
          <w:tcPr>
            <w:tcW w:w="1355" w:type="dxa"/>
          </w:tcPr>
          <w:p w14:paraId="13081499" w14:textId="4291AA47" w:rsidR="00B46237" w:rsidRPr="002E3CDE" w:rsidRDefault="00B46237" w:rsidP="007F06E3">
            <w:pPr>
              <w:autoSpaceDE w:val="0"/>
              <w:autoSpaceDN w:val="0"/>
              <w:adjustRightInd w:val="0"/>
              <w:jc w:val="center"/>
              <w:rPr>
                <w:rFonts w:ascii="Arial Narrow" w:hAnsi="Arial Narrow" w:cs="Arial"/>
                <w:sz w:val="20"/>
                <w:szCs w:val="20"/>
              </w:rPr>
            </w:pPr>
            <w:r>
              <w:rPr>
                <w:rFonts w:ascii="Arial Narrow" w:hAnsi="Arial Narrow" w:cs="Calibri"/>
                <w:color w:val="000000"/>
                <w:sz w:val="20"/>
                <w:szCs w:val="20"/>
              </w:rPr>
              <w:t>81.87</w:t>
            </w:r>
          </w:p>
        </w:tc>
        <w:tc>
          <w:tcPr>
            <w:tcW w:w="1355" w:type="dxa"/>
            <w:shd w:val="clear" w:color="auto" w:fill="auto"/>
          </w:tcPr>
          <w:p w14:paraId="380AE881" w14:textId="3407DA63" w:rsidR="00B46237" w:rsidRPr="002E3CDE" w:rsidRDefault="00B46237" w:rsidP="007F06E3">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81.87</w:t>
            </w:r>
          </w:p>
        </w:tc>
      </w:tr>
      <w:tr w:rsidR="00B46237" w:rsidRPr="002E3CDE" w14:paraId="11851DD2" w14:textId="77777777" w:rsidTr="00B46237">
        <w:trPr>
          <w:trHeight w:val="290"/>
        </w:trPr>
        <w:tc>
          <w:tcPr>
            <w:tcW w:w="1354" w:type="dxa"/>
            <w:vAlign w:val="bottom"/>
          </w:tcPr>
          <w:p w14:paraId="63567F9F" w14:textId="38B25E8B" w:rsidR="00B46237" w:rsidRPr="002E3CDE" w:rsidRDefault="00B46237" w:rsidP="007F06E3">
            <w:pPr>
              <w:autoSpaceDE w:val="0"/>
              <w:autoSpaceDN w:val="0"/>
              <w:adjustRightInd w:val="0"/>
              <w:jc w:val="center"/>
              <w:rPr>
                <w:rFonts w:ascii="Arial Narrow" w:hAnsi="Arial Narrow" w:cs="Arial"/>
                <w:sz w:val="20"/>
                <w:szCs w:val="20"/>
              </w:rPr>
            </w:pPr>
          </w:p>
        </w:tc>
        <w:tc>
          <w:tcPr>
            <w:tcW w:w="1355" w:type="dxa"/>
            <w:vAlign w:val="bottom"/>
          </w:tcPr>
          <w:p w14:paraId="086AD639" w14:textId="29267757" w:rsidR="00B46237" w:rsidRPr="002E3CDE" w:rsidRDefault="00B46237" w:rsidP="007F06E3">
            <w:pPr>
              <w:autoSpaceDE w:val="0"/>
              <w:autoSpaceDN w:val="0"/>
              <w:adjustRightInd w:val="0"/>
              <w:jc w:val="center"/>
              <w:rPr>
                <w:rFonts w:ascii="Arial Narrow" w:hAnsi="Arial Narrow" w:cs="Arial"/>
                <w:sz w:val="20"/>
                <w:szCs w:val="20"/>
              </w:rPr>
            </w:pPr>
            <w:r>
              <w:rPr>
                <w:rFonts w:ascii="Arial Narrow" w:hAnsi="Arial Narrow" w:cs="Arial"/>
                <w:sz w:val="20"/>
                <w:szCs w:val="20"/>
              </w:rPr>
              <w:t>4AROA199.73</w:t>
            </w:r>
          </w:p>
        </w:tc>
        <w:tc>
          <w:tcPr>
            <w:tcW w:w="1824" w:type="dxa"/>
          </w:tcPr>
          <w:p w14:paraId="002274DA" w14:textId="677B20F5" w:rsidR="00B46237" w:rsidRPr="002E3CDE" w:rsidRDefault="00B46237" w:rsidP="007F06E3">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7/26/1999</w:t>
            </w:r>
          </w:p>
        </w:tc>
        <w:tc>
          <w:tcPr>
            <w:tcW w:w="885" w:type="dxa"/>
          </w:tcPr>
          <w:p w14:paraId="10187559" w14:textId="61B773A7" w:rsidR="00B46237" w:rsidRPr="002E3CDE" w:rsidRDefault="00B46237" w:rsidP="007F06E3">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1</w:t>
            </w:r>
          </w:p>
        </w:tc>
        <w:tc>
          <w:tcPr>
            <w:tcW w:w="1355" w:type="dxa"/>
          </w:tcPr>
          <w:p w14:paraId="2210C959" w14:textId="50765532" w:rsidR="00B46237" w:rsidRPr="002E3CDE" w:rsidRDefault="00B46237" w:rsidP="007F06E3">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41.5</w:t>
            </w:r>
          </w:p>
        </w:tc>
        <w:tc>
          <w:tcPr>
            <w:tcW w:w="1355" w:type="dxa"/>
          </w:tcPr>
          <w:p w14:paraId="05A90BEC" w14:textId="7252333E" w:rsidR="00B46237" w:rsidRPr="002E3CDE" w:rsidRDefault="00B46237" w:rsidP="007F06E3">
            <w:pPr>
              <w:autoSpaceDE w:val="0"/>
              <w:autoSpaceDN w:val="0"/>
              <w:adjustRightInd w:val="0"/>
              <w:jc w:val="center"/>
              <w:rPr>
                <w:rFonts w:ascii="Arial Narrow" w:hAnsi="Arial Narrow" w:cs="Arial"/>
                <w:sz w:val="20"/>
                <w:szCs w:val="20"/>
              </w:rPr>
            </w:pPr>
            <w:r>
              <w:rPr>
                <w:rFonts w:ascii="Arial Narrow" w:hAnsi="Arial Narrow" w:cs="Calibri"/>
                <w:color w:val="000000"/>
                <w:sz w:val="20"/>
                <w:szCs w:val="20"/>
              </w:rPr>
              <w:t>41.5</w:t>
            </w:r>
          </w:p>
        </w:tc>
        <w:tc>
          <w:tcPr>
            <w:tcW w:w="1355" w:type="dxa"/>
            <w:shd w:val="clear" w:color="auto" w:fill="auto"/>
          </w:tcPr>
          <w:p w14:paraId="413B0D96" w14:textId="78DA0F76" w:rsidR="00B46237" w:rsidRPr="002E3CDE" w:rsidRDefault="00B46237" w:rsidP="007F06E3">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41.5</w:t>
            </w:r>
          </w:p>
        </w:tc>
      </w:tr>
      <w:tr w:rsidR="00B46237" w:rsidRPr="002E3CDE" w14:paraId="5AADD5F9" w14:textId="77777777" w:rsidTr="00B46237">
        <w:trPr>
          <w:trHeight w:val="290"/>
        </w:trPr>
        <w:tc>
          <w:tcPr>
            <w:tcW w:w="1354" w:type="dxa"/>
            <w:vAlign w:val="bottom"/>
          </w:tcPr>
          <w:p w14:paraId="2B3B16AC" w14:textId="77777777" w:rsidR="00B46237" w:rsidRPr="002E3CDE" w:rsidRDefault="00B46237" w:rsidP="007F06E3">
            <w:pPr>
              <w:autoSpaceDE w:val="0"/>
              <w:autoSpaceDN w:val="0"/>
              <w:adjustRightInd w:val="0"/>
              <w:jc w:val="center"/>
              <w:rPr>
                <w:rFonts w:ascii="Arial Narrow" w:hAnsi="Arial Narrow" w:cs="Arial"/>
                <w:sz w:val="20"/>
                <w:szCs w:val="20"/>
              </w:rPr>
            </w:pPr>
          </w:p>
        </w:tc>
        <w:tc>
          <w:tcPr>
            <w:tcW w:w="1355" w:type="dxa"/>
            <w:vAlign w:val="bottom"/>
          </w:tcPr>
          <w:p w14:paraId="14E18826" w14:textId="4DF27678" w:rsidR="00B46237" w:rsidRDefault="00B46237" w:rsidP="007F06E3">
            <w:pPr>
              <w:autoSpaceDE w:val="0"/>
              <w:autoSpaceDN w:val="0"/>
              <w:adjustRightInd w:val="0"/>
              <w:jc w:val="center"/>
              <w:rPr>
                <w:rFonts w:ascii="Arial Narrow" w:hAnsi="Arial Narrow" w:cs="Arial"/>
                <w:sz w:val="20"/>
                <w:szCs w:val="20"/>
              </w:rPr>
            </w:pPr>
            <w:r>
              <w:rPr>
                <w:rFonts w:ascii="Arial Narrow" w:hAnsi="Arial Narrow" w:cs="Arial"/>
                <w:sz w:val="20"/>
                <w:szCs w:val="20"/>
              </w:rPr>
              <w:t>4AROA199.68</w:t>
            </w:r>
          </w:p>
        </w:tc>
        <w:tc>
          <w:tcPr>
            <w:tcW w:w="1824" w:type="dxa"/>
          </w:tcPr>
          <w:p w14:paraId="2B30CE1B" w14:textId="7D2F8E23" w:rsidR="00B46237" w:rsidRDefault="00B46237" w:rsidP="007F06E3">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7/29/1999</w:t>
            </w:r>
          </w:p>
        </w:tc>
        <w:tc>
          <w:tcPr>
            <w:tcW w:w="885" w:type="dxa"/>
          </w:tcPr>
          <w:p w14:paraId="14726F35" w14:textId="0019B723" w:rsidR="00B46237" w:rsidRDefault="00B46237" w:rsidP="007F06E3">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1</w:t>
            </w:r>
          </w:p>
        </w:tc>
        <w:tc>
          <w:tcPr>
            <w:tcW w:w="1355" w:type="dxa"/>
          </w:tcPr>
          <w:p w14:paraId="0520F03E" w14:textId="01CAF45D" w:rsidR="00B46237" w:rsidRDefault="00B46237" w:rsidP="007F06E3">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94.6</w:t>
            </w:r>
          </w:p>
        </w:tc>
        <w:tc>
          <w:tcPr>
            <w:tcW w:w="1355" w:type="dxa"/>
          </w:tcPr>
          <w:p w14:paraId="5BAD1F89" w14:textId="6EC3BB94" w:rsidR="00B46237" w:rsidRDefault="00B46237" w:rsidP="007F06E3">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94.6</w:t>
            </w:r>
          </w:p>
        </w:tc>
        <w:tc>
          <w:tcPr>
            <w:tcW w:w="1355" w:type="dxa"/>
            <w:shd w:val="clear" w:color="auto" w:fill="auto"/>
          </w:tcPr>
          <w:p w14:paraId="1B9FC0A2" w14:textId="5EC24A43" w:rsidR="00B46237" w:rsidRDefault="00B46237" w:rsidP="007F06E3">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94.6</w:t>
            </w:r>
          </w:p>
        </w:tc>
      </w:tr>
      <w:tr w:rsidR="00B46237" w:rsidRPr="002E3CDE" w14:paraId="39A7E18D" w14:textId="77777777" w:rsidTr="00B46237">
        <w:trPr>
          <w:trHeight w:val="290"/>
        </w:trPr>
        <w:tc>
          <w:tcPr>
            <w:tcW w:w="1354" w:type="dxa"/>
            <w:vAlign w:val="bottom"/>
          </w:tcPr>
          <w:p w14:paraId="72AA2DE0" w14:textId="77777777" w:rsidR="00B46237" w:rsidRPr="002E3CDE" w:rsidRDefault="00B46237" w:rsidP="007F06E3">
            <w:pPr>
              <w:autoSpaceDE w:val="0"/>
              <w:autoSpaceDN w:val="0"/>
              <w:adjustRightInd w:val="0"/>
              <w:jc w:val="center"/>
              <w:rPr>
                <w:rFonts w:ascii="Arial Narrow" w:hAnsi="Arial Narrow" w:cs="Arial"/>
                <w:sz w:val="20"/>
                <w:szCs w:val="20"/>
              </w:rPr>
            </w:pPr>
          </w:p>
        </w:tc>
        <w:tc>
          <w:tcPr>
            <w:tcW w:w="1355" w:type="dxa"/>
            <w:vAlign w:val="bottom"/>
          </w:tcPr>
          <w:p w14:paraId="05AEF093" w14:textId="485482E7" w:rsidR="00B46237" w:rsidRDefault="00B46237" w:rsidP="007F06E3">
            <w:pPr>
              <w:autoSpaceDE w:val="0"/>
              <w:autoSpaceDN w:val="0"/>
              <w:adjustRightInd w:val="0"/>
              <w:jc w:val="center"/>
              <w:rPr>
                <w:rFonts w:ascii="Arial Narrow" w:hAnsi="Arial Narrow" w:cs="Arial"/>
                <w:sz w:val="20"/>
                <w:szCs w:val="20"/>
              </w:rPr>
            </w:pPr>
            <w:r>
              <w:rPr>
                <w:rFonts w:ascii="Arial Narrow" w:hAnsi="Arial Narrow" w:cs="Arial"/>
                <w:sz w:val="20"/>
                <w:szCs w:val="20"/>
              </w:rPr>
              <w:t>4AROA199.60</w:t>
            </w:r>
          </w:p>
        </w:tc>
        <w:tc>
          <w:tcPr>
            <w:tcW w:w="1824" w:type="dxa"/>
          </w:tcPr>
          <w:p w14:paraId="234FF72B" w14:textId="0A3C862F" w:rsidR="00B46237" w:rsidRDefault="00B46237" w:rsidP="007F06E3">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5/29/2002</w:t>
            </w:r>
          </w:p>
        </w:tc>
        <w:tc>
          <w:tcPr>
            <w:tcW w:w="885" w:type="dxa"/>
          </w:tcPr>
          <w:p w14:paraId="57F6EA9A" w14:textId="11C45119" w:rsidR="00B46237" w:rsidRDefault="00B46237" w:rsidP="007F06E3">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1</w:t>
            </w:r>
          </w:p>
        </w:tc>
        <w:tc>
          <w:tcPr>
            <w:tcW w:w="1355" w:type="dxa"/>
          </w:tcPr>
          <w:p w14:paraId="3692FB40" w14:textId="20F21C48" w:rsidR="00B46237" w:rsidRDefault="00B46237" w:rsidP="007F06E3">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133.37</w:t>
            </w:r>
          </w:p>
        </w:tc>
        <w:tc>
          <w:tcPr>
            <w:tcW w:w="1355" w:type="dxa"/>
          </w:tcPr>
          <w:p w14:paraId="3FBD8FE8" w14:textId="192188C4" w:rsidR="00B46237" w:rsidRDefault="00B46237" w:rsidP="007F06E3">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133.37</w:t>
            </w:r>
          </w:p>
        </w:tc>
        <w:tc>
          <w:tcPr>
            <w:tcW w:w="1355" w:type="dxa"/>
            <w:shd w:val="clear" w:color="auto" w:fill="auto"/>
          </w:tcPr>
          <w:p w14:paraId="66467FF6" w14:textId="2F817CFD" w:rsidR="00B46237" w:rsidRDefault="00B46237" w:rsidP="007F06E3">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133.37</w:t>
            </w:r>
          </w:p>
        </w:tc>
      </w:tr>
      <w:tr w:rsidR="00B46237" w:rsidRPr="002E3CDE" w14:paraId="2A42AB23" w14:textId="77777777" w:rsidTr="00B46237">
        <w:trPr>
          <w:trHeight w:val="290"/>
        </w:trPr>
        <w:tc>
          <w:tcPr>
            <w:tcW w:w="1354" w:type="dxa"/>
            <w:vAlign w:val="bottom"/>
          </w:tcPr>
          <w:p w14:paraId="5CD21D91" w14:textId="77777777" w:rsidR="00B46237" w:rsidRPr="002E3CDE" w:rsidRDefault="00B46237" w:rsidP="007F06E3">
            <w:pPr>
              <w:autoSpaceDE w:val="0"/>
              <w:autoSpaceDN w:val="0"/>
              <w:adjustRightInd w:val="0"/>
              <w:jc w:val="center"/>
              <w:rPr>
                <w:rFonts w:ascii="Arial Narrow" w:hAnsi="Arial Narrow" w:cs="Arial"/>
                <w:sz w:val="20"/>
                <w:szCs w:val="20"/>
              </w:rPr>
            </w:pPr>
          </w:p>
        </w:tc>
        <w:tc>
          <w:tcPr>
            <w:tcW w:w="1355" w:type="dxa"/>
            <w:vAlign w:val="bottom"/>
          </w:tcPr>
          <w:p w14:paraId="03C52B02" w14:textId="3556167D" w:rsidR="00B46237" w:rsidRDefault="00B46237" w:rsidP="007F06E3">
            <w:pPr>
              <w:autoSpaceDE w:val="0"/>
              <w:autoSpaceDN w:val="0"/>
              <w:adjustRightInd w:val="0"/>
              <w:jc w:val="center"/>
              <w:rPr>
                <w:rFonts w:ascii="Arial Narrow" w:hAnsi="Arial Narrow" w:cs="Arial"/>
                <w:sz w:val="20"/>
                <w:szCs w:val="20"/>
              </w:rPr>
            </w:pPr>
            <w:r>
              <w:rPr>
                <w:rFonts w:ascii="Arial Narrow" w:hAnsi="Arial Narrow" w:cs="Arial"/>
                <w:sz w:val="20"/>
                <w:szCs w:val="20"/>
              </w:rPr>
              <w:t>4AROA199.20</w:t>
            </w:r>
          </w:p>
        </w:tc>
        <w:tc>
          <w:tcPr>
            <w:tcW w:w="1824" w:type="dxa"/>
          </w:tcPr>
          <w:p w14:paraId="3E0F8B59" w14:textId="51392BF0" w:rsidR="00B46237" w:rsidRDefault="00B46237" w:rsidP="007F06E3">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6/19/1996</w:t>
            </w:r>
          </w:p>
        </w:tc>
        <w:tc>
          <w:tcPr>
            <w:tcW w:w="885" w:type="dxa"/>
          </w:tcPr>
          <w:p w14:paraId="3D8A53AD" w14:textId="4A7D0DB2" w:rsidR="00B46237" w:rsidRDefault="00B46237" w:rsidP="007F06E3">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2</w:t>
            </w:r>
          </w:p>
        </w:tc>
        <w:tc>
          <w:tcPr>
            <w:tcW w:w="1355" w:type="dxa"/>
          </w:tcPr>
          <w:p w14:paraId="7EB8F1E1" w14:textId="739B7080" w:rsidR="00B46237" w:rsidRDefault="00B46237" w:rsidP="007F06E3">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37.23</w:t>
            </w:r>
          </w:p>
        </w:tc>
        <w:tc>
          <w:tcPr>
            <w:tcW w:w="1355" w:type="dxa"/>
          </w:tcPr>
          <w:p w14:paraId="1824435F" w14:textId="14C7087A" w:rsidR="00B46237" w:rsidRDefault="00B46237" w:rsidP="007F06E3">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47.35</w:t>
            </w:r>
          </w:p>
        </w:tc>
        <w:tc>
          <w:tcPr>
            <w:tcW w:w="1355" w:type="dxa"/>
            <w:shd w:val="clear" w:color="auto" w:fill="auto"/>
          </w:tcPr>
          <w:p w14:paraId="42394617" w14:textId="668DDEDB" w:rsidR="00B46237" w:rsidRDefault="00B46237" w:rsidP="007F06E3">
            <w:pPr>
              <w:autoSpaceDE w:val="0"/>
              <w:autoSpaceDN w:val="0"/>
              <w:adjustRightInd w:val="0"/>
              <w:jc w:val="center"/>
              <w:rPr>
                <w:rFonts w:ascii="Arial Narrow" w:hAnsi="Arial Narrow" w:cs="Calibri"/>
                <w:color w:val="000000"/>
                <w:sz w:val="20"/>
                <w:szCs w:val="20"/>
              </w:rPr>
            </w:pPr>
            <w:r>
              <w:rPr>
                <w:rFonts w:ascii="Arial Narrow" w:hAnsi="Arial Narrow" w:cs="Calibri"/>
                <w:color w:val="000000"/>
                <w:sz w:val="20"/>
                <w:szCs w:val="20"/>
              </w:rPr>
              <w:t>42.29</w:t>
            </w:r>
          </w:p>
        </w:tc>
      </w:tr>
    </w:tbl>
    <w:p w14:paraId="00577616" w14:textId="77777777" w:rsidR="00AA5AB7" w:rsidRPr="00867C44" w:rsidRDefault="00AA5AB7" w:rsidP="005E4B50">
      <w:pPr>
        <w:pStyle w:val="BlockText"/>
        <w:spacing w:before="0" w:after="0" w:line="240" w:lineRule="auto"/>
      </w:pPr>
    </w:p>
    <w:p w14:paraId="49E016EB" w14:textId="7BD3E888" w:rsidR="009B4E67" w:rsidRPr="00867C44" w:rsidRDefault="009B4E67" w:rsidP="009B4E67">
      <w:pPr>
        <w:pStyle w:val="Heading3"/>
      </w:pPr>
      <w:bookmarkStart w:id="179" w:name="_Toc121736070"/>
      <w:bookmarkStart w:id="180" w:name="_Toc162948181"/>
      <w:r w:rsidRPr="00867C44">
        <w:t xml:space="preserve">Sediment Toxics </w:t>
      </w:r>
      <w:r w:rsidR="0015660A">
        <w:t>–</w:t>
      </w:r>
      <w:r w:rsidRPr="00867C44">
        <w:t xml:space="preserve"> Pesticides</w:t>
      </w:r>
      <w:bookmarkEnd w:id="179"/>
      <w:r w:rsidR="0015660A">
        <w:t xml:space="preserve"> and Organics</w:t>
      </w:r>
      <w:bookmarkEnd w:id="180"/>
    </w:p>
    <w:p w14:paraId="34DC02A0" w14:textId="6F05326C" w:rsidR="009B4E67" w:rsidRPr="00867C44" w:rsidRDefault="009B4E67" w:rsidP="009B4E67">
      <w:pPr>
        <w:spacing w:before="120" w:after="120" w:line="360" w:lineRule="auto"/>
      </w:pPr>
      <w:r>
        <w:t xml:space="preserve">A total of </w:t>
      </w:r>
      <w:r w:rsidR="00FF768D">
        <w:t>12 differ</w:t>
      </w:r>
      <w:r>
        <w:t xml:space="preserve">ent pesticide compounds were analyzed in the sediments of </w:t>
      </w:r>
      <w:r w:rsidR="00FF768D">
        <w:t>Tinker Creek (4ATKR000.69) and the Roanoke River (4AROA227.42, 212.17, and 202.20). All of the pesticides were below detection at each of these stations. An additional 89</w:t>
      </w:r>
      <w:r>
        <w:t xml:space="preserve"> </w:t>
      </w:r>
      <w:r w:rsidR="00FF768D">
        <w:t xml:space="preserve">organic </w:t>
      </w:r>
      <w:r>
        <w:t>compounds</w:t>
      </w:r>
      <w:r w:rsidR="00FF768D">
        <w:t xml:space="preserve"> were measured in the sediments of the Roanoke River at station 4AROA202.32.</w:t>
      </w:r>
      <w:r w:rsidR="004C736A">
        <w:t xml:space="preserve"> </w:t>
      </w:r>
      <w:r w:rsidR="00FF768D">
        <w:t xml:space="preserve">Of these compounds, 86 were </w:t>
      </w:r>
      <w:r>
        <w:t xml:space="preserve">below detection levels and only </w:t>
      </w:r>
      <w:r w:rsidR="00FF768D">
        <w:t>3</w:t>
      </w:r>
      <w:r>
        <w:t xml:space="preserve"> were detected. </w:t>
      </w:r>
      <w:r w:rsidR="00FF768D">
        <w:t xml:space="preserve">Bis(2-ethylhexyl) phthalate, butyl benzyl phthalate, and di-n-butyl phthalate were </w:t>
      </w:r>
      <w:r w:rsidR="001B50FF">
        <w:t xml:space="preserve">measured above detection limits. </w:t>
      </w:r>
      <w:r w:rsidR="004C736A">
        <w:t xml:space="preserve">These phthalate compounds are in a group of chemicals sometimes referred to as plasticizers. They are used in a variety of products including plastics, lubricating oils, and personal care products. Due to their semi-volatile nature and the global distribution of plastics, they are somewhat ubiquitous in the environment. There is also emerging evidence that these compounds can be produced naturally as secondary metabolites in plants, animals, and microorganisms (Zhang </w:t>
      </w:r>
      <w:r w:rsidR="004C736A" w:rsidRPr="004C736A">
        <w:rPr>
          <w:i/>
        </w:rPr>
        <w:t>et al.</w:t>
      </w:r>
      <w:r w:rsidR="004C736A">
        <w:t>, 2018)</w:t>
      </w:r>
      <w:r w:rsidR="00BB1541">
        <w:t>. These same compounds were also detected in Mason Creek, UT (4AXNB000.60), a remote unimpaired station on the slopes of Fort Lewis Mountain</w:t>
      </w:r>
      <w:r w:rsidR="007807B7">
        <w:t xml:space="preserve"> within </w:t>
      </w:r>
      <w:r w:rsidR="00F709FD">
        <w:t>the Roanoke River watershed</w:t>
      </w:r>
      <w:r w:rsidR="00BB1541">
        <w:t xml:space="preserve">. Detection of these compounds are not likely a stressor to the benthic community.  </w:t>
      </w:r>
      <w:r w:rsidR="004C736A">
        <w:t xml:space="preserve"> </w:t>
      </w:r>
      <w:r>
        <w:t xml:space="preserve"> </w:t>
      </w:r>
    </w:p>
    <w:p w14:paraId="6545AC97" w14:textId="77777777" w:rsidR="003816CC" w:rsidRPr="00207827" w:rsidRDefault="003816CC" w:rsidP="00B91C39">
      <w:pPr>
        <w:pStyle w:val="BlockText"/>
        <w:spacing w:before="0" w:after="0" w:line="240" w:lineRule="auto"/>
        <w:rPr>
          <w:rFonts w:ascii="Arial Narrow" w:hAnsi="Arial Narrow"/>
          <w:sz w:val="20"/>
          <w:szCs w:val="20"/>
        </w:rPr>
      </w:pPr>
    </w:p>
    <w:p w14:paraId="63D0914A" w14:textId="3C3C9258" w:rsidR="00D21ECD" w:rsidRPr="004D732D" w:rsidRDefault="00D21ECD" w:rsidP="009B4E67">
      <w:pPr>
        <w:pStyle w:val="Heading3"/>
      </w:pPr>
      <w:bookmarkStart w:id="181" w:name="_Toc162948182"/>
      <w:r w:rsidRPr="004D732D">
        <w:t>Water Quality Regressions</w:t>
      </w:r>
      <w:bookmarkEnd w:id="181"/>
    </w:p>
    <w:p w14:paraId="673ED957" w14:textId="76BDE8CD" w:rsidR="003E6AD9" w:rsidRDefault="003E6AD9" w:rsidP="003E6AD9">
      <w:pPr>
        <w:widowControl w:val="0"/>
        <w:autoSpaceDE w:val="0"/>
        <w:autoSpaceDN w:val="0"/>
        <w:adjustRightInd w:val="0"/>
        <w:spacing w:before="120" w:after="120" w:line="360" w:lineRule="auto"/>
      </w:pPr>
      <w:r w:rsidRPr="004D732D">
        <w:t xml:space="preserve">To investigate the potential role of various water quality parameters impacting the benthic macroinvertebrate community, SCI scores at </w:t>
      </w:r>
      <w:r w:rsidR="00BF32CE">
        <w:t xml:space="preserve">primary benthic </w:t>
      </w:r>
      <w:r w:rsidR="00D06EC1" w:rsidRPr="004D732D">
        <w:t>station</w:t>
      </w:r>
      <w:r w:rsidR="00406C0F">
        <w:t>s</w:t>
      </w:r>
      <w:r w:rsidRPr="004D732D">
        <w:t xml:space="preserve"> </w:t>
      </w:r>
      <w:r w:rsidR="003669E5">
        <w:t xml:space="preserve">on Wolf Creek, Tinker Creek, and the Roanoke River </w:t>
      </w:r>
      <w:r w:rsidRPr="004D732D">
        <w:t xml:space="preserve">were regressed against water quality parameter values at those sites. </w:t>
      </w:r>
      <w:r w:rsidR="008F14A0" w:rsidRPr="004D732D">
        <w:fldChar w:fldCharType="begin"/>
      </w:r>
      <w:r w:rsidR="008F14A0" w:rsidRPr="004D732D">
        <w:instrText xml:space="preserve"> REF _Ref46135556 \h </w:instrText>
      </w:r>
      <w:r w:rsidR="00867C44" w:rsidRPr="004D732D">
        <w:instrText xml:space="preserve"> \* MERGEFORMAT </w:instrText>
      </w:r>
      <w:r w:rsidR="008F14A0" w:rsidRPr="004D732D">
        <w:fldChar w:fldCharType="separate"/>
      </w:r>
      <w:r w:rsidR="004A78BF" w:rsidRPr="004D732D">
        <w:t xml:space="preserve">Table </w:t>
      </w:r>
      <w:r w:rsidR="004A78BF">
        <w:rPr>
          <w:noProof/>
        </w:rPr>
        <w:t>20</w:t>
      </w:r>
      <w:r w:rsidR="008F14A0" w:rsidRPr="004D732D">
        <w:fldChar w:fldCharType="end"/>
      </w:r>
      <w:r w:rsidR="008F14A0" w:rsidRPr="004D732D">
        <w:t xml:space="preserve"> </w:t>
      </w:r>
      <w:r w:rsidRPr="004D732D">
        <w:t xml:space="preserve">shows the results of these regressions ordered from most significant to least significant. </w:t>
      </w:r>
      <w:r w:rsidR="00660938">
        <w:t xml:space="preserve">No </w:t>
      </w:r>
      <w:r w:rsidRPr="004D732D">
        <w:t>parameter</w:t>
      </w:r>
      <w:r w:rsidR="00497EBD" w:rsidRPr="004D732D">
        <w:t>s</w:t>
      </w:r>
      <w:r w:rsidRPr="004D732D">
        <w:t xml:space="preserve"> exhibited </w:t>
      </w:r>
      <w:r w:rsidR="008F14A0" w:rsidRPr="004D732D">
        <w:t xml:space="preserve">a </w:t>
      </w:r>
      <w:r w:rsidRPr="004D732D">
        <w:t>statistically significant regression</w:t>
      </w:r>
      <w:r w:rsidR="00406C0F">
        <w:t xml:space="preserve"> across sites throughout the project area</w:t>
      </w:r>
      <w:r w:rsidR="00027990">
        <w:t xml:space="preserve">. </w:t>
      </w:r>
    </w:p>
    <w:p w14:paraId="24E9971B" w14:textId="44D42241" w:rsidR="0093755C" w:rsidRPr="004D732D" w:rsidRDefault="0093755C" w:rsidP="0093755C">
      <w:pPr>
        <w:pStyle w:val="Caption"/>
      </w:pPr>
      <w:bookmarkStart w:id="182" w:name="_Ref46135556"/>
      <w:bookmarkStart w:id="183" w:name="_Toc162948287"/>
      <w:r w:rsidRPr="004D732D">
        <w:t xml:space="preserve">Table </w:t>
      </w:r>
      <w:r w:rsidRPr="004D732D">
        <w:rPr>
          <w:noProof/>
        </w:rPr>
        <w:fldChar w:fldCharType="begin"/>
      </w:r>
      <w:r w:rsidRPr="004D732D">
        <w:rPr>
          <w:noProof/>
        </w:rPr>
        <w:instrText xml:space="preserve"> SEQ Table \* ARABIC </w:instrText>
      </w:r>
      <w:r w:rsidRPr="004D732D">
        <w:rPr>
          <w:noProof/>
        </w:rPr>
        <w:fldChar w:fldCharType="separate"/>
      </w:r>
      <w:r w:rsidR="004A78BF">
        <w:rPr>
          <w:noProof/>
        </w:rPr>
        <w:t>20</w:t>
      </w:r>
      <w:r w:rsidRPr="004D732D">
        <w:rPr>
          <w:noProof/>
        </w:rPr>
        <w:fldChar w:fldCharType="end"/>
      </w:r>
      <w:bookmarkEnd w:id="182"/>
      <w:r w:rsidRPr="004D732D">
        <w:t>. Regression relationship between water quality parameters and stream condition index (SCI) scores</w:t>
      </w:r>
      <w:r>
        <w:t xml:space="preserve"> across Roanoke River Project primary benthic stations</w:t>
      </w:r>
      <w:r w:rsidRPr="004D732D">
        <w:t>.</w:t>
      </w:r>
      <w:bookmarkEnd w:id="183"/>
    </w:p>
    <w:tbl>
      <w:tblPr>
        <w:tblW w:w="0" w:type="auto"/>
        <w:tblInd w:w="78" w:type="dxa"/>
        <w:tblLayout w:type="fixed"/>
        <w:tblLook w:val="0000" w:firstRow="0" w:lastRow="0" w:firstColumn="0" w:lastColumn="0" w:noHBand="0" w:noVBand="0"/>
      </w:tblPr>
      <w:tblGrid>
        <w:gridCol w:w="2614"/>
        <w:gridCol w:w="1260"/>
        <w:gridCol w:w="1470"/>
        <w:gridCol w:w="1680"/>
      </w:tblGrid>
      <w:tr w:rsidR="0093755C" w:rsidRPr="004D732D" w14:paraId="2B6FA650" w14:textId="77777777" w:rsidTr="0093755C">
        <w:trPr>
          <w:trHeight w:val="247"/>
        </w:trPr>
        <w:tc>
          <w:tcPr>
            <w:tcW w:w="2614" w:type="dxa"/>
            <w:tcBorders>
              <w:top w:val="single" w:sz="6" w:space="0" w:color="auto"/>
              <w:left w:val="single" w:sz="6" w:space="0" w:color="auto"/>
              <w:bottom w:val="single" w:sz="6" w:space="0" w:color="auto"/>
              <w:right w:val="single" w:sz="6" w:space="0" w:color="auto"/>
            </w:tcBorders>
            <w:shd w:val="clear" w:color="auto" w:fill="E0E0E0"/>
            <w:vAlign w:val="center"/>
          </w:tcPr>
          <w:p w14:paraId="30569E68" w14:textId="77777777" w:rsidR="0093755C" w:rsidRPr="004D732D" w:rsidRDefault="0093755C" w:rsidP="0093755C">
            <w:pPr>
              <w:rPr>
                <w:rFonts w:ascii="Arial Narrow" w:hAnsi="Arial Narrow"/>
                <w:b/>
                <w:sz w:val="20"/>
                <w:szCs w:val="20"/>
              </w:rPr>
            </w:pPr>
            <w:r w:rsidRPr="004D732D">
              <w:rPr>
                <w:rFonts w:ascii="Arial Narrow" w:hAnsi="Arial Narrow"/>
                <w:b/>
                <w:sz w:val="20"/>
                <w:szCs w:val="20"/>
              </w:rPr>
              <w:t>Parameter</w:t>
            </w:r>
          </w:p>
        </w:tc>
        <w:tc>
          <w:tcPr>
            <w:tcW w:w="1260" w:type="dxa"/>
            <w:tcBorders>
              <w:top w:val="single" w:sz="6" w:space="0" w:color="auto"/>
              <w:left w:val="single" w:sz="6" w:space="0" w:color="auto"/>
              <w:bottom w:val="single" w:sz="6" w:space="0" w:color="auto"/>
              <w:right w:val="single" w:sz="6" w:space="0" w:color="auto"/>
            </w:tcBorders>
            <w:shd w:val="clear" w:color="auto" w:fill="E0E0E0"/>
            <w:vAlign w:val="center"/>
          </w:tcPr>
          <w:p w14:paraId="0607CD15" w14:textId="77777777" w:rsidR="0093755C" w:rsidRPr="004D732D" w:rsidRDefault="0093755C" w:rsidP="0093755C">
            <w:pPr>
              <w:jc w:val="center"/>
              <w:rPr>
                <w:rFonts w:ascii="Arial Narrow" w:hAnsi="Arial Narrow"/>
                <w:b/>
                <w:sz w:val="20"/>
                <w:szCs w:val="20"/>
              </w:rPr>
            </w:pPr>
            <w:r w:rsidRPr="004D732D">
              <w:rPr>
                <w:rFonts w:ascii="Arial Narrow" w:hAnsi="Arial Narrow"/>
                <w:b/>
                <w:sz w:val="20"/>
                <w:szCs w:val="20"/>
              </w:rPr>
              <w:t xml:space="preserve">Regression Significant </w:t>
            </w:r>
          </w:p>
          <w:p w14:paraId="7453552D" w14:textId="77777777" w:rsidR="0093755C" w:rsidRPr="004D732D" w:rsidRDefault="0093755C" w:rsidP="0093755C">
            <w:pPr>
              <w:jc w:val="center"/>
              <w:rPr>
                <w:rFonts w:ascii="Arial Narrow" w:hAnsi="Arial Narrow"/>
                <w:b/>
                <w:sz w:val="20"/>
                <w:szCs w:val="20"/>
              </w:rPr>
            </w:pPr>
            <w:r w:rsidRPr="004D732D">
              <w:rPr>
                <w:rFonts w:ascii="Arial Narrow" w:hAnsi="Arial Narrow"/>
                <w:b/>
                <w:sz w:val="20"/>
                <w:szCs w:val="20"/>
              </w:rPr>
              <w:t>(Y/N)</w:t>
            </w:r>
          </w:p>
        </w:tc>
        <w:tc>
          <w:tcPr>
            <w:tcW w:w="1470" w:type="dxa"/>
            <w:tcBorders>
              <w:top w:val="single" w:sz="6" w:space="0" w:color="auto"/>
              <w:left w:val="single" w:sz="6" w:space="0" w:color="auto"/>
              <w:bottom w:val="single" w:sz="6" w:space="0" w:color="auto"/>
              <w:right w:val="single" w:sz="6" w:space="0" w:color="auto"/>
            </w:tcBorders>
            <w:shd w:val="clear" w:color="auto" w:fill="E0E0E0"/>
            <w:vAlign w:val="center"/>
          </w:tcPr>
          <w:p w14:paraId="3BF7822E" w14:textId="77777777" w:rsidR="0093755C" w:rsidRPr="004D732D" w:rsidRDefault="0093755C" w:rsidP="0093755C">
            <w:pPr>
              <w:jc w:val="center"/>
              <w:rPr>
                <w:rFonts w:ascii="Arial Narrow" w:hAnsi="Arial Narrow"/>
                <w:b/>
                <w:sz w:val="20"/>
                <w:szCs w:val="20"/>
              </w:rPr>
            </w:pPr>
            <w:r w:rsidRPr="004D732D">
              <w:rPr>
                <w:rFonts w:ascii="Arial Narrow" w:hAnsi="Arial Narrow"/>
                <w:b/>
                <w:sz w:val="20"/>
                <w:szCs w:val="20"/>
              </w:rPr>
              <w:t>r</w:t>
            </w:r>
            <w:r w:rsidRPr="004D732D">
              <w:rPr>
                <w:rFonts w:ascii="Arial Narrow" w:hAnsi="Arial Narrow"/>
                <w:b/>
                <w:sz w:val="20"/>
                <w:szCs w:val="20"/>
                <w:vertAlign w:val="superscript"/>
              </w:rPr>
              <w:t>2</w:t>
            </w:r>
          </w:p>
        </w:tc>
        <w:tc>
          <w:tcPr>
            <w:tcW w:w="1680" w:type="dxa"/>
            <w:tcBorders>
              <w:top w:val="single" w:sz="6" w:space="0" w:color="auto"/>
              <w:left w:val="single" w:sz="6" w:space="0" w:color="auto"/>
              <w:bottom w:val="single" w:sz="6" w:space="0" w:color="auto"/>
              <w:right w:val="single" w:sz="6" w:space="0" w:color="auto"/>
            </w:tcBorders>
            <w:shd w:val="clear" w:color="auto" w:fill="E0E0E0"/>
            <w:vAlign w:val="center"/>
          </w:tcPr>
          <w:p w14:paraId="2149E8AB" w14:textId="77777777" w:rsidR="0093755C" w:rsidRPr="004D732D" w:rsidRDefault="0093755C" w:rsidP="0093755C">
            <w:pPr>
              <w:jc w:val="center"/>
              <w:rPr>
                <w:rFonts w:ascii="Arial Narrow" w:hAnsi="Arial Narrow"/>
                <w:b/>
                <w:sz w:val="20"/>
                <w:szCs w:val="20"/>
              </w:rPr>
            </w:pPr>
            <w:r w:rsidRPr="004D732D">
              <w:rPr>
                <w:rFonts w:ascii="Arial Narrow" w:hAnsi="Arial Narrow"/>
                <w:b/>
                <w:sz w:val="20"/>
                <w:szCs w:val="20"/>
              </w:rPr>
              <w:t>p-value</w:t>
            </w:r>
          </w:p>
        </w:tc>
      </w:tr>
      <w:tr w:rsidR="0093755C" w:rsidRPr="004D732D" w14:paraId="1610BD46" w14:textId="77777777" w:rsidTr="0093755C">
        <w:trPr>
          <w:trHeight w:val="247"/>
        </w:trPr>
        <w:tc>
          <w:tcPr>
            <w:tcW w:w="2614" w:type="dxa"/>
            <w:tcBorders>
              <w:top w:val="single" w:sz="6" w:space="0" w:color="auto"/>
              <w:left w:val="single" w:sz="6" w:space="0" w:color="auto"/>
              <w:bottom w:val="single" w:sz="6" w:space="0" w:color="auto"/>
              <w:right w:val="single" w:sz="6" w:space="0" w:color="auto"/>
            </w:tcBorders>
            <w:vAlign w:val="bottom"/>
          </w:tcPr>
          <w:p w14:paraId="754C1BC2" w14:textId="77777777" w:rsidR="0093755C" w:rsidRPr="00656B40" w:rsidRDefault="0093755C" w:rsidP="0093755C">
            <w:pPr>
              <w:rPr>
                <w:rFonts w:ascii="Arial Narrow" w:hAnsi="Arial Narrow"/>
                <w:sz w:val="20"/>
                <w:szCs w:val="20"/>
              </w:rPr>
            </w:pPr>
            <w:r w:rsidRPr="00656B40">
              <w:rPr>
                <w:rFonts w:ascii="Arial Narrow" w:hAnsi="Arial Narrow" w:cs="Arial"/>
                <w:color w:val="000000"/>
                <w:sz w:val="20"/>
                <w:szCs w:val="20"/>
              </w:rPr>
              <w:t>DOC</w:t>
            </w:r>
          </w:p>
        </w:tc>
        <w:tc>
          <w:tcPr>
            <w:tcW w:w="1260" w:type="dxa"/>
            <w:tcBorders>
              <w:top w:val="single" w:sz="6" w:space="0" w:color="auto"/>
              <w:left w:val="single" w:sz="6" w:space="0" w:color="auto"/>
              <w:bottom w:val="single" w:sz="6" w:space="0" w:color="auto"/>
              <w:right w:val="single" w:sz="6" w:space="0" w:color="auto"/>
            </w:tcBorders>
            <w:vAlign w:val="bottom"/>
          </w:tcPr>
          <w:p w14:paraId="03D1D35F" w14:textId="77777777" w:rsidR="0093755C" w:rsidRPr="00656B40" w:rsidRDefault="0093755C" w:rsidP="0093755C">
            <w:pPr>
              <w:jc w:val="center"/>
              <w:rPr>
                <w:rFonts w:ascii="Arial Narrow" w:hAnsi="Arial Narrow"/>
                <w:sz w:val="20"/>
                <w:szCs w:val="20"/>
              </w:rPr>
            </w:pPr>
            <w:r w:rsidRPr="00656B40">
              <w:rPr>
                <w:rFonts w:ascii="Arial Narrow" w:hAnsi="Arial Narrow" w:cs="Arial"/>
                <w:color w:val="000000"/>
                <w:sz w:val="20"/>
                <w:szCs w:val="20"/>
              </w:rPr>
              <w:t>N</w:t>
            </w:r>
          </w:p>
        </w:tc>
        <w:tc>
          <w:tcPr>
            <w:tcW w:w="1470" w:type="dxa"/>
            <w:tcBorders>
              <w:top w:val="single" w:sz="6" w:space="0" w:color="auto"/>
              <w:left w:val="single" w:sz="6" w:space="0" w:color="auto"/>
              <w:bottom w:val="single" w:sz="6" w:space="0" w:color="auto"/>
              <w:right w:val="single" w:sz="6" w:space="0" w:color="auto"/>
            </w:tcBorders>
            <w:vAlign w:val="bottom"/>
          </w:tcPr>
          <w:p w14:paraId="23A69A96" w14:textId="77777777" w:rsidR="0093755C" w:rsidRPr="00656B40" w:rsidRDefault="0093755C" w:rsidP="0093755C">
            <w:pPr>
              <w:jc w:val="center"/>
              <w:rPr>
                <w:rFonts w:ascii="Arial Narrow" w:hAnsi="Arial Narrow"/>
                <w:sz w:val="20"/>
                <w:szCs w:val="20"/>
              </w:rPr>
            </w:pPr>
            <w:r w:rsidRPr="00656B40">
              <w:rPr>
                <w:rFonts w:ascii="Arial Narrow" w:hAnsi="Arial Narrow" w:cs="Arial"/>
                <w:color w:val="000000"/>
                <w:sz w:val="20"/>
                <w:szCs w:val="20"/>
              </w:rPr>
              <w:t>0.59</w:t>
            </w:r>
          </w:p>
        </w:tc>
        <w:tc>
          <w:tcPr>
            <w:tcW w:w="1680" w:type="dxa"/>
            <w:tcBorders>
              <w:top w:val="single" w:sz="6" w:space="0" w:color="auto"/>
              <w:left w:val="single" w:sz="6" w:space="0" w:color="auto"/>
              <w:bottom w:val="single" w:sz="6" w:space="0" w:color="auto"/>
              <w:right w:val="single" w:sz="6" w:space="0" w:color="auto"/>
            </w:tcBorders>
            <w:vAlign w:val="bottom"/>
          </w:tcPr>
          <w:p w14:paraId="49853360" w14:textId="77777777" w:rsidR="0093755C" w:rsidRPr="00656B40" w:rsidRDefault="0093755C" w:rsidP="0093755C">
            <w:pPr>
              <w:jc w:val="center"/>
              <w:rPr>
                <w:rFonts w:ascii="Arial Narrow" w:hAnsi="Arial Narrow"/>
                <w:sz w:val="20"/>
                <w:szCs w:val="20"/>
              </w:rPr>
            </w:pPr>
            <w:r w:rsidRPr="00656B40">
              <w:rPr>
                <w:rFonts w:ascii="Arial Narrow" w:hAnsi="Arial Narrow" w:cs="Arial"/>
                <w:color w:val="000000"/>
                <w:sz w:val="20"/>
                <w:szCs w:val="20"/>
              </w:rPr>
              <w:t>0.13</w:t>
            </w:r>
          </w:p>
        </w:tc>
      </w:tr>
      <w:tr w:rsidR="0093755C" w:rsidRPr="004D732D" w14:paraId="45A30F78" w14:textId="77777777" w:rsidTr="0093755C">
        <w:trPr>
          <w:trHeight w:val="247"/>
        </w:trPr>
        <w:tc>
          <w:tcPr>
            <w:tcW w:w="2614" w:type="dxa"/>
            <w:tcBorders>
              <w:top w:val="single" w:sz="6" w:space="0" w:color="auto"/>
              <w:left w:val="single" w:sz="6" w:space="0" w:color="auto"/>
              <w:bottom w:val="single" w:sz="6" w:space="0" w:color="auto"/>
              <w:right w:val="single" w:sz="6" w:space="0" w:color="auto"/>
            </w:tcBorders>
            <w:vAlign w:val="bottom"/>
          </w:tcPr>
          <w:p w14:paraId="1B39E047" w14:textId="77777777" w:rsidR="0093755C" w:rsidRPr="00656B40" w:rsidRDefault="0093755C" w:rsidP="0093755C">
            <w:pPr>
              <w:rPr>
                <w:rFonts w:ascii="Arial Narrow" w:hAnsi="Arial Narrow"/>
                <w:sz w:val="20"/>
                <w:szCs w:val="20"/>
              </w:rPr>
            </w:pPr>
            <w:r w:rsidRPr="00656B40">
              <w:rPr>
                <w:rFonts w:ascii="Arial Narrow" w:hAnsi="Arial Narrow" w:cs="Arial"/>
                <w:color w:val="000000"/>
                <w:sz w:val="20"/>
                <w:szCs w:val="20"/>
              </w:rPr>
              <w:t>DO</w:t>
            </w:r>
          </w:p>
        </w:tc>
        <w:tc>
          <w:tcPr>
            <w:tcW w:w="1260" w:type="dxa"/>
            <w:tcBorders>
              <w:top w:val="single" w:sz="6" w:space="0" w:color="auto"/>
              <w:left w:val="single" w:sz="6" w:space="0" w:color="auto"/>
              <w:bottom w:val="single" w:sz="6" w:space="0" w:color="auto"/>
              <w:right w:val="single" w:sz="6" w:space="0" w:color="auto"/>
            </w:tcBorders>
            <w:vAlign w:val="bottom"/>
          </w:tcPr>
          <w:p w14:paraId="165DBFF7" w14:textId="77777777" w:rsidR="0093755C" w:rsidRPr="00656B40" w:rsidRDefault="0093755C" w:rsidP="0093755C">
            <w:pPr>
              <w:jc w:val="center"/>
              <w:rPr>
                <w:rFonts w:ascii="Arial Narrow" w:hAnsi="Arial Narrow"/>
                <w:sz w:val="20"/>
                <w:szCs w:val="20"/>
              </w:rPr>
            </w:pPr>
            <w:r w:rsidRPr="00656B40">
              <w:rPr>
                <w:rFonts w:ascii="Arial Narrow" w:hAnsi="Arial Narrow" w:cs="Arial"/>
                <w:color w:val="000000"/>
                <w:sz w:val="20"/>
                <w:szCs w:val="20"/>
              </w:rPr>
              <w:t>N</w:t>
            </w:r>
          </w:p>
        </w:tc>
        <w:tc>
          <w:tcPr>
            <w:tcW w:w="1470" w:type="dxa"/>
            <w:tcBorders>
              <w:top w:val="single" w:sz="6" w:space="0" w:color="auto"/>
              <w:left w:val="single" w:sz="6" w:space="0" w:color="auto"/>
              <w:bottom w:val="single" w:sz="6" w:space="0" w:color="auto"/>
              <w:right w:val="single" w:sz="6" w:space="0" w:color="auto"/>
            </w:tcBorders>
            <w:vAlign w:val="bottom"/>
          </w:tcPr>
          <w:p w14:paraId="259A14BD" w14:textId="77777777" w:rsidR="0093755C" w:rsidRPr="00656B40" w:rsidRDefault="0093755C" w:rsidP="0093755C">
            <w:pPr>
              <w:jc w:val="center"/>
              <w:rPr>
                <w:rFonts w:ascii="Arial Narrow" w:hAnsi="Arial Narrow"/>
                <w:sz w:val="20"/>
                <w:szCs w:val="20"/>
              </w:rPr>
            </w:pPr>
            <w:r w:rsidRPr="00656B40">
              <w:rPr>
                <w:rFonts w:ascii="Arial Narrow" w:hAnsi="Arial Narrow" w:cs="Arial"/>
                <w:color w:val="000000"/>
                <w:sz w:val="20"/>
                <w:szCs w:val="20"/>
              </w:rPr>
              <w:t>0.36</w:t>
            </w:r>
          </w:p>
        </w:tc>
        <w:tc>
          <w:tcPr>
            <w:tcW w:w="1680" w:type="dxa"/>
            <w:tcBorders>
              <w:top w:val="single" w:sz="6" w:space="0" w:color="auto"/>
              <w:left w:val="single" w:sz="6" w:space="0" w:color="auto"/>
              <w:bottom w:val="single" w:sz="6" w:space="0" w:color="auto"/>
              <w:right w:val="single" w:sz="6" w:space="0" w:color="auto"/>
            </w:tcBorders>
            <w:vAlign w:val="bottom"/>
          </w:tcPr>
          <w:p w14:paraId="231A5E5E" w14:textId="77777777" w:rsidR="0093755C" w:rsidRPr="00656B40" w:rsidRDefault="0093755C" w:rsidP="0093755C">
            <w:pPr>
              <w:jc w:val="center"/>
              <w:rPr>
                <w:rFonts w:ascii="Arial Narrow" w:hAnsi="Arial Narrow"/>
                <w:sz w:val="20"/>
                <w:szCs w:val="20"/>
              </w:rPr>
            </w:pPr>
            <w:r w:rsidRPr="00656B40">
              <w:rPr>
                <w:rFonts w:ascii="Arial Narrow" w:hAnsi="Arial Narrow" w:cs="Arial"/>
                <w:color w:val="000000"/>
                <w:sz w:val="20"/>
                <w:szCs w:val="20"/>
              </w:rPr>
              <w:t>0.21</w:t>
            </w:r>
          </w:p>
        </w:tc>
      </w:tr>
      <w:tr w:rsidR="0093755C" w:rsidRPr="004D732D" w14:paraId="2DB25F5E" w14:textId="77777777" w:rsidTr="0093755C">
        <w:trPr>
          <w:trHeight w:val="247"/>
        </w:trPr>
        <w:tc>
          <w:tcPr>
            <w:tcW w:w="2614" w:type="dxa"/>
            <w:tcBorders>
              <w:top w:val="single" w:sz="6" w:space="0" w:color="auto"/>
              <w:left w:val="single" w:sz="6" w:space="0" w:color="auto"/>
              <w:bottom w:val="single" w:sz="6" w:space="0" w:color="auto"/>
              <w:right w:val="single" w:sz="6" w:space="0" w:color="auto"/>
            </w:tcBorders>
            <w:vAlign w:val="bottom"/>
          </w:tcPr>
          <w:p w14:paraId="1B9547D6" w14:textId="77777777" w:rsidR="0093755C" w:rsidRPr="00656B40" w:rsidRDefault="0093755C" w:rsidP="0093755C">
            <w:pPr>
              <w:rPr>
                <w:rFonts w:ascii="Arial Narrow" w:hAnsi="Arial Narrow" w:cs="Calibri"/>
                <w:color w:val="000000"/>
                <w:sz w:val="20"/>
                <w:szCs w:val="20"/>
              </w:rPr>
            </w:pPr>
            <w:r w:rsidRPr="00656B40">
              <w:rPr>
                <w:rFonts w:ascii="Arial Narrow" w:hAnsi="Arial Narrow" w:cs="Arial"/>
                <w:color w:val="000000"/>
                <w:sz w:val="20"/>
                <w:szCs w:val="20"/>
              </w:rPr>
              <w:t>Sodium</w:t>
            </w:r>
          </w:p>
        </w:tc>
        <w:tc>
          <w:tcPr>
            <w:tcW w:w="1260" w:type="dxa"/>
            <w:tcBorders>
              <w:top w:val="single" w:sz="6" w:space="0" w:color="auto"/>
              <w:left w:val="single" w:sz="6" w:space="0" w:color="auto"/>
              <w:bottom w:val="single" w:sz="6" w:space="0" w:color="auto"/>
              <w:right w:val="single" w:sz="6" w:space="0" w:color="auto"/>
            </w:tcBorders>
            <w:vAlign w:val="bottom"/>
          </w:tcPr>
          <w:p w14:paraId="48F19D08" w14:textId="77777777" w:rsidR="0093755C" w:rsidRPr="00656B40" w:rsidRDefault="0093755C" w:rsidP="0093755C">
            <w:pPr>
              <w:jc w:val="center"/>
              <w:rPr>
                <w:rFonts w:ascii="Arial Narrow" w:hAnsi="Arial Narrow" w:cs="Calibri"/>
                <w:color w:val="000000"/>
                <w:sz w:val="20"/>
                <w:szCs w:val="20"/>
              </w:rPr>
            </w:pPr>
            <w:r w:rsidRPr="00656B40">
              <w:rPr>
                <w:rFonts w:ascii="Arial Narrow" w:hAnsi="Arial Narrow" w:cs="Arial"/>
                <w:color w:val="000000"/>
                <w:sz w:val="20"/>
                <w:szCs w:val="20"/>
              </w:rPr>
              <w:t>N</w:t>
            </w:r>
          </w:p>
        </w:tc>
        <w:tc>
          <w:tcPr>
            <w:tcW w:w="1470" w:type="dxa"/>
            <w:tcBorders>
              <w:top w:val="single" w:sz="6" w:space="0" w:color="auto"/>
              <w:left w:val="single" w:sz="6" w:space="0" w:color="auto"/>
              <w:bottom w:val="single" w:sz="6" w:space="0" w:color="auto"/>
              <w:right w:val="single" w:sz="6" w:space="0" w:color="auto"/>
            </w:tcBorders>
            <w:vAlign w:val="bottom"/>
          </w:tcPr>
          <w:p w14:paraId="78220FE6" w14:textId="77777777" w:rsidR="0093755C" w:rsidRPr="00656B40" w:rsidRDefault="0093755C" w:rsidP="0093755C">
            <w:pPr>
              <w:jc w:val="center"/>
              <w:rPr>
                <w:rFonts w:ascii="Arial Narrow" w:hAnsi="Arial Narrow" w:cs="Calibri"/>
                <w:color w:val="000000"/>
                <w:sz w:val="20"/>
                <w:szCs w:val="20"/>
              </w:rPr>
            </w:pPr>
            <w:r w:rsidRPr="00656B40">
              <w:rPr>
                <w:rFonts w:ascii="Arial Narrow" w:hAnsi="Arial Narrow" w:cs="Arial"/>
                <w:color w:val="000000"/>
                <w:sz w:val="20"/>
                <w:szCs w:val="20"/>
              </w:rPr>
              <w:t>0.32</w:t>
            </w:r>
          </w:p>
        </w:tc>
        <w:tc>
          <w:tcPr>
            <w:tcW w:w="1680" w:type="dxa"/>
            <w:tcBorders>
              <w:top w:val="single" w:sz="6" w:space="0" w:color="auto"/>
              <w:left w:val="single" w:sz="6" w:space="0" w:color="auto"/>
              <w:bottom w:val="single" w:sz="6" w:space="0" w:color="auto"/>
              <w:right w:val="single" w:sz="6" w:space="0" w:color="auto"/>
            </w:tcBorders>
            <w:vAlign w:val="bottom"/>
          </w:tcPr>
          <w:p w14:paraId="4DC8DC25" w14:textId="77777777" w:rsidR="0093755C" w:rsidRPr="00656B40" w:rsidRDefault="0093755C" w:rsidP="0093755C">
            <w:pPr>
              <w:jc w:val="center"/>
              <w:rPr>
                <w:rFonts w:ascii="Arial Narrow" w:hAnsi="Arial Narrow" w:cs="Calibri"/>
                <w:color w:val="000000"/>
                <w:sz w:val="20"/>
                <w:szCs w:val="20"/>
              </w:rPr>
            </w:pPr>
            <w:r w:rsidRPr="00656B40">
              <w:rPr>
                <w:rFonts w:ascii="Arial Narrow" w:hAnsi="Arial Narrow" w:cs="Arial"/>
                <w:color w:val="000000"/>
                <w:sz w:val="20"/>
                <w:szCs w:val="20"/>
              </w:rPr>
              <w:t>0.24</w:t>
            </w:r>
          </w:p>
        </w:tc>
      </w:tr>
      <w:tr w:rsidR="0093755C" w:rsidRPr="004D732D" w14:paraId="512B3712" w14:textId="77777777" w:rsidTr="0093755C">
        <w:trPr>
          <w:trHeight w:val="247"/>
        </w:trPr>
        <w:tc>
          <w:tcPr>
            <w:tcW w:w="2614" w:type="dxa"/>
            <w:tcBorders>
              <w:top w:val="single" w:sz="6" w:space="0" w:color="auto"/>
              <w:left w:val="single" w:sz="6" w:space="0" w:color="auto"/>
              <w:bottom w:val="single" w:sz="6" w:space="0" w:color="auto"/>
              <w:right w:val="single" w:sz="6" w:space="0" w:color="auto"/>
            </w:tcBorders>
            <w:vAlign w:val="bottom"/>
          </w:tcPr>
          <w:p w14:paraId="2F017084" w14:textId="77777777" w:rsidR="0093755C" w:rsidRPr="00656B40" w:rsidRDefault="0093755C" w:rsidP="0093755C">
            <w:pPr>
              <w:rPr>
                <w:rFonts w:ascii="Arial Narrow" w:hAnsi="Arial Narrow"/>
                <w:sz w:val="20"/>
                <w:szCs w:val="20"/>
              </w:rPr>
            </w:pPr>
            <w:r w:rsidRPr="00656B40">
              <w:rPr>
                <w:rFonts w:ascii="Arial Narrow" w:hAnsi="Arial Narrow" w:cs="Arial"/>
                <w:color w:val="000000"/>
                <w:sz w:val="20"/>
                <w:szCs w:val="20"/>
              </w:rPr>
              <w:t>pH</w:t>
            </w:r>
          </w:p>
        </w:tc>
        <w:tc>
          <w:tcPr>
            <w:tcW w:w="1260" w:type="dxa"/>
            <w:tcBorders>
              <w:top w:val="single" w:sz="6" w:space="0" w:color="auto"/>
              <w:left w:val="single" w:sz="6" w:space="0" w:color="auto"/>
              <w:bottom w:val="single" w:sz="6" w:space="0" w:color="auto"/>
              <w:right w:val="single" w:sz="6" w:space="0" w:color="auto"/>
            </w:tcBorders>
            <w:vAlign w:val="bottom"/>
          </w:tcPr>
          <w:p w14:paraId="654649D9" w14:textId="77777777" w:rsidR="0093755C" w:rsidRPr="00656B40" w:rsidRDefault="0093755C" w:rsidP="0093755C">
            <w:pPr>
              <w:jc w:val="center"/>
              <w:rPr>
                <w:rFonts w:ascii="Arial Narrow" w:hAnsi="Arial Narrow"/>
                <w:sz w:val="20"/>
                <w:szCs w:val="20"/>
              </w:rPr>
            </w:pPr>
            <w:r w:rsidRPr="00656B40">
              <w:rPr>
                <w:rFonts w:ascii="Arial Narrow" w:hAnsi="Arial Narrow" w:cs="Arial"/>
                <w:color w:val="000000"/>
                <w:sz w:val="20"/>
                <w:szCs w:val="20"/>
              </w:rPr>
              <w:t>N</w:t>
            </w:r>
          </w:p>
        </w:tc>
        <w:tc>
          <w:tcPr>
            <w:tcW w:w="1470" w:type="dxa"/>
            <w:tcBorders>
              <w:top w:val="single" w:sz="6" w:space="0" w:color="auto"/>
              <w:left w:val="single" w:sz="6" w:space="0" w:color="auto"/>
              <w:bottom w:val="single" w:sz="6" w:space="0" w:color="auto"/>
              <w:right w:val="single" w:sz="6" w:space="0" w:color="auto"/>
            </w:tcBorders>
            <w:vAlign w:val="bottom"/>
          </w:tcPr>
          <w:p w14:paraId="548BF820" w14:textId="77777777" w:rsidR="0093755C" w:rsidRPr="00656B40" w:rsidRDefault="0093755C" w:rsidP="0093755C">
            <w:pPr>
              <w:jc w:val="center"/>
              <w:rPr>
                <w:rFonts w:ascii="Arial Narrow" w:hAnsi="Arial Narrow"/>
                <w:sz w:val="20"/>
                <w:szCs w:val="20"/>
              </w:rPr>
            </w:pPr>
            <w:r w:rsidRPr="00656B40">
              <w:rPr>
                <w:rFonts w:ascii="Arial Narrow" w:hAnsi="Arial Narrow" w:cs="Arial"/>
                <w:color w:val="000000"/>
                <w:sz w:val="20"/>
                <w:szCs w:val="20"/>
              </w:rPr>
              <w:t>0.23</w:t>
            </w:r>
          </w:p>
        </w:tc>
        <w:tc>
          <w:tcPr>
            <w:tcW w:w="1680" w:type="dxa"/>
            <w:tcBorders>
              <w:top w:val="single" w:sz="6" w:space="0" w:color="auto"/>
              <w:left w:val="single" w:sz="6" w:space="0" w:color="auto"/>
              <w:bottom w:val="single" w:sz="6" w:space="0" w:color="auto"/>
              <w:right w:val="single" w:sz="6" w:space="0" w:color="auto"/>
            </w:tcBorders>
            <w:vAlign w:val="bottom"/>
          </w:tcPr>
          <w:p w14:paraId="18BACBDA" w14:textId="77777777" w:rsidR="0093755C" w:rsidRPr="00656B40" w:rsidRDefault="0093755C" w:rsidP="0093755C">
            <w:pPr>
              <w:jc w:val="center"/>
              <w:rPr>
                <w:rFonts w:ascii="Arial Narrow" w:hAnsi="Arial Narrow"/>
                <w:sz w:val="20"/>
                <w:szCs w:val="20"/>
              </w:rPr>
            </w:pPr>
            <w:r w:rsidRPr="00656B40">
              <w:rPr>
                <w:rFonts w:ascii="Arial Narrow" w:hAnsi="Arial Narrow" w:cs="Arial"/>
                <w:color w:val="000000"/>
                <w:sz w:val="20"/>
                <w:szCs w:val="20"/>
              </w:rPr>
              <w:t>0.34</w:t>
            </w:r>
          </w:p>
        </w:tc>
      </w:tr>
      <w:tr w:rsidR="0093755C" w:rsidRPr="004D732D" w14:paraId="65D5CEE4" w14:textId="77777777" w:rsidTr="0093755C">
        <w:trPr>
          <w:trHeight w:val="247"/>
        </w:trPr>
        <w:tc>
          <w:tcPr>
            <w:tcW w:w="2614" w:type="dxa"/>
            <w:tcBorders>
              <w:top w:val="single" w:sz="6" w:space="0" w:color="auto"/>
              <w:left w:val="single" w:sz="6" w:space="0" w:color="auto"/>
              <w:bottom w:val="single" w:sz="6" w:space="0" w:color="auto"/>
              <w:right w:val="single" w:sz="6" w:space="0" w:color="auto"/>
            </w:tcBorders>
            <w:vAlign w:val="bottom"/>
          </w:tcPr>
          <w:p w14:paraId="01EC9552" w14:textId="77777777" w:rsidR="0093755C" w:rsidRPr="00656B40" w:rsidRDefault="0093755C" w:rsidP="0093755C">
            <w:pPr>
              <w:rPr>
                <w:rFonts w:ascii="Arial Narrow" w:hAnsi="Arial Narrow"/>
                <w:sz w:val="20"/>
                <w:szCs w:val="20"/>
              </w:rPr>
            </w:pPr>
            <w:r w:rsidRPr="00656B40">
              <w:rPr>
                <w:rFonts w:ascii="Arial Narrow" w:hAnsi="Arial Narrow" w:cs="Arial"/>
                <w:color w:val="000000"/>
                <w:sz w:val="20"/>
                <w:szCs w:val="20"/>
              </w:rPr>
              <w:t>Temp</w:t>
            </w:r>
          </w:p>
        </w:tc>
        <w:tc>
          <w:tcPr>
            <w:tcW w:w="1260" w:type="dxa"/>
            <w:tcBorders>
              <w:top w:val="single" w:sz="6" w:space="0" w:color="auto"/>
              <w:left w:val="single" w:sz="6" w:space="0" w:color="auto"/>
              <w:bottom w:val="single" w:sz="6" w:space="0" w:color="auto"/>
              <w:right w:val="single" w:sz="6" w:space="0" w:color="auto"/>
            </w:tcBorders>
            <w:vAlign w:val="bottom"/>
          </w:tcPr>
          <w:p w14:paraId="6C290DDA" w14:textId="77777777" w:rsidR="0093755C" w:rsidRPr="00656B40" w:rsidRDefault="0093755C" w:rsidP="0093755C">
            <w:pPr>
              <w:jc w:val="center"/>
              <w:rPr>
                <w:rFonts w:ascii="Arial Narrow" w:hAnsi="Arial Narrow"/>
                <w:sz w:val="20"/>
                <w:szCs w:val="20"/>
              </w:rPr>
            </w:pPr>
            <w:r w:rsidRPr="00656B40">
              <w:rPr>
                <w:rFonts w:ascii="Arial Narrow" w:hAnsi="Arial Narrow" w:cs="Arial"/>
                <w:color w:val="000000"/>
                <w:sz w:val="20"/>
                <w:szCs w:val="20"/>
              </w:rPr>
              <w:t>N</w:t>
            </w:r>
          </w:p>
        </w:tc>
        <w:tc>
          <w:tcPr>
            <w:tcW w:w="1470" w:type="dxa"/>
            <w:tcBorders>
              <w:top w:val="single" w:sz="6" w:space="0" w:color="auto"/>
              <w:left w:val="single" w:sz="6" w:space="0" w:color="auto"/>
              <w:bottom w:val="single" w:sz="6" w:space="0" w:color="auto"/>
              <w:right w:val="single" w:sz="6" w:space="0" w:color="auto"/>
            </w:tcBorders>
            <w:vAlign w:val="bottom"/>
          </w:tcPr>
          <w:p w14:paraId="7E0564B2" w14:textId="77777777" w:rsidR="0093755C" w:rsidRPr="00656B40" w:rsidRDefault="0093755C" w:rsidP="0093755C">
            <w:pPr>
              <w:jc w:val="center"/>
              <w:rPr>
                <w:rFonts w:ascii="Arial Narrow" w:hAnsi="Arial Narrow"/>
                <w:sz w:val="20"/>
                <w:szCs w:val="20"/>
              </w:rPr>
            </w:pPr>
            <w:r w:rsidRPr="00656B40">
              <w:rPr>
                <w:rFonts w:ascii="Arial Narrow" w:hAnsi="Arial Narrow" w:cs="Arial"/>
                <w:color w:val="000000"/>
                <w:sz w:val="20"/>
                <w:szCs w:val="20"/>
              </w:rPr>
              <w:t>0.21</w:t>
            </w:r>
          </w:p>
        </w:tc>
        <w:tc>
          <w:tcPr>
            <w:tcW w:w="1680" w:type="dxa"/>
            <w:tcBorders>
              <w:top w:val="single" w:sz="6" w:space="0" w:color="auto"/>
              <w:left w:val="single" w:sz="6" w:space="0" w:color="auto"/>
              <w:bottom w:val="single" w:sz="6" w:space="0" w:color="auto"/>
              <w:right w:val="single" w:sz="6" w:space="0" w:color="auto"/>
            </w:tcBorders>
            <w:vAlign w:val="bottom"/>
          </w:tcPr>
          <w:p w14:paraId="2FF50537" w14:textId="77777777" w:rsidR="0093755C" w:rsidRPr="00656B40" w:rsidRDefault="0093755C" w:rsidP="0093755C">
            <w:pPr>
              <w:jc w:val="center"/>
              <w:rPr>
                <w:rFonts w:ascii="Arial Narrow" w:hAnsi="Arial Narrow"/>
                <w:sz w:val="20"/>
                <w:szCs w:val="20"/>
              </w:rPr>
            </w:pPr>
            <w:r w:rsidRPr="00656B40">
              <w:rPr>
                <w:rFonts w:ascii="Arial Narrow" w:hAnsi="Arial Narrow" w:cs="Arial"/>
                <w:color w:val="000000"/>
                <w:sz w:val="20"/>
                <w:szCs w:val="20"/>
              </w:rPr>
              <w:t>0.36</w:t>
            </w:r>
          </w:p>
        </w:tc>
      </w:tr>
      <w:tr w:rsidR="0093755C" w:rsidRPr="004D732D" w14:paraId="71EA0987" w14:textId="77777777" w:rsidTr="0093755C">
        <w:trPr>
          <w:trHeight w:val="247"/>
        </w:trPr>
        <w:tc>
          <w:tcPr>
            <w:tcW w:w="2614" w:type="dxa"/>
            <w:tcBorders>
              <w:top w:val="single" w:sz="6" w:space="0" w:color="auto"/>
              <w:left w:val="single" w:sz="6" w:space="0" w:color="auto"/>
              <w:bottom w:val="single" w:sz="6" w:space="0" w:color="auto"/>
              <w:right w:val="single" w:sz="6" w:space="0" w:color="auto"/>
            </w:tcBorders>
            <w:vAlign w:val="bottom"/>
          </w:tcPr>
          <w:p w14:paraId="566EFEB5" w14:textId="77777777" w:rsidR="0093755C" w:rsidRPr="00656B40" w:rsidRDefault="0093755C" w:rsidP="0093755C">
            <w:pPr>
              <w:rPr>
                <w:rFonts w:ascii="Arial Narrow" w:hAnsi="Arial Narrow"/>
                <w:sz w:val="20"/>
                <w:szCs w:val="20"/>
              </w:rPr>
            </w:pPr>
            <w:r w:rsidRPr="00656B40">
              <w:rPr>
                <w:rFonts w:ascii="Arial Narrow" w:hAnsi="Arial Narrow" w:cs="Arial"/>
                <w:color w:val="000000"/>
                <w:sz w:val="20"/>
                <w:szCs w:val="20"/>
              </w:rPr>
              <w:t>Conductivity</w:t>
            </w:r>
          </w:p>
        </w:tc>
        <w:tc>
          <w:tcPr>
            <w:tcW w:w="1260" w:type="dxa"/>
            <w:tcBorders>
              <w:top w:val="single" w:sz="6" w:space="0" w:color="auto"/>
              <w:left w:val="single" w:sz="6" w:space="0" w:color="auto"/>
              <w:bottom w:val="single" w:sz="6" w:space="0" w:color="auto"/>
              <w:right w:val="single" w:sz="6" w:space="0" w:color="auto"/>
            </w:tcBorders>
            <w:vAlign w:val="bottom"/>
          </w:tcPr>
          <w:p w14:paraId="7B2E4595" w14:textId="77777777" w:rsidR="0093755C" w:rsidRPr="00656B40" w:rsidRDefault="0093755C" w:rsidP="0093755C">
            <w:pPr>
              <w:jc w:val="center"/>
              <w:rPr>
                <w:rFonts w:ascii="Arial Narrow" w:hAnsi="Arial Narrow"/>
                <w:sz w:val="20"/>
                <w:szCs w:val="20"/>
              </w:rPr>
            </w:pPr>
            <w:r w:rsidRPr="00656B40">
              <w:rPr>
                <w:rFonts w:ascii="Arial Narrow" w:hAnsi="Arial Narrow" w:cs="Arial"/>
                <w:color w:val="000000"/>
                <w:sz w:val="20"/>
                <w:szCs w:val="20"/>
              </w:rPr>
              <w:t>N</w:t>
            </w:r>
          </w:p>
        </w:tc>
        <w:tc>
          <w:tcPr>
            <w:tcW w:w="1470" w:type="dxa"/>
            <w:tcBorders>
              <w:top w:val="single" w:sz="6" w:space="0" w:color="auto"/>
              <w:left w:val="single" w:sz="6" w:space="0" w:color="auto"/>
              <w:bottom w:val="single" w:sz="6" w:space="0" w:color="auto"/>
              <w:right w:val="single" w:sz="6" w:space="0" w:color="auto"/>
            </w:tcBorders>
            <w:vAlign w:val="bottom"/>
          </w:tcPr>
          <w:p w14:paraId="3930718C" w14:textId="77777777" w:rsidR="0093755C" w:rsidRPr="00656B40" w:rsidRDefault="0093755C" w:rsidP="0093755C">
            <w:pPr>
              <w:jc w:val="center"/>
              <w:rPr>
                <w:rFonts w:ascii="Arial Narrow" w:hAnsi="Arial Narrow"/>
                <w:sz w:val="20"/>
                <w:szCs w:val="20"/>
              </w:rPr>
            </w:pPr>
            <w:r w:rsidRPr="00656B40">
              <w:rPr>
                <w:rFonts w:ascii="Arial Narrow" w:hAnsi="Arial Narrow" w:cs="Arial"/>
                <w:color w:val="000000"/>
                <w:sz w:val="20"/>
                <w:szCs w:val="20"/>
              </w:rPr>
              <w:t>0.15</w:t>
            </w:r>
          </w:p>
        </w:tc>
        <w:tc>
          <w:tcPr>
            <w:tcW w:w="1680" w:type="dxa"/>
            <w:tcBorders>
              <w:top w:val="single" w:sz="6" w:space="0" w:color="auto"/>
              <w:left w:val="single" w:sz="6" w:space="0" w:color="auto"/>
              <w:bottom w:val="single" w:sz="6" w:space="0" w:color="auto"/>
              <w:right w:val="single" w:sz="6" w:space="0" w:color="auto"/>
            </w:tcBorders>
            <w:vAlign w:val="bottom"/>
          </w:tcPr>
          <w:p w14:paraId="1280CAA0" w14:textId="77777777" w:rsidR="0093755C" w:rsidRPr="00656B40" w:rsidRDefault="0093755C" w:rsidP="0093755C">
            <w:pPr>
              <w:jc w:val="center"/>
              <w:rPr>
                <w:rFonts w:ascii="Arial Narrow" w:hAnsi="Arial Narrow"/>
                <w:sz w:val="20"/>
                <w:szCs w:val="20"/>
              </w:rPr>
            </w:pPr>
            <w:r w:rsidRPr="00656B40">
              <w:rPr>
                <w:rFonts w:ascii="Arial Narrow" w:hAnsi="Arial Narrow" w:cs="Arial"/>
                <w:color w:val="000000"/>
                <w:sz w:val="20"/>
                <w:szCs w:val="20"/>
              </w:rPr>
              <w:t>0.45</w:t>
            </w:r>
          </w:p>
        </w:tc>
      </w:tr>
      <w:tr w:rsidR="0093755C" w:rsidRPr="004D732D" w14:paraId="061EA36F" w14:textId="77777777" w:rsidTr="0093755C">
        <w:trPr>
          <w:trHeight w:val="247"/>
        </w:trPr>
        <w:tc>
          <w:tcPr>
            <w:tcW w:w="2614" w:type="dxa"/>
            <w:tcBorders>
              <w:top w:val="single" w:sz="6" w:space="0" w:color="auto"/>
              <w:left w:val="single" w:sz="6" w:space="0" w:color="auto"/>
              <w:bottom w:val="single" w:sz="6" w:space="0" w:color="auto"/>
              <w:right w:val="single" w:sz="6" w:space="0" w:color="auto"/>
            </w:tcBorders>
            <w:vAlign w:val="bottom"/>
          </w:tcPr>
          <w:p w14:paraId="3A7C8318" w14:textId="77777777" w:rsidR="0093755C" w:rsidRPr="00656B40" w:rsidRDefault="0093755C" w:rsidP="0093755C">
            <w:pPr>
              <w:rPr>
                <w:rFonts w:ascii="Arial Narrow" w:hAnsi="Arial Narrow"/>
                <w:sz w:val="20"/>
                <w:szCs w:val="20"/>
              </w:rPr>
            </w:pPr>
            <w:r w:rsidRPr="00656B40">
              <w:rPr>
                <w:rFonts w:ascii="Arial Narrow" w:hAnsi="Arial Narrow" w:cs="Arial"/>
                <w:color w:val="000000"/>
                <w:sz w:val="20"/>
                <w:szCs w:val="20"/>
              </w:rPr>
              <w:t>TDS</w:t>
            </w:r>
          </w:p>
        </w:tc>
        <w:tc>
          <w:tcPr>
            <w:tcW w:w="1260" w:type="dxa"/>
            <w:tcBorders>
              <w:top w:val="single" w:sz="6" w:space="0" w:color="auto"/>
              <w:left w:val="single" w:sz="6" w:space="0" w:color="auto"/>
              <w:bottom w:val="single" w:sz="6" w:space="0" w:color="auto"/>
              <w:right w:val="single" w:sz="6" w:space="0" w:color="auto"/>
            </w:tcBorders>
            <w:vAlign w:val="bottom"/>
          </w:tcPr>
          <w:p w14:paraId="55BDFDB8" w14:textId="77777777" w:rsidR="0093755C" w:rsidRPr="00656B40" w:rsidRDefault="0093755C" w:rsidP="0093755C">
            <w:pPr>
              <w:jc w:val="center"/>
              <w:rPr>
                <w:rFonts w:ascii="Arial Narrow" w:hAnsi="Arial Narrow"/>
                <w:sz w:val="20"/>
                <w:szCs w:val="20"/>
              </w:rPr>
            </w:pPr>
            <w:r w:rsidRPr="00656B40">
              <w:rPr>
                <w:rFonts w:ascii="Arial Narrow" w:hAnsi="Arial Narrow" w:cs="Arial"/>
                <w:color w:val="000000"/>
                <w:sz w:val="20"/>
                <w:szCs w:val="20"/>
              </w:rPr>
              <w:t>N</w:t>
            </w:r>
          </w:p>
        </w:tc>
        <w:tc>
          <w:tcPr>
            <w:tcW w:w="1470" w:type="dxa"/>
            <w:tcBorders>
              <w:top w:val="single" w:sz="6" w:space="0" w:color="auto"/>
              <w:left w:val="single" w:sz="6" w:space="0" w:color="auto"/>
              <w:bottom w:val="single" w:sz="6" w:space="0" w:color="auto"/>
              <w:right w:val="single" w:sz="6" w:space="0" w:color="auto"/>
            </w:tcBorders>
            <w:vAlign w:val="bottom"/>
          </w:tcPr>
          <w:p w14:paraId="74BB590D" w14:textId="77777777" w:rsidR="0093755C" w:rsidRPr="00656B40" w:rsidRDefault="0093755C" w:rsidP="0093755C">
            <w:pPr>
              <w:jc w:val="center"/>
              <w:rPr>
                <w:rFonts w:ascii="Arial Narrow" w:hAnsi="Arial Narrow"/>
                <w:sz w:val="20"/>
                <w:szCs w:val="20"/>
              </w:rPr>
            </w:pPr>
            <w:r w:rsidRPr="00656B40">
              <w:rPr>
                <w:rFonts w:ascii="Arial Narrow" w:hAnsi="Arial Narrow" w:cs="Arial"/>
                <w:color w:val="000000"/>
                <w:sz w:val="20"/>
                <w:szCs w:val="20"/>
              </w:rPr>
              <w:t>0.15</w:t>
            </w:r>
          </w:p>
        </w:tc>
        <w:tc>
          <w:tcPr>
            <w:tcW w:w="1680" w:type="dxa"/>
            <w:tcBorders>
              <w:top w:val="single" w:sz="6" w:space="0" w:color="auto"/>
              <w:left w:val="single" w:sz="6" w:space="0" w:color="auto"/>
              <w:bottom w:val="single" w:sz="6" w:space="0" w:color="auto"/>
              <w:right w:val="single" w:sz="6" w:space="0" w:color="auto"/>
            </w:tcBorders>
            <w:vAlign w:val="bottom"/>
          </w:tcPr>
          <w:p w14:paraId="5254466D" w14:textId="77777777" w:rsidR="0093755C" w:rsidRPr="00656B40" w:rsidRDefault="0093755C" w:rsidP="0093755C">
            <w:pPr>
              <w:jc w:val="center"/>
              <w:rPr>
                <w:rFonts w:ascii="Arial Narrow" w:hAnsi="Arial Narrow"/>
                <w:sz w:val="20"/>
                <w:szCs w:val="20"/>
              </w:rPr>
            </w:pPr>
            <w:r w:rsidRPr="00656B40">
              <w:rPr>
                <w:rFonts w:ascii="Arial Narrow" w:hAnsi="Arial Narrow" w:cs="Arial"/>
                <w:color w:val="000000"/>
                <w:sz w:val="20"/>
                <w:szCs w:val="20"/>
              </w:rPr>
              <w:t>0.45</w:t>
            </w:r>
          </w:p>
        </w:tc>
      </w:tr>
      <w:tr w:rsidR="0093755C" w:rsidRPr="004D732D" w14:paraId="1566DE49" w14:textId="77777777" w:rsidTr="0093755C">
        <w:trPr>
          <w:trHeight w:val="247"/>
        </w:trPr>
        <w:tc>
          <w:tcPr>
            <w:tcW w:w="2614" w:type="dxa"/>
            <w:tcBorders>
              <w:top w:val="single" w:sz="6" w:space="0" w:color="auto"/>
              <w:left w:val="single" w:sz="6" w:space="0" w:color="auto"/>
              <w:bottom w:val="single" w:sz="6" w:space="0" w:color="auto"/>
              <w:right w:val="single" w:sz="6" w:space="0" w:color="auto"/>
            </w:tcBorders>
            <w:vAlign w:val="bottom"/>
          </w:tcPr>
          <w:p w14:paraId="60709903" w14:textId="77777777" w:rsidR="0093755C" w:rsidRPr="00656B40" w:rsidRDefault="0093755C" w:rsidP="0093755C">
            <w:pPr>
              <w:rPr>
                <w:rFonts w:ascii="Arial Narrow" w:hAnsi="Arial Narrow"/>
                <w:sz w:val="20"/>
                <w:szCs w:val="20"/>
              </w:rPr>
            </w:pPr>
            <w:r w:rsidRPr="00656B40">
              <w:rPr>
                <w:rFonts w:ascii="Arial Narrow" w:hAnsi="Arial Narrow" w:cs="Arial"/>
                <w:color w:val="000000"/>
                <w:sz w:val="20"/>
                <w:szCs w:val="20"/>
              </w:rPr>
              <w:t>Chloride</w:t>
            </w:r>
          </w:p>
        </w:tc>
        <w:tc>
          <w:tcPr>
            <w:tcW w:w="1260" w:type="dxa"/>
            <w:tcBorders>
              <w:top w:val="single" w:sz="6" w:space="0" w:color="auto"/>
              <w:left w:val="single" w:sz="6" w:space="0" w:color="auto"/>
              <w:bottom w:val="single" w:sz="6" w:space="0" w:color="auto"/>
              <w:right w:val="single" w:sz="6" w:space="0" w:color="auto"/>
            </w:tcBorders>
            <w:vAlign w:val="bottom"/>
          </w:tcPr>
          <w:p w14:paraId="5AAAF110" w14:textId="77777777" w:rsidR="0093755C" w:rsidRPr="00656B40" w:rsidRDefault="0093755C" w:rsidP="0093755C">
            <w:pPr>
              <w:jc w:val="center"/>
              <w:rPr>
                <w:rFonts w:ascii="Arial Narrow" w:hAnsi="Arial Narrow"/>
                <w:sz w:val="20"/>
                <w:szCs w:val="20"/>
              </w:rPr>
            </w:pPr>
            <w:r w:rsidRPr="00656B40">
              <w:rPr>
                <w:rFonts w:ascii="Arial Narrow" w:hAnsi="Arial Narrow" w:cs="Arial"/>
                <w:color w:val="000000"/>
                <w:sz w:val="20"/>
                <w:szCs w:val="20"/>
              </w:rPr>
              <w:t>N</w:t>
            </w:r>
          </w:p>
        </w:tc>
        <w:tc>
          <w:tcPr>
            <w:tcW w:w="1470" w:type="dxa"/>
            <w:tcBorders>
              <w:top w:val="single" w:sz="6" w:space="0" w:color="auto"/>
              <w:left w:val="single" w:sz="6" w:space="0" w:color="auto"/>
              <w:bottom w:val="single" w:sz="6" w:space="0" w:color="auto"/>
              <w:right w:val="single" w:sz="6" w:space="0" w:color="auto"/>
            </w:tcBorders>
            <w:vAlign w:val="bottom"/>
          </w:tcPr>
          <w:p w14:paraId="6AEEDF02" w14:textId="77777777" w:rsidR="0093755C" w:rsidRPr="00656B40" w:rsidRDefault="0093755C" w:rsidP="0093755C">
            <w:pPr>
              <w:jc w:val="center"/>
              <w:rPr>
                <w:rFonts w:ascii="Arial Narrow" w:hAnsi="Arial Narrow"/>
                <w:sz w:val="20"/>
                <w:szCs w:val="20"/>
              </w:rPr>
            </w:pPr>
            <w:r w:rsidRPr="00656B40">
              <w:rPr>
                <w:rFonts w:ascii="Arial Narrow" w:hAnsi="Arial Narrow" w:cs="Arial"/>
                <w:color w:val="000000"/>
                <w:sz w:val="20"/>
                <w:szCs w:val="20"/>
              </w:rPr>
              <w:t>0.15</w:t>
            </w:r>
          </w:p>
        </w:tc>
        <w:tc>
          <w:tcPr>
            <w:tcW w:w="1680" w:type="dxa"/>
            <w:tcBorders>
              <w:top w:val="single" w:sz="6" w:space="0" w:color="auto"/>
              <w:left w:val="single" w:sz="6" w:space="0" w:color="auto"/>
              <w:bottom w:val="single" w:sz="6" w:space="0" w:color="auto"/>
              <w:right w:val="single" w:sz="6" w:space="0" w:color="auto"/>
            </w:tcBorders>
            <w:vAlign w:val="bottom"/>
          </w:tcPr>
          <w:p w14:paraId="68EE34A7" w14:textId="77777777" w:rsidR="0093755C" w:rsidRPr="00656B40" w:rsidRDefault="0093755C" w:rsidP="0093755C">
            <w:pPr>
              <w:jc w:val="center"/>
              <w:rPr>
                <w:rFonts w:ascii="Arial Narrow" w:hAnsi="Arial Narrow"/>
                <w:sz w:val="20"/>
                <w:szCs w:val="20"/>
              </w:rPr>
            </w:pPr>
            <w:r w:rsidRPr="00656B40">
              <w:rPr>
                <w:rFonts w:ascii="Arial Narrow" w:hAnsi="Arial Narrow" w:cs="Arial"/>
                <w:color w:val="000000"/>
                <w:sz w:val="20"/>
                <w:szCs w:val="20"/>
              </w:rPr>
              <w:t>0.45</w:t>
            </w:r>
          </w:p>
        </w:tc>
      </w:tr>
      <w:tr w:rsidR="0093755C" w:rsidRPr="004D732D" w14:paraId="0195412D" w14:textId="77777777" w:rsidTr="0093755C">
        <w:trPr>
          <w:trHeight w:val="247"/>
        </w:trPr>
        <w:tc>
          <w:tcPr>
            <w:tcW w:w="2614" w:type="dxa"/>
            <w:tcBorders>
              <w:top w:val="single" w:sz="6" w:space="0" w:color="auto"/>
              <w:left w:val="single" w:sz="6" w:space="0" w:color="auto"/>
              <w:bottom w:val="single" w:sz="6" w:space="0" w:color="auto"/>
              <w:right w:val="single" w:sz="6" w:space="0" w:color="auto"/>
            </w:tcBorders>
            <w:vAlign w:val="bottom"/>
          </w:tcPr>
          <w:p w14:paraId="266A546A" w14:textId="77777777" w:rsidR="0093755C" w:rsidRPr="00656B40" w:rsidRDefault="0093755C" w:rsidP="0093755C">
            <w:pPr>
              <w:rPr>
                <w:rFonts w:ascii="Arial Narrow" w:hAnsi="Arial Narrow"/>
                <w:sz w:val="20"/>
                <w:szCs w:val="20"/>
              </w:rPr>
            </w:pPr>
            <w:r w:rsidRPr="00656B40">
              <w:rPr>
                <w:rFonts w:ascii="Arial Narrow" w:hAnsi="Arial Narrow" w:cs="Arial"/>
                <w:color w:val="000000"/>
                <w:sz w:val="20"/>
                <w:szCs w:val="20"/>
              </w:rPr>
              <w:t>CCU</w:t>
            </w:r>
          </w:p>
        </w:tc>
        <w:tc>
          <w:tcPr>
            <w:tcW w:w="1260" w:type="dxa"/>
            <w:tcBorders>
              <w:top w:val="single" w:sz="6" w:space="0" w:color="auto"/>
              <w:left w:val="single" w:sz="6" w:space="0" w:color="auto"/>
              <w:bottom w:val="single" w:sz="6" w:space="0" w:color="auto"/>
              <w:right w:val="single" w:sz="6" w:space="0" w:color="auto"/>
            </w:tcBorders>
            <w:vAlign w:val="bottom"/>
          </w:tcPr>
          <w:p w14:paraId="58351B55" w14:textId="77777777" w:rsidR="0093755C" w:rsidRPr="00656B40" w:rsidRDefault="0093755C" w:rsidP="0093755C">
            <w:pPr>
              <w:jc w:val="center"/>
              <w:rPr>
                <w:rFonts w:ascii="Arial Narrow" w:hAnsi="Arial Narrow"/>
                <w:sz w:val="20"/>
                <w:szCs w:val="20"/>
              </w:rPr>
            </w:pPr>
            <w:r w:rsidRPr="00656B40">
              <w:rPr>
                <w:rFonts w:ascii="Arial Narrow" w:hAnsi="Arial Narrow" w:cs="Arial"/>
                <w:color w:val="000000"/>
                <w:sz w:val="20"/>
                <w:szCs w:val="20"/>
              </w:rPr>
              <w:t>N</w:t>
            </w:r>
          </w:p>
        </w:tc>
        <w:tc>
          <w:tcPr>
            <w:tcW w:w="1470" w:type="dxa"/>
            <w:tcBorders>
              <w:top w:val="single" w:sz="6" w:space="0" w:color="auto"/>
              <w:left w:val="single" w:sz="6" w:space="0" w:color="auto"/>
              <w:bottom w:val="single" w:sz="6" w:space="0" w:color="auto"/>
              <w:right w:val="single" w:sz="6" w:space="0" w:color="auto"/>
            </w:tcBorders>
            <w:vAlign w:val="bottom"/>
          </w:tcPr>
          <w:p w14:paraId="086667E5" w14:textId="77777777" w:rsidR="0093755C" w:rsidRPr="00656B40" w:rsidRDefault="0093755C" w:rsidP="0093755C">
            <w:pPr>
              <w:jc w:val="center"/>
              <w:rPr>
                <w:rFonts w:ascii="Arial Narrow" w:hAnsi="Arial Narrow"/>
                <w:sz w:val="20"/>
                <w:szCs w:val="20"/>
              </w:rPr>
            </w:pPr>
            <w:r w:rsidRPr="00656B40">
              <w:rPr>
                <w:rFonts w:ascii="Arial Narrow" w:hAnsi="Arial Narrow" w:cs="Arial"/>
                <w:color w:val="000000"/>
                <w:sz w:val="20"/>
                <w:szCs w:val="20"/>
              </w:rPr>
              <w:t>0.1</w:t>
            </w:r>
          </w:p>
        </w:tc>
        <w:tc>
          <w:tcPr>
            <w:tcW w:w="1680" w:type="dxa"/>
            <w:tcBorders>
              <w:top w:val="single" w:sz="6" w:space="0" w:color="auto"/>
              <w:left w:val="single" w:sz="6" w:space="0" w:color="auto"/>
              <w:bottom w:val="single" w:sz="6" w:space="0" w:color="auto"/>
              <w:right w:val="single" w:sz="6" w:space="0" w:color="auto"/>
            </w:tcBorders>
            <w:vAlign w:val="bottom"/>
          </w:tcPr>
          <w:p w14:paraId="5BAC71C4" w14:textId="77777777" w:rsidR="0093755C" w:rsidRPr="00656B40" w:rsidRDefault="0093755C" w:rsidP="0093755C">
            <w:pPr>
              <w:jc w:val="center"/>
              <w:rPr>
                <w:rFonts w:ascii="Arial Narrow" w:hAnsi="Arial Narrow"/>
                <w:sz w:val="20"/>
                <w:szCs w:val="20"/>
              </w:rPr>
            </w:pPr>
            <w:r w:rsidRPr="00656B40">
              <w:rPr>
                <w:rFonts w:ascii="Arial Narrow" w:hAnsi="Arial Narrow" w:cs="Arial"/>
                <w:color w:val="000000"/>
                <w:sz w:val="20"/>
                <w:szCs w:val="20"/>
              </w:rPr>
              <w:t>0.45</w:t>
            </w:r>
          </w:p>
        </w:tc>
      </w:tr>
      <w:tr w:rsidR="0093755C" w:rsidRPr="004D732D" w14:paraId="60962D8A" w14:textId="77777777" w:rsidTr="0093755C">
        <w:trPr>
          <w:trHeight w:val="247"/>
        </w:trPr>
        <w:tc>
          <w:tcPr>
            <w:tcW w:w="2614" w:type="dxa"/>
            <w:tcBorders>
              <w:top w:val="single" w:sz="6" w:space="0" w:color="auto"/>
              <w:left w:val="single" w:sz="6" w:space="0" w:color="auto"/>
              <w:bottom w:val="single" w:sz="6" w:space="0" w:color="auto"/>
              <w:right w:val="single" w:sz="6" w:space="0" w:color="auto"/>
            </w:tcBorders>
            <w:vAlign w:val="bottom"/>
          </w:tcPr>
          <w:p w14:paraId="55F20E13" w14:textId="77777777" w:rsidR="0093755C" w:rsidRPr="00656B40" w:rsidRDefault="0093755C" w:rsidP="0093755C">
            <w:pPr>
              <w:rPr>
                <w:rFonts w:ascii="Arial Narrow" w:hAnsi="Arial Narrow"/>
                <w:sz w:val="20"/>
                <w:szCs w:val="20"/>
              </w:rPr>
            </w:pPr>
            <w:r w:rsidRPr="00656B40">
              <w:rPr>
                <w:rFonts w:ascii="Arial Narrow" w:hAnsi="Arial Narrow" w:cs="Arial"/>
                <w:color w:val="000000"/>
                <w:sz w:val="20"/>
                <w:szCs w:val="20"/>
              </w:rPr>
              <w:t>LRBS</w:t>
            </w:r>
          </w:p>
        </w:tc>
        <w:tc>
          <w:tcPr>
            <w:tcW w:w="1260" w:type="dxa"/>
            <w:tcBorders>
              <w:top w:val="single" w:sz="6" w:space="0" w:color="auto"/>
              <w:left w:val="single" w:sz="6" w:space="0" w:color="auto"/>
              <w:bottom w:val="single" w:sz="6" w:space="0" w:color="auto"/>
              <w:right w:val="single" w:sz="6" w:space="0" w:color="auto"/>
            </w:tcBorders>
            <w:vAlign w:val="bottom"/>
          </w:tcPr>
          <w:p w14:paraId="4212C79E" w14:textId="77777777" w:rsidR="0093755C" w:rsidRPr="00656B40" w:rsidRDefault="0093755C" w:rsidP="0093755C">
            <w:pPr>
              <w:jc w:val="center"/>
              <w:rPr>
                <w:rFonts w:ascii="Arial Narrow" w:hAnsi="Arial Narrow"/>
                <w:sz w:val="20"/>
                <w:szCs w:val="20"/>
              </w:rPr>
            </w:pPr>
            <w:r w:rsidRPr="00656B40">
              <w:rPr>
                <w:rFonts w:ascii="Arial Narrow" w:hAnsi="Arial Narrow" w:cs="Arial"/>
                <w:color w:val="000000"/>
                <w:sz w:val="20"/>
                <w:szCs w:val="20"/>
              </w:rPr>
              <w:t>N</w:t>
            </w:r>
          </w:p>
        </w:tc>
        <w:tc>
          <w:tcPr>
            <w:tcW w:w="1470" w:type="dxa"/>
            <w:tcBorders>
              <w:top w:val="single" w:sz="6" w:space="0" w:color="auto"/>
              <w:left w:val="single" w:sz="6" w:space="0" w:color="auto"/>
              <w:bottom w:val="single" w:sz="6" w:space="0" w:color="auto"/>
              <w:right w:val="single" w:sz="6" w:space="0" w:color="auto"/>
            </w:tcBorders>
            <w:vAlign w:val="bottom"/>
          </w:tcPr>
          <w:p w14:paraId="6580E019" w14:textId="77777777" w:rsidR="0093755C" w:rsidRPr="00656B40" w:rsidRDefault="0093755C" w:rsidP="0093755C">
            <w:pPr>
              <w:jc w:val="center"/>
              <w:rPr>
                <w:rFonts w:ascii="Arial Narrow" w:hAnsi="Arial Narrow"/>
                <w:sz w:val="20"/>
                <w:szCs w:val="20"/>
              </w:rPr>
            </w:pPr>
            <w:r w:rsidRPr="00656B40">
              <w:rPr>
                <w:rFonts w:ascii="Arial Narrow" w:hAnsi="Arial Narrow" w:cs="Arial"/>
                <w:color w:val="000000"/>
                <w:sz w:val="20"/>
                <w:szCs w:val="20"/>
              </w:rPr>
              <w:t>0.14</w:t>
            </w:r>
          </w:p>
        </w:tc>
        <w:tc>
          <w:tcPr>
            <w:tcW w:w="1680" w:type="dxa"/>
            <w:tcBorders>
              <w:top w:val="single" w:sz="6" w:space="0" w:color="auto"/>
              <w:left w:val="single" w:sz="6" w:space="0" w:color="auto"/>
              <w:bottom w:val="single" w:sz="6" w:space="0" w:color="auto"/>
              <w:right w:val="single" w:sz="6" w:space="0" w:color="auto"/>
            </w:tcBorders>
            <w:vAlign w:val="bottom"/>
          </w:tcPr>
          <w:p w14:paraId="1C2207E9" w14:textId="77777777" w:rsidR="0093755C" w:rsidRPr="00656B40" w:rsidRDefault="0093755C" w:rsidP="0093755C">
            <w:pPr>
              <w:jc w:val="center"/>
              <w:rPr>
                <w:rFonts w:ascii="Arial Narrow" w:hAnsi="Arial Narrow"/>
                <w:sz w:val="20"/>
                <w:szCs w:val="20"/>
              </w:rPr>
            </w:pPr>
            <w:r w:rsidRPr="00656B40">
              <w:rPr>
                <w:rFonts w:ascii="Arial Narrow" w:hAnsi="Arial Narrow" w:cs="Arial"/>
                <w:color w:val="000000"/>
                <w:sz w:val="20"/>
                <w:szCs w:val="20"/>
              </w:rPr>
              <w:t>0.46</w:t>
            </w:r>
          </w:p>
        </w:tc>
      </w:tr>
      <w:tr w:rsidR="0093755C" w:rsidRPr="004D732D" w14:paraId="10363630" w14:textId="77777777" w:rsidTr="0093755C">
        <w:trPr>
          <w:trHeight w:val="247"/>
        </w:trPr>
        <w:tc>
          <w:tcPr>
            <w:tcW w:w="2614" w:type="dxa"/>
            <w:tcBorders>
              <w:top w:val="single" w:sz="6" w:space="0" w:color="auto"/>
              <w:left w:val="single" w:sz="6" w:space="0" w:color="auto"/>
              <w:bottom w:val="single" w:sz="6" w:space="0" w:color="auto"/>
              <w:right w:val="single" w:sz="6" w:space="0" w:color="auto"/>
            </w:tcBorders>
            <w:vAlign w:val="bottom"/>
          </w:tcPr>
          <w:p w14:paraId="7C5DF44D" w14:textId="77777777" w:rsidR="0093755C" w:rsidRPr="00656B40" w:rsidRDefault="0093755C" w:rsidP="0093755C">
            <w:pPr>
              <w:rPr>
                <w:rFonts w:ascii="Arial Narrow" w:hAnsi="Arial Narrow"/>
                <w:sz w:val="20"/>
                <w:szCs w:val="20"/>
              </w:rPr>
            </w:pPr>
            <w:r w:rsidRPr="00656B40">
              <w:rPr>
                <w:rFonts w:ascii="Arial Narrow" w:hAnsi="Arial Narrow" w:cs="Arial"/>
                <w:color w:val="000000"/>
                <w:sz w:val="20"/>
                <w:szCs w:val="20"/>
              </w:rPr>
              <w:t>Potassium</w:t>
            </w:r>
          </w:p>
        </w:tc>
        <w:tc>
          <w:tcPr>
            <w:tcW w:w="1260" w:type="dxa"/>
            <w:tcBorders>
              <w:top w:val="single" w:sz="6" w:space="0" w:color="auto"/>
              <w:left w:val="single" w:sz="6" w:space="0" w:color="auto"/>
              <w:bottom w:val="single" w:sz="6" w:space="0" w:color="auto"/>
              <w:right w:val="single" w:sz="6" w:space="0" w:color="auto"/>
            </w:tcBorders>
            <w:vAlign w:val="bottom"/>
          </w:tcPr>
          <w:p w14:paraId="3B7220C3" w14:textId="77777777" w:rsidR="0093755C" w:rsidRPr="00656B40" w:rsidRDefault="0093755C" w:rsidP="0093755C">
            <w:pPr>
              <w:jc w:val="center"/>
              <w:rPr>
                <w:rFonts w:ascii="Arial Narrow" w:hAnsi="Arial Narrow"/>
                <w:sz w:val="20"/>
                <w:szCs w:val="20"/>
              </w:rPr>
            </w:pPr>
            <w:r w:rsidRPr="00656B40">
              <w:rPr>
                <w:rFonts w:ascii="Arial Narrow" w:hAnsi="Arial Narrow" w:cs="Arial"/>
                <w:color w:val="000000"/>
                <w:sz w:val="20"/>
                <w:szCs w:val="20"/>
              </w:rPr>
              <w:t>N</w:t>
            </w:r>
          </w:p>
        </w:tc>
        <w:tc>
          <w:tcPr>
            <w:tcW w:w="1470" w:type="dxa"/>
            <w:tcBorders>
              <w:top w:val="single" w:sz="6" w:space="0" w:color="auto"/>
              <w:left w:val="single" w:sz="6" w:space="0" w:color="auto"/>
              <w:bottom w:val="single" w:sz="6" w:space="0" w:color="auto"/>
              <w:right w:val="single" w:sz="6" w:space="0" w:color="auto"/>
            </w:tcBorders>
            <w:vAlign w:val="bottom"/>
          </w:tcPr>
          <w:p w14:paraId="245FBD2C" w14:textId="77777777" w:rsidR="0093755C" w:rsidRPr="00656B40" w:rsidRDefault="0093755C" w:rsidP="0093755C">
            <w:pPr>
              <w:jc w:val="center"/>
              <w:rPr>
                <w:rFonts w:ascii="Arial Narrow" w:hAnsi="Arial Narrow"/>
                <w:sz w:val="20"/>
                <w:szCs w:val="20"/>
              </w:rPr>
            </w:pPr>
            <w:r w:rsidRPr="00656B40">
              <w:rPr>
                <w:rFonts w:ascii="Arial Narrow" w:hAnsi="Arial Narrow" w:cs="Arial"/>
                <w:color w:val="000000"/>
                <w:sz w:val="20"/>
                <w:szCs w:val="20"/>
              </w:rPr>
              <w:t>0.12</w:t>
            </w:r>
          </w:p>
        </w:tc>
        <w:tc>
          <w:tcPr>
            <w:tcW w:w="1680" w:type="dxa"/>
            <w:tcBorders>
              <w:top w:val="single" w:sz="6" w:space="0" w:color="auto"/>
              <w:left w:val="single" w:sz="6" w:space="0" w:color="auto"/>
              <w:bottom w:val="single" w:sz="6" w:space="0" w:color="auto"/>
              <w:right w:val="single" w:sz="6" w:space="0" w:color="auto"/>
            </w:tcBorders>
            <w:vAlign w:val="bottom"/>
          </w:tcPr>
          <w:p w14:paraId="07E8FCC8" w14:textId="77777777" w:rsidR="0093755C" w:rsidRPr="00656B40" w:rsidRDefault="0093755C" w:rsidP="0093755C">
            <w:pPr>
              <w:jc w:val="center"/>
              <w:rPr>
                <w:rFonts w:ascii="Arial Narrow" w:hAnsi="Arial Narrow"/>
                <w:sz w:val="20"/>
                <w:szCs w:val="20"/>
              </w:rPr>
            </w:pPr>
            <w:r w:rsidRPr="00656B40">
              <w:rPr>
                <w:rFonts w:ascii="Arial Narrow" w:hAnsi="Arial Narrow" w:cs="Arial"/>
                <w:color w:val="000000"/>
                <w:sz w:val="20"/>
                <w:szCs w:val="20"/>
              </w:rPr>
              <w:t>0.5</w:t>
            </w:r>
          </w:p>
        </w:tc>
      </w:tr>
      <w:tr w:rsidR="0093755C" w:rsidRPr="004D732D" w14:paraId="1F85D8A8" w14:textId="77777777" w:rsidTr="0093755C">
        <w:trPr>
          <w:trHeight w:val="247"/>
        </w:trPr>
        <w:tc>
          <w:tcPr>
            <w:tcW w:w="2614" w:type="dxa"/>
            <w:tcBorders>
              <w:top w:val="single" w:sz="6" w:space="0" w:color="auto"/>
              <w:left w:val="single" w:sz="6" w:space="0" w:color="auto"/>
              <w:bottom w:val="single" w:sz="6" w:space="0" w:color="auto"/>
              <w:right w:val="single" w:sz="6" w:space="0" w:color="auto"/>
            </w:tcBorders>
            <w:vAlign w:val="bottom"/>
          </w:tcPr>
          <w:p w14:paraId="0AC98564" w14:textId="77777777" w:rsidR="0093755C" w:rsidRPr="00656B40" w:rsidRDefault="0093755C" w:rsidP="0093755C">
            <w:pPr>
              <w:rPr>
                <w:rFonts w:ascii="Arial Narrow" w:hAnsi="Arial Narrow"/>
                <w:sz w:val="20"/>
                <w:szCs w:val="20"/>
              </w:rPr>
            </w:pPr>
            <w:r w:rsidRPr="00656B40">
              <w:rPr>
                <w:rFonts w:ascii="Arial Narrow" w:hAnsi="Arial Narrow" w:cs="Arial"/>
                <w:color w:val="000000"/>
                <w:sz w:val="20"/>
                <w:szCs w:val="20"/>
              </w:rPr>
              <w:t>TOC</w:t>
            </w:r>
          </w:p>
        </w:tc>
        <w:tc>
          <w:tcPr>
            <w:tcW w:w="1260" w:type="dxa"/>
            <w:tcBorders>
              <w:top w:val="single" w:sz="6" w:space="0" w:color="auto"/>
              <w:left w:val="single" w:sz="6" w:space="0" w:color="auto"/>
              <w:bottom w:val="single" w:sz="6" w:space="0" w:color="auto"/>
              <w:right w:val="single" w:sz="6" w:space="0" w:color="auto"/>
            </w:tcBorders>
            <w:vAlign w:val="bottom"/>
          </w:tcPr>
          <w:p w14:paraId="700EF869" w14:textId="77777777" w:rsidR="0093755C" w:rsidRPr="00656B40" w:rsidRDefault="0093755C" w:rsidP="0093755C">
            <w:pPr>
              <w:jc w:val="center"/>
              <w:rPr>
                <w:rFonts w:ascii="Arial Narrow" w:hAnsi="Arial Narrow"/>
                <w:sz w:val="20"/>
                <w:szCs w:val="20"/>
              </w:rPr>
            </w:pPr>
            <w:r w:rsidRPr="00656B40">
              <w:rPr>
                <w:rFonts w:ascii="Arial Narrow" w:hAnsi="Arial Narrow" w:cs="Arial"/>
                <w:color w:val="000000"/>
                <w:sz w:val="20"/>
                <w:szCs w:val="20"/>
              </w:rPr>
              <w:t>N</w:t>
            </w:r>
          </w:p>
        </w:tc>
        <w:tc>
          <w:tcPr>
            <w:tcW w:w="1470" w:type="dxa"/>
            <w:tcBorders>
              <w:top w:val="single" w:sz="6" w:space="0" w:color="auto"/>
              <w:left w:val="single" w:sz="6" w:space="0" w:color="auto"/>
              <w:bottom w:val="single" w:sz="6" w:space="0" w:color="auto"/>
              <w:right w:val="single" w:sz="6" w:space="0" w:color="auto"/>
            </w:tcBorders>
            <w:vAlign w:val="bottom"/>
          </w:tcPr>
          <w:p w14:paraId="095CBEFF" w14:textId="77777777" w:rsidR="0093755C" w:rsidRPr="00656B40" w:rsidRDefault="0093755C" w:rsidP="0093755C">
            <w:pPr>
              <w:jc w:val="center"/>
              <w:rPr>
                <w:rFonts w:ascii="Arial Narrow" w:hAnsi="Arial Narrow"/>
                <w:sz w:val="20"/>
                <w:szCs w:val="20"/>
              </w:rPr>
            </w:pPr>
            <w:r w:rsidRPr="00656B40">
              <w:rPr>
                <w:rFonts w:ascii="Arial Narrow" w:hAnsi="Arial Narrow" w:cs="Arial"/>
                <w:color w:val="000000"/>
                <w:sz w:val="20"/>
                <w:szCs w:val="20"/>
              </w:rPr>
              <w:t>0.09</w:t>
            </w:r>
          </w:p>
        </w:tc>
        <w:tc>
          <w:tcPr>
            <w:tcW w:w="1680" w:type="dxa"/>
            <w:tcBorders>
              <w:top w:val="single" w:sz="6" w:space="0" w:color="auto"/>
              <w:left w:val="single" w:sz="6" w:space="0" w:color="auto"/>
              <w:bottom w:val="single" w:sz="6" w:space="0" w:color="auto"/>
              <w:right w:val="single" w:sz="6" w:space="0" w:color="auto"/>
            </w:tcBorders>
            <w:vAlign w:val="bottom"/>
          </w:tcPr>
          <w:p w14:paraId="4617F103" w14:textId="77777777" w:rsidR="0093755C" w:rsidRPr="00656B40" w:rsidRDefault="0093755C" w:rsidP="0093755C">
            <w:pPr>
              <w:jc w:val="center"/>
              <w:rPr>
                <w:rFonts w:ascii="Arial Narrow" w:hAnsi="Arial Narrow"/>
                <w:sz w:val="20"/>
                <w:szCs w:val="20"/>
              </w:rPr>
            </w:pPr>
            <w:r w:rsidRPr="00656B40">
              <w:rPr>
                <w:rFonts w:ascii="Arial Narrow" w:hAnsi="Arial Narrow" w:cs="Arial"/>
                <w:color w:val="000000"/>
                <w:sz w:val="20"/>
                <w:szCs w:val="20"/>
              </w:rPr>
              <w:t>0.56</w:t>
            </w:r>
          </w:p>
        </w:tc>
      </w:tr>
      <w:tr w:rsidR="0093755C" w:rsidRPr="004D732D" w14:paraId="174B0CEF" w14:textId="77777777" w:rsidTr="0093755C">
        <w:trPr>
          <w:trHeight w:val="247"/>
        </w:trPr>
        <w:tc>
          <w:tcPr>
            <w:tcW w:w="2614" w:type="dxa"/>
            <w:tcBorders>
              <w:top w:val="single" w:sz="6" w:space="0" w:color="auto"/>
              <w:left w:val="single" w:sz="6" w:space="0" w:color="auto"/>
              <w:bottom w:val="single" w:sz="6" w:space="0" w:color="auto"/>
              <w:right w:val="single" w:sz="6" w:space="0" w:color="auto"/>
            </w:tcBorders>
            <w:vAlign w:val="bottom"/>
          </w:tcPr>
          <w:p w14:paraId="6CD57354" w14:textId="77777777" w:rsidR="0093755C" w:rsidRPr="00656B40" w:rsidRDefault="0093755C" w:rsidP="0093755C">
            <w:pPr>
              <w:rPr>
                <w:rFonts w:ascii="Arial Narrow" w:hAnsi="Arial Narrow"/>
                <w:sz w:val="20"/>
                <w:szCs w:val="20"/>
              </w:rPr>
            </w:pPr>
            <w:r w:rsidRPr="00656B40">
              <w:rPr>
                <w:rFonts w:ascii="Arial Narrow" w:hAnsi="Arial Narrow" w:cs="Arial"/>
                <w:color w:val="000000"/>
                <w:sz w:val="20"/>
                <w:szCs w:val="20"/>
              </w:rPr>
              <w:t>Nitrogen</w:t>
            </w:r>
          </w:p>
        </w:tc>
        <w:tc>
          <w:tcPr>
            <w:tcW w:w="1260" w:type="dxa"/>
            <w:tcBorders>
              <w:top w:val="single" w:sz="6" w:space="0" w:color="auto"/>
              <w:left w:val="single" w:sz="6" w:space="0" w:color="auto"/>
              <w:bottom w:val="single" w:sz="6" w:space="0" w:color="auto"/>
              <w:right w:val="single" w:sz="6" w:space="0" w:color="auto"/>
            </w:tcBorders>
            <w:vAlign w:val="bottom"/>
          </w:tcPr>
          <w:p w14:paraId="53B65699" w14:textId="77777777" w:rsidR="0093755C" w:rsidRPr="00656B40" w:rsidRDefault="0093755C" w:rsidP="0093755C">
            <w:pPr>
              <w:jc w:val="center"/>
              <w:rPr>
                <w:rFonts w:ascii="Arial Narrow" w:hAnsi="Arial Narrow"/>
                <w:sz w:val="20"/>
                <w:szCs w:val="20"/>
              </w:rPr>
            </w:pPr>
            <w:r w:rsidRPr="00656B40">
              <w:rPr>
                <w:rFonts w:ascii="Arial Narrow" w:hAnsi="Arial Narrow" w:cs="Arial"/>
                <w:color w:val="000000"/>
                <w:sz w:val="20"/>
                <w:szCs w:val="20"/>
              </w:rPr>
              <w:t>N</w:t>
            </w:r>
          </w:p>
        </w:tc>
        <w:tc>
          <w:tcPr>
            <w:tcW w:w="1470" w:type="dxa"/>
            <w:tcBorders>
              <w:top w:val="single" w:sz="6" w:space="0" w:color="auto"/>
              <w:left w:val="single" w:sz="6" w:space="0" w:color="auto"/>
              <w:bottom w:val="single" w:sz="6" w:space="0" w:color="auto"/>
              <w:right w:val="single" w:sz="6" w:space="0" w:color="auto"/>
            </w:tcBorders>
            <w:vAlign w:val="bottom"/>
          </w:tcPr>
          <w:p w14:paraId="152519CE" w14:textId="77777777" w:rsidR="0093755C" w:rsidRPr="00656B40" w:rsidRDefault="0093755C" w:rsidP="0093755C">
            <w:pPr>
              <w:jc w:val="center"/>
              <w:rPr>
                <w:rFonts w:ascii="Arial Narrow" w:hAnsi="Arial Narrow"/>
                <w:sz w:val="20"/>
                <w:szCs w:val="20"/>
              </w:rPr>
            </w:pPr>
            <w:r w:rsidRPr="00656B40">
              <w:rPr>
                <w:rFonts w:ascii="Arial Narrow" w:hAnsi="Arial Narrow" w:cs="Arial"/>
                <w:color w:val="000000"/>
                <w:sz w:val="20"/>
                <w:szCs w:val="20"/>
              </w:rPr>
              <w:t>0.09</w:t>
            </w:r>
          </w:p>
        </w:tc>
        <w:tc>
          <w:tcPr>
            <w:tcW w:w="1680" w:type="dxa"/>
            <w:tcBorders>
              <w:top w:val="single" w:sz="6" w:space="0" w:color="auto"/>
              <w:left w:val="single" w:sz="6" w:space="0" w:color="auto"/>
              <w:bottom w:val="single" w:sz="6" w:space="0" w:color="auto"/>
              <w:right w:val="single" w:sz="6" w:space="0" w:color="auto"/>
            </w:tcBorders>
            <w:vAlign w:val="bottom"/>
          </w:tcPr>
          <w:p w14:paraId="4B5BAEBB" w14:textId="77777777" w:rsidR="0093755C" w:rsidRPr="00656B40" w:rsidRDefault="0093755C" w:rsidP="0093755C">
            <w:pPr>
              <w:jc w:val="center"/>
              <w:rPr>
                <w:rFonts w:ascii="Arial Narrow" w:hAnsi="Arial Narrow"/>
                <w:sz w:val="20"/>
                <w:szCs w:val="20"/>
              </w:rPr>
            </w:pPr>
            <w:r w:rsidRPr="00656B40">
              <w:rPr>
                <w:rFonts w:ascii="Arial Narrow" w:hAnsi="Arial Narrow" w:cs="Arial"/>
                <w:color w:val="000000"/>
                <w:sz w:val="20"/>
                <w:szCs w:val="20"/>
              </w:rPr>
              <w:t>0.56</w:t>
            </w:r>
          </w:p>
        </w:tc>
      </w:tr>
      <w:tr w:rsidR="0093755C" w:rsidRPr="004D732D" w14:paraId="454DAE59" w14:textId="77777777" w:rsidTr="0093755C">
        <w:trPr>
          <w:trHeight w:val="247"/>
        </w:trPr>
        <w:tc>
          <w:tcPr>
            <w:tcW w:w="2614" w:type="dxa"/>
            <w:tcBorders>
              <w:top w:val="single" w:sz="6" w:space="0" w:color="auto"/>
              <w:left w:val="single" w:sz="6" w:space="0" w:color="auto"/>
              <w:bottom w:val="single" w:sz="6" w:space="0" w:color="auto"/>
              <w:right w:val="single" w:sz="6" w:space="0" w:color="auto"/>
            </w:tcBorders>
            <w:vAlign w:val="bottom"/>
          </w:tcPr>
          <w:p w14:paraId="353BEDDD" w14:textId="77777777" w:rsidR="0093755C" w:rsidRPr="00656B40" w:rsidRDefault="0093755C" w:rsidP="0093755C">
            <w:pPr>
              <w:rPr>
                <w:rFonts w:ascii="Arial Narrow" w:hAnsi="Arial Narrow" w:cs="Calibri"/>
                <w:color w:val="000000"/>
                <w:sz w:val="20"/>
                <w:szCs w:val="20"/>
              </w:rPr>
            </w:pPr>
            <w:r w:rsidRPr="00656B40">
              <w:rPr>
                <w:rFonts w:ascii="Arial Narrow" w:hAnsi="Arial Narrow" w:cs="Arial"/>
                <w:color w:val="000000"/>
                <w:sz w:val="20"/>
                <w:szCs w:val="20"/>
              </w:rPr>
              <w:t>Phosphorus</w:t>
            </w:r>
          </w:p>
        </w:tc>
        <w:tc>
          <w:tcPr>
            <w:tcW w:w="1260" w:type="dxa"/>
            <w:tcBorders>
              <w:top w:val="single" w:sz="6" w:space="0" w:color="auto"/>
              <w:left w:val="single" w:sz="6" w:space="0" w:color="auto"/>
              <w:bottom w:val="single" w:sz="6" w:space="0" w:color="auto"/>
              <w:right w:val="single" w:sz="6" w:space="0" w:color="auto"/>
            </w:tcBorders>
            <w:vAlign w:val="bottom"/>
          </w:tcPr>
          <w:p w14:paraId="5721043C" w14:textId="77777777" w:rsidR="0093755C" w:rsidRPr="00656B40" w:rsidRDefault="0093755C" w:rsidP="0093755C">
            <w:pPr>
              <w:jc w:val="center"/>
              <w:rPr>
                <w:rFonts w:ascii="Arial Narrow" w:hAnsi="Arial Narrow" w:cs="Calibri"/>
                <w:color w:val="000000"/>
                <w:sz w:val="20"/>
                <w:szCs w:val="20"/>
              </w:rPr>
            </w:pPr>
            <w:r w:rsidRPr="00656B40">
              <w:rPr>
                <w:rFonts w:ascii="Arial Narrow" w:hAnsi="Arial Narrow" w:cs="Arial"/>
                <w:color w:val="000000"/>
                <w:sz w:val="20"/>
                <w:szCs w:val="20"/>
              </w:rPr>
              <w:t>N</w:t>
            </w:r>
          </w:p>
        </w:tc>
        <w:tc>
          <w:tcPr>
            <w:tcW w:w="1470" w:type="dxa"/>
            <w:tcBorders>
              <w:top w:val="single" w:sz="6" w:space="0" w:color="auto"/>
              <w:left w:val="single" w:sz="6" w:space="0" w:color="auto"/>
              <w:bottom w:val="single" w:sz="6" w:space="0" w:color="auto"/>
              <w:right w:val="single" w:sz="6" w:space="0" w:color="auto"/>
            </w:tcBorders>
            <w:vAlign w:val="bottom"/>
          </w:tcPr>
          <w:p w14:paraId="28AC608B" w14:textId="77777777" w:rsidR="0093755C" w:rsidRPr="00656B40" w:rsidRDefault="0093755C" w:rsidP="0093755C">
            <w:pPr>
              <w:jc w:val="center"/>
              <w:rPr>
                <w:rFonts w:ascii="Arial Narrow" w:hAnsi="Arial Narrow" w:cs="Calibri"/>
                <w:color w:val="000000"/>
                <w:sz w:val="20"/>
                <w:szCs w:val="20"/>
              </w:rPr>
            </w:pPr>
            <w:r w:rsidRPr="00656B40">
              <w:rPr>
                <w:rFonts w:ascii="Arial Narrow" w:hAnsi="Arial Narrow" w:cs="Arial"/>
                <w:color w:val="000000"/>
                <w:sz w:val="20"/>
                <w:szCs w:val="20"/>
              </w:rPr>
              <w:t>0.07</w:t>
            </w:r>
          </w:p>
        </w:tc>
        <w:tc>
          <w:tcPr>
            <w:tcW w:w="1680" w:type="dxa"/>
            <w:tcBorders>
              <w:top w:val="single" w:sz="6" w:space="0" w:color="auto"/>
              <w:left w:val="single" w:sz="6" w:space="0" w:color="auto"/>
              <w:bottom w:val="single" w:sz="6" w:space="0" w:color="auto"/>
              <w:right w:val="single" w:sz="6" w:space="0" w:color="auto"/>
            </w:tcBorders>
            <w:vAlign w:val="bottom"/>
          </w:tcPr>
          <w:p w14:paraId="780079CD" w14:textId="77777777" w:rsidR="0093755C" w:rsidRPr="00656B40" w:rsidRDefault="0093755C" w:rsidP="0093755C">
            <w:pPr>
              <w:jc w:val="center"/>
              <w:rPr>
                <w:rFonts w:ascii="Arial Narrow" w:hAnsi="Arial Narrow" w:cs="Calibri"/>
                <w:color w:val="000000"/>
                <w:sz w:val="20"/>
                <w:szCs w:val="20"/>
              </w:rPr>
            </w:pPr>
            <w:r w:rsidRPr="00656B40">
              <w:rPr>
                <w:rFonts w:ascii="Arial Narrow" w:hAnsi="Arial Narrow" w:cs="Arial"/>
                <w:color w:val="000000"/>
                <w:sz w:val="20"/>
                <w:szCs w:val="20"/>
              </w:rPr>
              <w:t>0.61</w:t>
            </w:r>
          </w:p>
        </w:tc>
      </w:tr>
      <w:tr w:rsidR="0093755C" w:rsidRPr="004D732D" w14:paraId="16020432" w14:textId="77777777" w:rsidTr="0093755C">
        <w:trPr>
          <w:trHeight w:val="247"/>
        </w:trPr>
        <w:tc>
          <w:tcPr>
            <w:tcW w:w="2614" w:type="dxa"/>
            <w:tcBorders>
              <w:top w:val="single" w:sz="6" w:space="0" w:color="auto"/>
              <w:left w:val="single" w:sz="6" w:space="0" w:color="auto"/>
              <w:bottom w:val="single" w:sz="6" w:space="0" w:color="auto"/>
              <w:right w:val="single" w:sz="6" w:space="0" w:color="auto"/>
            </w:tcBorders>
            <w:vAlign w:val="bottom"/>
          </w:tcPr>
          <w:p w14:paraId="5026765B" w14:textId="77777777" w:rsidR="0093755C" w:rsidRPr="00656B40" w:rsidRDefault="0093755C" w:rsidP="0093755C">
            <w:pPr>
              <w:rPr>
                <w:rFonts w:ascii="Arial Narrow" w:hAnsi="Arial Narrow" w:cs="Calibri"/>
                <w:color w:val="000000"/>
                <w:sz w:val="20"/>
                <w:szCs w:val="20"/>
              </w:rPr>
            </w:pPr>
            <w:r w:rsidRPr="00656B40">
              <w:rPr>
                <w:rFonts w:ascii="Arial Narrow" w:hAnsi="Arial Narrow" w:cs="Arial"/>
                <w:color w:val="000000"/>
                <w:sz w:val="20"/>
                <w:szCs w:val="20"/>
              </w:rPr>
              <w:t>Sulfate</w:t>
            </w:r>
          </w:p>
        </w:tc>
        <w:tc>
          <w:tcPr>
            <w:tcW w:w="1260" w:type="dxa"/>
            <w:tcBorders>
              <w:top w:val="single" w:sz="6" w:space="0" w:color="auto"/>
              <w:left w:val="single" w:sz="6" w:space="0" w:color="auto"/>
              <w:bottom w:val="single" w:sz="6" w:space="0" w:color="auto"/>
              <w:right w:val="single" w:sz="6" w:space="0" w:color="auto"/>
            </w:tcBorders>
            <w:vAlign w:val="bottom"/>
          </w:tcPr>
          <w:p w14:paraId="6E975BB8" w14:textId="77777777" w:rsidR="0093755C" w:rsidRPr="00656B40" w:rsidRDefault="0093755C" w:rsidP="0093755C">
            <w:pPr>
              <w:jc w:val="center"/>
              <w:rPr>
                <w:rFonts w:ascii="Arial Narrow" w:hAnsi="Arial Narrow" w:cs="Calibri"/>
                <w:color w:val="000000"/>
                <w:sz w:val="20"/>
                <w:szCs w:val="20"/>
              </w:rPr>
            </w:pPr>
            <w:r w:rsidRPr="00656B40">
              <w:rPr>
                <w:rFonts w:ascii="Arial Narrow" w:hAnsi="Arial Narrow" w:cs="Arial"/>
                <w:color w:val="000000"/>
                <w:sz w:val="20"/>
                <w:szCs w:val="20"/>
              </w:rPr>
              <w:t>N</w:t>
            </w:r>
          </w:p>
        </w:tc>
        <w:tc>
          <w:tcPr>
            <w:tcW w:w="1470" w:type="dxa"/>
            <w:tcBorders>
              <w:top w:val="single" w:sz="6" w:space="0" w:color="auto"/>
              <w:left w:val="single" w:sz="6" w:space="0" w:color="auto"/>
              <w:bottom w:val="single" w:sz="6" w:space="0" w:color="auto"/>
              <w:right w:val="single" w:sz="6" w:space="0" w:color="auto"/>
            </w:tcBorders>
            <w:vAlign w:val="bottom"/>
          </w:tcPr>
          <w:p w14:paraId="3FA699CE" w14:textId="77777777" w:rsidR="0093755C" w:rsidRPr="00656B40" w:rsidRDefault="0093755C" w:rsidP="0093755C">
            <w:pPr>
              <w:jc w:val="center"/>
              <w:rPr>
                <w:rFonts w:ascii="Arial Narrow" w:hAnsi="Arial Narrow" w:cs="Calibri"/>
                <w:color w:val="000000"/>
                <w:sz w:val="20"/>
                <w:szCs w:val="20"/>
              </w:rPr>
            </w:pPr>
            <w:r w:rsidRPr="00656B40">
              <w:rPr>
                <w:rFonts w:ascii="Arial Narrow" w:hAnsi="Arial Narrow" w:cs="Arial"/>
                <w:color w:val="000000"/>
                <w:sz w:val="20"/>
                <w:szCs w:val="20"/>
              </w:rPr>
              <w:t>0.05</w:t>
            </w:r>
          </w:p>
        </w:tc>
        <w:tc>
          <w:tcPr>
            <w:tcW w:w="1680" w:type="dxa"/>
            <w:tcBorders>
              <w:top w:val="single" w:sz="6" w:space="0" w:color="auto"/>
              <w:left w:val="single" w:sz="6" w:space="0" w:color="auto"/>
              <w:bottom w:val="single" w:sz="6" w:space="0" w:color="auto"/>
              <w:right w:val="single" w:sz="6" w:space="0" w:color="auto"/>
            </w:tcBorders>
            <w:vAlign w:val="bottom"/>
          </w:tcPr>
          <w:p w14:paraId="75674654" w14:textId="77777777" w:rsidR="0093755C" w:rsidRPr="00656B40" w:rsidRDefault="0093755C" w:rsidP="0093755C">
            <w:pPr>
              <w:jc w:val="center"/>
              <w:rPr>
                <w:rFonts w:ascii="Arial Narrow" w:hAnsi="Arial Narrow" w:cs="Calibri"/>
                <w:color w:val="000000"/>
                <w:sz w:val="20"/>
                <w:szCs w:val="20"/>
              </w:rPr>
            </w:pPr>
            <w:r w:rsidRPr="00656B40">
              <w:rPr>
                <w:rFonts w:ascii="Arial Narrow" w:hAnsi="Arial Narrow" w:cs="Arial"/>
                <w:color w:val="000000"/>
                <w:sz w:val="20"/>
                <w:szCs w:val="20"/>
              </w:rPr>
              <w:t>0.66</w:t>
            </w:r>
          </w:p>
        </w:tc>
      </w:tr>
      <w:tr w:rsidR="0093755C" w:rsidRPr="004D732D" w14:paraId="2AF59F01" w14:textId="77777777" w:rsidTr="0093755C">
        <w:trPr>
          <w:trHeight w:val="247"/>
        </w:trPr>
        <w:tc>
          <w:tcPr>
            <w:tcW w:w="2614" w:type="dxa"/>
            <w:tcBorders>
              <w:top w:val="single" w:sz="6" w:space="0" w:color="auto"/>
              <w:left w:val="single" w:sz="6" w:space="0" w:color="auto"/>
              <w:bottom w:val="single" w:sz="6" w:space="0" w:color="auto"/>
              <w:right w:val="single" w:sz="6" w:space="0" w:color="auto"/>
            </w:tcBorders>
            <w:vAlign w:val="bottom"/>
          </w:tcPr>
          <w:p w14:paraId="6667B96B" w14:textId="77777777" w:rsidR="0093755C" w:rsidRPr="00656B40" w:rsidRDefault="0093755C" w:rsidP="0093755C">
            <w:pPr>
              <w:rPr>
                <w:rFonts w:ascii="Arial Narrow" w:hAnsi="Arial Narrow"/>
                <w:sz w:val="20"/>
                <w:szCs w:val="20"/>
              </w:rPr>
            </w:pPr>
            <w:r w:rsidRPr="00656B40">
              <w:rPr>
                <w:rFonts w:ascii="Arial Narrow" w:hAnsi="Arial Narrow" w:cs="Arial"/>
                <w:color w:val="000000"/>
                <w:sz w:val="20"/>
                <w:szCs w:val="20"/>
              </w:rPr>
              <w:t>Turbidity</w:t>
            </w:r>
          </w:p>
        </w:tc>
        <w:tc>
          <w:tcPr>
            <w:tcW w:w="1260" w:type="dxa"/>
            <w:tcBorders>
              <w:top w:val="single" w:sz="6" w:space="0" w:color="auto"/>
              <w:left w:val="single" w:sz="6" w:space="0" w:color="auto"/>
              <w:bottom w:val="single" w:sz="6" w:space="0" w:color="auto"/>
              <w:right w:val="single" w:sz="6" w:space="0" w:color="auto"/>
            </w:tcBorders>
            <w:vAlign w:val="bottom"/>
          </w:tcPr>
          <w:p w14:paraId="3441341C" w14:textId="77777777" w:rsidR="0093755C" w:rsidRPr="00656B40" w:rsidRDefault="0093755C" w:rsidP="0093755C">
            <w:pPr>
              <w:jc w:val="center"/>
              <w:rPr>
                <w:rFonts w:ascii="Arial Narrow" w:hAnsi="Arial Narrow"/>
                <w:sz w:val="20"/>
                <w:szCs w:val="20"/>
              </w:rPr>
            </w:pPr>
            <w:r w:rsidRPr="00656B40">
              <w:rPr>
                <w:rFonts w:ascii="Arial Narrow" w:hAnsi="Arial Narrow" w:cs="Arial"/>
                <w:color w:val="000000"/>
                <w:sz w:val="20"/>
                <w:szCs w:val="20"/>
              </w:rPr>
              <w:t>N</w:t>
            </w:r>
          </w:p>
        </w:tc>
        <w:tc>
          <w:tcPr>
            <w:tcW w:w="1470" w:type="dxa"/>
            <w:tcBorders>
              <w:top w:val="single" w:sz="6" w:space="0" w:color="auto"/>
              <w:left w:val="single" w:sz="6" w:space="0" w:color="auto"/>
              <w:bottom w:val="single" w:sz="6" w:space="0" w:color="auto"/>
              <w:right w:val="single" w:sz="6" w:space="0" w:color="auto"/>
            </w:tcBorders>
            <w:vAlign w:val="bottom"/>
          </w:tcPr>
          <w:p w14:paraId="4478E1C6" w14:textId="77777777" w:rsidR="0093755C" w:rsidRPr="00656B40" w:rsidRDefault="0093755C" w:rsidP="0093755C">
            <w:pPr>
              <w:jc w:val="center"/>
              <w:rPr>
                <w:rFonts w:ascii="Arial Narrow" w:hAnsi="Arial Narrow"/>
                <w:sz w:val="20"/>
                <w:szCs w:val="20"/>
              </w:rPr>
            </w:pPr>
            <w:r w:rsidRPr="00656B40">
              <w:rPr>
                <w:rFonts w:ascii="Arial Narrow" w:hAnsi="Arial Narrow" w:cs="Arial"/>
                <w:color w:val="000000"/>
                <w:sz w:val="20"/>
                <w:szCs w:val="20"/>
              </w:rPr>
              <w:t>0.03</w:t>
            </w:r>
          </w:p>
        </w:tc>
        <w:tc>
          <w:tcPr>
            <w:tcW w:w="1680" w:type="dxa"/>
            <w:tcBorders>
              <w:top w:val="single" w:sz="6" w:space="0" w:color="auto"/>
              <w:left w:val="single" w:sz="6" w:space="0" w:color="auto"/>
              <w:bottom w:val="single" w:sz="6" w:space="0" w:color="auto"/>
              <w:right w:val="single" w:sz="6" w:space="0" w:color="auto"/>
            </w:tcBorders>
            <w:vAlign w:val="bottom"/>
          </w:tcPr>
          <w:p w14:paraId="6C7A4D55" w14:textId="77777777" w:rsidR="0093755C" w:rsidRPr="00656B40" w:rsidRDefault="0093755C" w:rsidP="0093755C">
            <w:pPr>
              <w:jc w:val="center"/>
              <w:rPr>
                <w:rFonts w:ascii="Arial Narrow" w:hAnsi="Arial Narrow"/>
                <w:sz w:val="20"/>
                <w:szCs w:val="20"/>
              </w:rPr>
            </w:pPr>
            <w:r w:rsidRPr="00656B40">
              <w:rPr>
                <w:rFonts w:ascii="Arial Narrow" w:hAnsi="Arial Narrow" w:cs="Arial"/>
                <w:color w:val="000000"/>
                <w:sz w:val="20"/>
                <w:szCs w:val="20"/>
              </w:rPr>
              <w:t>0.74</w:t>
            </w:r>
          </w:p>
        </w:tc>
      </w:tr>
      <w:tr w:rsidR="0093755C" w:rsidRPr="004D732D" w14:paraId="176B4AA2" w14:textId="77777777" w:rsidTr="0093755C">
        <w:trPr>
          <w:trHeight w:val="247"/>
        </w:trPr>
        <w:tc>
          <w:tcPr>
            <w:tcW w:w="2614" w:type="dxa"/>
            <w:tcBorders>
              <w:top w:val="single" w:sz="6" w:space="0" w:color="auto"/>
              <w:left w:val="single" w:sz="6" w:space="0" w:color="auto"/>
              <w:bottom w:val="single" w:sz="6" w:space="0" w:color="auto"/>
              <w:right w:val="single" w:sz="6" w:space="0" w:color="auto"/>
            </w:tcBorders>
            <w:vAlign w:val="bottom"/>
          </w:tcPr>
          <w:p w14:paraId="2BE1BD36" w14:textId="77777777" w:rsidR="0093755C" w:rsidRPr="00656B40" w:rsidRDefault="0093755C" w:rsidP="0093755C">
            <w:pPr>
              <w:rPr>
                <w:rFonts w:ascii="Arial Narrow" w:hAnsi="Arial Narrow"/>
                <w:sz w:val="20"/>
                <w:szCs w:val="20"/>
              </w:rPr>
            </w:pPr>
            <w:r w:rsidRPr="00656B40">
              <w:rPr>
                <w:rFonts w:ascii="Arial Narrow" w:hAnsi="Arial Narrow" w:cs="Arial"/>
                <w:color w:val="000000"/>
                <w:sz w:val="20"/>
                <w:szCs w:val="20"/>
              </w:rPr>
              <w:t>Habitat</w:t>
            </w:r>
          </w:p>
        </w:tc>
        <w:tc>
          <w:tcPr>
            <w:tcW w:w="1260" w:type="dxa"/>
            <w:tcBorders>
              <w:top w:val="single" w:sz="6" w:space="0" w:color="auto"/>
              <w:left w:val="single" w:sz="6" w:space="0" w:color="auto"/>
              <w:bottom w:val="single" w:sz="6" w:space="0" w:color="auto"/>
              <w:right w:val="single" w:sz="6" w:space="0" w:color="auto"/>
            </w:tcBorders>
            <w:vAlign w:val="bottom"/>
          </w:tcPr>
          <w:p w14:paraId="0E247DE9" w14:textId="77777777" w:rsidR="0093755C" w:rsidRPr="00656B40" w:rsidRDefault="0093755C" w:rsidP="0093755C">
            <w:pPr>
              <w:jc w:val="center"/>
              <w:rPr>
                <w:rFonts w:ascii="Arial Narrow" w:hAnsi="Arial Narrow"/>
                <w:sz w:val="20"/>
                <w:szCs w:val="20"/>
              </w:rPr>
            </w:pPr>
            <w:r w:rsidRPr="00656B40">
              <w:rPr>
                <w:rFonts w:ascii="Arial Narrow" w:hAnsi="Arial Narrow" w:cs="Arial"/>
                <w:color w:val="000000"/>
                <w:sz w:val="20"/>
                <w:szCs w:val="20"/>
              </w:rPr>
              <w:t>N</w:t>
            </w:r>
          </w:p>
        </w:tc>
        <w:tc>
          <w:tcPr>
            <w:tcW w:w="1470" w:type="dxa"/>
            <w:tcBorders>
              <w:top w:val="single" w:sz="6" w:space="0" w:color="auto"/>
              <w:left w:val="single" w:sz="6" w:space="0" w:color="auto"/>
              <w:bottom w:val="single" w:sz="6" w:space="0" w:color="auto"/>
              <w:right w:val="single" w:sz="6" w:space="0" w:color="auto"/>
            </w:tcBorders>
            <w:vAlign w:val="bottom"/>
          </w:tcPr>
          <w:p w14:paraId="28FF1D73" w14:textId="77777777" w:rsidR="0093755C" w:rsidRPr="00656B40" w:rsidRDefault="0093755C" w:rsidP="0093755C">
            <w:pPr>
              <w:jc w:val="center"/>
              <w:rPr>
                <w:rFonts w:ascii="Arial Narrow" w:hAnsi="Arial Narrow"/>
                <w:sz w:val="20"/>
                <w:szCs w:val="20"/>
              </w:rPr>
            </w:pPr>
            <w:r w:rsidRPr="00656B40">
              <w:rPr>
                <w:rFonts w:ascii="Arial Narrow" w:hAnsi="Arial Narrow" w:cs="Arial"/>
                <w:color w:val="000000"/>
                <w:sz w:val="20"/>
                <w:szCs w:val="20"/>
              </w:rPr>
              <w:t>0.03</w:t>
            </w:r>
          </w:p>
        </w:tc>
        <w:tc>
          <w:tcPr>
            <w:tcW w:w="1680" w:type="dxa"/>
            <w:tcBorders>
              <w:top w:val="single" w:sz="6" w:space="0" w:color="auto"/>
              <w:left w:val="single" w:sz="6" w:space="0" w:color="auto"/>
              <w:bottom w:val="single" w:sz="6" w:space="0" w:color="auto"/>
              <w:right w:val="single" w:sz="6" w:space="0" w:color="auto"/>
            </w:tcBorders>
            <w:vAlign w:val="bottom"/>
          </w:tcPr>
          <w:p w14:paraId="5E199B65" w14:textId="77777777" w:rsidR="0093755C" w:rsidRPr="00656B40" w:rsidRDefault="0093755C" w:rsidP="0093755C">
            <w:pPr>
              <w:jc w:val="center"/>
              <w:rPr>
                <w:rFonts w:ascii="Arial Narrow" w:hAnsi="Arial Narrow"/>
                <w:sz w:val="20"/>
                <w:szCs w:val="20"/>
              </w:rPr>
            </w:pPr>
            <w:r w:rsidRPr="00656B40">
              <w:rPr>
                <w:rFonts w:ascii="Arial Narrow" w:hAnsi="Arial Narrow" w:cs="Arial"/>
                <w:color w:val="000000"/>
                <w:sz w:val="20"/>
                <w:szCs w:val="20"/>
              </w:rPr>
              <w:t>0.75</w:t>
            </w:r>
          </w:p>
        </w:tc>
      </w:tr>
      <w:tr w:rsidR="0093755C" w:rsidRPr="004D732D" w14:paraId="50CD9F08" w14:textId="77777777" w:rsidTr="0093755C">
        <w:trPr>
          <w:trHeight w:val="247"/>
        </w:trPr>
        <w:tc>
          <w:tcPr>
            <w:tcW w:w="2614" w:type="dxa"/>
            <w:tcBorders>
              <w:top w:val="single" w:sz="6" w:space="0" w:color="auto"/>
              <w:left w:val="single" w:sz="6" w:space="0" w:color="auto"/>
              <w:bottom w:val="single" w:sz="6" w:space="0" w:color="auto"/>
              <w:right w:val="single" w:sz="6" w:space="0" w:color="auto"/>
            </w:tcBorders>
            <w:vAlign w:val="bottom"/>
          </w:tcPr>
          <w:p w14:paraId="0A1AF3A2" w14:textId="77777777" w:rsidR="0093755C" w:rsidRPr="00656B40" w:rsidRDefault="0093755C" w:rsidP="0093755C">
            <w:pPr>
              <w:rPr>
                <w:rFonts w:ascii="Arial Narrow" w:hAnsi="Arial Narrow"/>
                <w:sz w:val="20"/>
                <w:szCs w:val="20"/>
              </w:rPr>
            </w:pPr>
            <w:r w:rsidRPr="00656B40">
              <w:rPr>
                <w:rFonts w:ascii="Arial Narrow" w:hAnsi="Arial Narrow" w:cs="Arial"/>
                <w:color w:val="000000"/>
                <w:sz w:val="20"/>
                <w:szCs w:val="20"/>
              </w:rPr>
              <w:t>TSS</w:t>
            </w:r>
          </w:p>
        </w:tc>
        <w:tc>
          <w:tcPr>
            <w:tcW w:w="1260" w:type="dxa"/>
            <w:tcBorders>
              <w:top w:val="single" w:sz="6" w:space="0" w:color="auto"/>
              <w:left w:val="single" w:sz="6" w:space="0" w:color="auto"/>
              <w:bottom w:val="single" w:sz="6" w:space="0" w:color="auto"/>
              <w:right w:val="single" w:sz="6" w:space="0" w:color="auto"/>
            </w:tcBorders>
            <w:vAlign w:val="bottom"/>
          </w:tcPr>
          <w:p w14:paraId="47014BF8" w14:textId="77777777" w:rsidR="0093755C" w:rsidRPr="00656B40" w:rsidRDefault="0093755C" w:rsidP="0093755C">
            <w:pPr>
              <w:jc w:val="center"/>
              <w:rPr>
                <w:rFonts w:ascii="Arial Narrow" w:hAnsi="Arial Narrow"/>
                <w:sz w:val="20"/>
                <w:szCs w:val="20"/>
              </w:rPr>
            </w:pPr>
            <w:r w:rsidRPr="00656B40">
              <w:rPr>
                <w:rFonts w:ascii="Arial Narrow" w:hAnsi="Arial Narrow" w:cs="Arial"/>
                <w:color w:val="000000"/>
                <w:sz w:val="20"/>
                <w:szCs w:val="20"/>
              </w:rPr>
              <w:t>N</w:t>
            </w:r>
          </w:p>
        </w:tc>
        <w:tc>
          <w:tcPr>
            <w:tcW w:w="1470" w:type="dxa"/>
            <w:tcBorders>
              <w:top w:val="single" w:sz="6" w:space="0" w:color="auto"/>
              <w:left w:val="single" w:sz="6" w:space="0" w:color="auto"/>
              <w:bottom w:val="single" w:sz="6" w:space="0" w:color="auto"/>
              <w:right w:val="single" w:sz="6" w:space="0" w:color="auto"/>
            </w:tcBorders>
            <w:vAlign w:val="bottom"/>
          </w:tcPr>
          <w:p w14:paraId="17CC32D3" w14:textId="77777777" w:rsidR="0093755C" w:rsidRPr="00656B40" w:rsidRDefault="0093755C" w:rsidP="0093755C">
            <w:pPr>
              <w:jc w:val="center"/>
              <w:rPr>
                <w:rFonts w:ascii="Arial Narrow" w:hAnsi="Arial Narrow"/>
                <w:sz w:val="20"/>
                <w:szCs w:val="20"/>
              </w:rPr>
            </w:pPr>
            <w:r w:rsidRPr="00656B40">
              <w:rPr>
                <w:rFonts w:ascii="Arial Narrow" w:hAnsi="Arial Narrow" w:cs="Arial"/>
                <w:color w:val="000000"/>
                <w:sz w:val="20"/>
                <w:szCs w:val="20"/>
              </w:rPr>
              <w:t>0.01</w:t>
            </w:r>
          </w:p>
        </w:tc>
        <w:tc>
          <w:tcPr>
            <w:tcW w:w="1680" w:type="dxa"/>
            <w:tcBorders>
              <w:top w:val="single" w:sz="6" w:space="0" w:color="auto"/>
              <w:left w:val="single" w:sz="6" w:space="0" w:color="auto"/>
              <w:bottom w:val="single" w:sz="6" w:space="0" w:color="auto"/>
              <w:right w:val="single" w:sz="6" w:space="0" w:color="auto"/>
            </w:tcBorders>
            <w:vAlign w:val="bottom"/>
          </w:tcPr>
          <w:p w14:paraId="0FC6984E" w14:textId="77777777" w:rsidR="0093755C" w:rsidRPr="00656B40" w:rsidRDefault="0093755C" w:rsidP="0093755C">
            <w:pPr>
              <w:jc w:val="center"/>
              <w:rPr>
                <w:rFonts w:ascii="Arial Narrow" w:hAnsi="Arial Narrow"/>
                <w:sz w:val="20"/>
                <w:szCs w:val="20"/>
              </w:rPr>
            </w:pPr>
            <w:r w:rsidRPr="00656B40">
              <w:rPr>
                <w:rFonts w:ascii="Arial Narrow" w:hAnsi="Arial Narrow" w:cs="Arial"/>
                <w:color w:val="000000"/>
                <w:sz w:val="20"/>
                <w:szCs w:val="20"/>
              </w:rPr>
              <w:t>0.82</w:t>
            </w:r>
          </w:p>
        </w:tc>
      </w:tr>
      <w:tr w:rsidR="0093755C" w:rsidRPr="004D732D" w14:paraId="0AAF318C" w14:textId="77777777" w:rsidTr="0093755C">
        <w:trPr>
          <w:trHeight w:val="247"/>
        </w:trPr>
        <w:tc>
          <w:tcPr>
            <w:tcW w:w="2614" w:type="dxa"/>
            <w:tcBorders>
              <w:top w:val="single" w:sz="6" w:space="0" w:color="auto"/>
              <w:left w:val="single" w:sz="6" w:space="0" w:color="auto"/>
              <w:bottom w:val="single" w:sz="6" w:space="0" w:color="auto"/>
              <w:right w:val="single" w:sz="6" w:space="0" w:color="auto"/>
            </w:tcBorders>
            <w:vAlign w:val="bottom"/>
          </w:tcPr>
          <w:p w14:paraId="7B5AE6AC" w14:textId="77777777" w:rsidR="0093755C" w:rsidRPr="00656B40" w:rsidRDefault="0093755C" w:rsidP="0093755C">
            <w:pPr>
              <w:rPr>
                <w:rFonts w:ascii="Arial Narrow" w:hAnsi="Arial Narrow"/>
                <w:sz w:val="20"/>
                <w:szCs w:val="20"/>
              </w:rPr>
            </w:pPr>
            <w:r w:rsidRPr="00656B40">
              <w:rPr>
                <w:rFonts w:ascii="Arial Narrow" w:hAnsi="Arial Narrow" w:cs="Arial"/>
                <w:color w:val="000000"/>
                <w:sz w:val="20"/>
                <w:szCs w:val="20"/>
              </w:rPr>
              <w:t>Ammonia</w:t>
            </w:r>
          </w:p>
        </w:tc>
        <w:tc>
          <w:tcPr>
            <w:tcW w:w="1260" w:type="dxa"/>
            <w:tcBorders>
              <w:top w:val="single" w:sz="6" w:space="0" w:color="auto"/>
              <w:left w:val="single" w:sz="6" w:space="0" w:color="auto"/>
              <w:bottom w:val="single" w:sz="6" w:space="0" w:color="auto"/>
              <w:right w:val="single" w:sz="6" w:space="0" w:color="auto"/>
            </w:tcBorders>
            <w:vAlign w:val="bottom"/>
          </w:tcPr>
          <w:p w14:paraId="69503C7C" w14:textId="77777777" w:rsidR="0093755C" w:rsidRPr="00656B40" w:rsidRDefault="0093755C" w:rsidP="0093755C">
            <w:pPr>
              <w:jc w:val="center"/>
              <w:rPr>
                <w:rFonts w:ascii="Arial Narrow" w:hAnsi="Arial Narrow"/>
                <w:sz w:val="20"/>
                <w:szCs w:val="20"/>
              </w:rPr>
            </w:pPr>
            <w:r w:rsidRPr="00656B40">
              <w:rPr>
                <w:rFonts w:ascii="Arial Narrow" w:hAnsi="Arial Narrow" w:cs="Arial"/>
                <w:color w:val="000000"/>
                <w:sz w:val="20"/>
                <w:szCs w:val="20"/>
              </w:rPr>
              <w:t>N</w:t>
            </w:r>
          </w:p>
        </w:tc>
        <w:tc>
          <w:tcPr>
            <w:tcW w:w="1470" w:type="dxa"/>
            <w:tcBorders>
              <w:top w:val="single" w:sz="6" w:space="0" w:color="auto"/>
              <w:left w:val="single" w:sz="6" w:space="0" w:color="auto"/>
              <w:bottom w:val="single" w:sz="6" w:space="0" w:color="auto"/>
              <w:right w:val="single" w:sz="6" w:space="0" w:color="auto"/>
            </w:tcBorders>
            <w:vAlign w:val="bottom"/>
          </w:tcPr>
          <w:p w14:paraId="462D3F62" w14:textId="77777777" w:rsidR="0093755C" w:rsidRPr="00656B40" w:rsidRDefault="0093755C" w:rsidP="0093755C">
            <w:pPr>
              <w:jc w:val="center"/>
              <w:rPr>
                <w:rFonts w:ascii="Arial Narrow" w:hAnsi="Arial Narrow"/>
                <w:sz w:val="20"/>
                <w:szCs w:val="20"/>
              </w:rPr>
            </w:pPr>
            <w:r w:rsidRPr="00656B40">
              <w:rPr>
                <w:rFonts w:ascii="Arial Narrow" w:hAnsi="Arial Narrow" w:cs="Arial"/>
                <w:color w:val="000000"/>
                <w:sz w:val="20"/>
                <w:szCs w:val="20"/>
              </w:rPr>
              <w:t>&lt;0.01</w:t>
            </w:r>
          </w:p>
        </w:tc>
        <w:tc>
          <w:tcPr>
            <w:tcW w:w="1680" w:type="dxa"/>
            <w:tcBorders>
              <w:top w:val="single" w:sz="6" w:space="0" w:color="auto"/>
              <w:left w:val="single" w:sz="6" w:space="0" w:color="auto"/>
              <w:bottom w:val="single" w:sz="6" w:space="0" w:color="auto"/>
              <w:right w:val="single" w:sz="6" w:space="0" w:color="auto"/>
            </w:tcBorders>
            <w:vAlign w:val="bottom"/>
          </w:tcPr>
          <w:p w14:paraId="50E56060" w14:textId="77777777" w:rsidR="0093755C" w:rsidRPr="00656B40" w:rsidRDefault="0093755C" w:rsidP="0093755C">
            <w:pPr>
              <w:jc w:val="center"/>
              <w:rPr>
                <w:rFonts w:ascii="Arial Narrow" w:hAnsi="Arial Narrow"/>
                <w:sz w:val="20"/>
                <w:szCs w:val="20"/>
              </w:rPr>
            </w:pPr>
            <w:r w:rsidRPr="00656B40">
              <w:rPr>
                <w:rFonts w:ascii="Arial Narrow" w:hAnsi="Arial Narrow" w:cs="Arial"/>
                <w:color w:val="000000"/>
                <w:sz w:val="20"/>
                <w:szCs w:val="20"/>
              </w:rPr>
              <w:t>0.86</w:t>
            </w:r>
          </w:p>
        </w:tc>
      </w:tr>
      <w:tr w:rsidR="0093755C" w:rsidRPr="004D732D" w14:paraId="6345004D" w14:textId="77777777" w:rsidTr="0093755C">
        <w:trPr>
          <w:trHeight w:val="247"/>
        </w:trPr>
        <w:tc>
          <w:tcPr>
            <w:tcW w:w="2614" w:type="dxa"/>
            <w:tcBorders>
              <w:top w:val="single" w:sz="6" w:space="0" w:color="auto"/>
              <w:left w:val="single" w:sz="6" w:space="0" w:color="auto"/>
              <w:bottom w:val="single" w:sz="6" w:space="0" w:color="auto"/>
              <w:right w:val="single" w:sz="6" w:space="0" w:color="auto"/>
            </w:tcBorders>
            <w:vAlign w:val="bottom"/>
          </w:tcPr>
          <w:p w14:paraId="7E0C8632" w14:textId="77777777" w:rsidR="0093755C" w:rsidRPr="00656B40" w:rsidRDefault="0093755C" w:rsidP="0093755C">
            <w:pPr>
              <w:rPr>
                <w:rFonts w:ascii="Arial Narrow" w:hAnsi="Arial Narrow"/>
                <w:sz w:val="20"/>
                <w:szCs w:val="20"/>
              </w:rPr>
            </w:pPr>
            <w:r w:rsidRPr="00656B40">
              <w:rPr>
                <w:rFonts w:ascii="Arial Narrow" w:hAnsi="Arial Narrow" w:cs="Arial"/>
                <w:color w:val="000000"/>
                <w:sz w:val="20"/>
                <w:szCs w:val="20"/>
              </w:rPr>
              <w:t>TVS</w:t>
            </w:r>
          </w:p>
        </w:tc>
        <w:tc>
          <w:tcPr>
            <w:tcW w:w="1260" w:type="dxa"/>
            <w:tcBorders>
              <w:top w:val="single" w:sz="6" w:space="0" w:color="auto"/>
              <w:left w:val="single" w:sz="6" w:space="0" w:color="auto"/>
              <w:bottom w:val="single" w:sz="6" w:space="0" w:color="auto"/>
              <w:right w:val="single" w:sz="6" w:space="0" w:color="auto"/>
            </w:tcBorders>
            <w:vAlign w:val="bottom"/>
          </w:tcPr>
          <w:p w14:paraId="41853129" w14:textId="77777777" w:rsidR="0093755C" w:rsidRPr="00656B40" w:rsidRDefault="0093755C" w:rsidP="0093755C">
            <w:pPr>
              <w:jc w:val="center"/>
              <w:rPr>
                <w:rFonts w:ascii="Arial Narrow" w:hAnsi="Arial Narrow"/>
                <w:sz w:val="20"/>
                <w:szCs w:val="20"/>
              </w:rPr>
            </w:pPr>
            <w:r w:rsidRPr="00656B40">
              <w:rPr>
                <w:rFonts w:ascii="Arial Narrow" w:hAnsi="Arial Narrow" w:cs="Arial"/>
                <w:color w:val="000000"/>
                <w:sz w:val="20"/>
                <w:szCs w:val="20"/>
              </w:rPr>
              <w:t>N</w:t>
            </w:r>
          </w:p>
        </w:tc>
        <w:tc>
          <w:tcPr>
            <w:tcW w:w="1470" w:type="dxa"/>
            <w:tcBorders>
              <w:top w:val="single" w:sz="6" w:space="0" w:color="auto"/>
              <w:left w:val="single" w:sz="6" w:space="0" w:color="auto"/>
              <w:bottom w:val="single" w:sz="6" w:space="0" w:color="auto"/>
              <w:right w:val="single" w:sz="6" w:space="0" w:color="auto"/>
            </w:tcBorders>
            <w:vAlign w:val="bottom"/>
          </w:tcPr>
          <w:p w14:paraId="2DBBDB9F" w14:textId="77777777" w:rsidR="0093755C" w:rsidRPr="00656B40" w:rsidRDefault="0093755C" w:rsidP="0093755C">
            <w:pPr>
              <w:jc w:val="center"/>
              <w:rPr>
                <w:rFonts w:ascii="Arial Narrow" w:hAnsi="Arial Narrow"/>
                <w:sz w:val="20"/>
                <w:szCs w:val="20"/>
              </w:rPr>
            </w:pPr>
            <w:r w:rsidRPr="00656B40">
              <w:rPr>
                <w:rFonts w:ascii="Arial Narrow" w:hAnsi="Arial Narrow" w:cs="Arial"/>
                <w:color w:val="000000"/>
                <w:sz w:val="20"/>
                <w:szCs w:val="20"/>
              </w:rPr>
              <w:t>&lt;0.01</w:t>
            </w:r>
          </w:p>
        </w:tc>
        <w:tc>
          <w:tcPr>
            <w:tcW w:w="1680" w:type="dxa"/>
            <w:tcBorders>
              <w:top w:val="single" w:sz="6" w:space="0" w:color="auto"/>
              <w:left w:val="single" w:sz="6" w:space="0" w:color="auto"/>
              <w:bottom w:val="single" w:sz="6" w:space="0" w:color="auto"/>
              <w:right w:val="single" w:sz="6" w:space="0" w:color="auto"/>
            </w:tcBorders>
            <w:vAlign w:val="bottom"/>
          </w:tcPr>
          <w:p w14:paraId="1AE5218E" w14:textId="77777777" w:rsidR="0093755C" w:rsidRPr="00656B40" w:rsidRDefault="0093755C" w:rsidP="0093755C">
            <w:pPr>
              <w:jc w:val="center"/>
              <w:rPr>
                <w:rFonts w:ascii="Arial Narrow" w:hAnsi="Arial Narrow"/>
                <w:sz w:val="20"/>
                <w:szCs w:val="20"/>
              </w:rPr>
            </w:pPr>
            <w:r w:rsidRPr="00656B40">
              <w:rPr>
                <w:rFonts w:ascii="Arial Narrow" w:hAnsi="Arial Narrow" w:cs="Arial"/>
                <w:color w:val="000000"/>
                <w:sz w:val="20"/>
                <w:szCs w:val="20"/>
              </w:rPr>
              <w:t>0.92</w:t>
            </w:r>
          </w:p>
        </w:tc>
      </w:tr>
    </w:tbl>
    <w:p w14:paraId="69298142" w14:textId="77777777" w:rsidR="0093755C" w:rsidRDefault="0093755C" w:rsidP="0093755C">
      <w:pPr>
        <w:spacing w:before="120" w:after="120" w:line="360" w:lineRule="auto"/>
      </w:pPr>
    </w:p>
    <w:p w14:paraId="0215DEE3" w14:textId="05B5D430" w:rsidR="00406C0F" w:rsidRDefault="00BF32CE" w:rsidP="003E6AD9">
      <w:pPr>
        <w:widowControl w:val="0"/>
        <w:autoSpaceDE w:val="0"/>
        <w:autoSpaceDN w:val="0"/>
        <w:adjustRightInd w:val="0"/>
        <w:spacing w:before="120" w:after="120" w:line="360" w:lineRule="auto"/>
      </w:pPr>
      <w:r>
        <w:t xml:space="preserve">Water quality regressions at stations throughout the watershed could be misleading if different stressors are responsible for impairments in different streams. For the Roanoke River, sufficient sites and data were available to evaluate water quality regressions longitudinally. Benthic SCI scores were regressed against water quality data from Roanoke River stations at miles 224.54, 216.75, 215.13, 212.17, 202.20, and 198.08. In the Roanoke River, </w:t>
      </w:r>
      <w:r w:rsidR="005255C6">
        <w:t xml:space="preserve">phosphorus, temperature, and nitrogen each </w:t>
      </w:r>
      <w:r>
        <w:t xml:space="preserve">showed statistically significant </w:t>
      </w:r>
      <w:r w:rsidR="005255C6">
        <w:t>regressions (p-value &lt; 0.05) with benthic SCI scores (</w:t>
      </w:r>
      <w:r w:rsidR="005255C6">
        <w:fldChar w:fldCharType="begin"/>
      </w:r>
      <w:r w:rsidR="005255C6">
        <w:instrText xml:space="preserve"> REF _Ref150413578 \h </w:instrText>
      </w:r>
      <w:r w:rsidR="005255C6">
        <w:fldChar w:fldCharType="separate"/>
      </w:r>
      <w:r w:rsidR="004A78BF" w:rsidRPr="004D732D">
        <w:t xml:space="preserve">Table </w:t>
      </w:r>
      <w:r w:rsidR="004A78BF">
        <w:rPr>
          <w:noProof/>
        </w:rPr>
        <w:t>21</w:t>
      </w:r>
      <w:r w:rsidR="005255C6">
        <w:fldChar w:fldCharType="end"/>
      </w:r>
      <w:r w:rsidR="005255C6">
        <w:t>). The r</w:t>
      </w:r>
      <w:r w:rsidR="005255C6" w:rsidRPr="005255C6">
        <w:rPr>
          <w:vertAlign w:val="superscript"/>
        </w:rPr>
        <w:t>2</w:t>
      </w:r>
      <w:r w:rsidR="005255C6">
        <w:t xml:space="preserve"> values for these regressions were 0.81, 0.73, and 0.72, respectively. </w:t>
      </w:r>
      <w:r w:rsidR="00ED140A">
        <w:fldChar w:fldCharType="begin"/>
      </w:r>
      <w:r w:rsidR="00ED140A">
        <w:instrText xml:space="preserve"> REF _Ref150415278 \h </w:instrText>
      </w:r>
      <w:r w:rsidR="00ED140A">
        <w:fldChar w:fldCharType="separate"/>
      </w:r>
      <w:r w:rsidR="004A78BF">
        <w:t xml:space="preserve">Figure </w:t>
      </w:r>
      <w:r w:rsidR="004A78BF">
        <w:rPr>
          <w:noProof/>
        </w:rPr>
        <w:t>46</w:t>
      </w:r>
      <w:r w:rsidR="00ED140A">
        <w:fldChar w:fldCharType="end"/>
      </w:r>
      <w:r w:rsidR="00ED140A">
        <w:t xml:space="preserve"> shows these statistically significant relationships.</w:t>
      </w:r>
      <w:r w:rsidR="0039721C">
        <w:t xml:space="preserve"> Benthic SCI scores decreased longitudinally in the Roanoke River as phosphorus, temperature, and nitrogen levels increased. No other parameters produced statistically significant regressions.</w:t>
      </w:r>
    </w:p>
    <w:p w14:paraId="2ACA49FC" w14:textId="77777777" w:rsidR="00B82AB9" w:rsidRPr="004D732D" w:rsidRDefault="00B82AB9" w:rsidP="005E4B50">
      <w:pPr>
        <w:widowControl w:val="0"/>
        <w:autoSpaceDE w:val="0"/>
        <w:autoSpaceDN w:val="0"/>
        <w:adjustRightInd w:val="0"/>
        <w:spacing w:line="240" w:lineRule="auto"/>
      </w:pPr>
    </w:p>
    <w:p w14:paraId="14A553BC" w14:textId="51348977" w:rsidR="00BF32CE" w:rsidRPr="004D732D" w:rsidRDefault="00BF32CE" w:rsidP="00BF32CE">
      <w:pPr>
        <w:pStyle w:val="Caption"/>
      </w:pPr>
      <w:bookmarkStart w:id="184" w:name="_Ref150413578"/>
      <w:bookmarkStart w:id="185" w:name="_Toc162948288"/>
      <w:r w:rsidRPr="004D732D">
        <w:t xml:space="preserve">Table </w:t>
      </w:r>
      <w:r w:rsidRPr="004D732D">
        <w:rPr>
          <w:noProof/>
        </w:rPr>
        <w:fldChar w:fldCharType="begin"/>
      </w:r>
      <w:r w:rsidRPr="004D732D">
        <w:rPr>
          <w:noProof/>
        </w:rPr>
        <w:instrText xml:space="preserve"> SEQ Table \* ARABIC </w:instrText>
      </w:r>
      <w:r w:rsidRPr="004D732D">
        <w:rPr>
          <w:noProof/>
        </w:rPr>
        <w:fldChar w:fldCharType="separate"/>
      </w:r>
      <w:r w:rsidR="004A78BF">
        <w:rPr>
          <w:noProof/>
        </w:rPr>
        <w:t>21</w:t>
      </w:r>
      <w:r w:rsidRPr="004D732D">
        <w:rPr>
          <w:noProof/>
        </w:rPr>
        <w:fldChar w:fldCharType="end"/>
      </w:r>
      <w:bookmarkEnd w:id="184"/>
      <w:r w:rsidRPr="004D732D">
        <w:t>. Regression relationship between water quality parameters and stream condition index (SCI) scores</w:t>
      </w:r>
      <w:r>
        <w:t xml:space="preserve"> in the Roanoke River</w:t>
      </w:r>
      <w:r w:rsidRPr="004D732D">
        <w:t>.</w:t>
      </w:r>
      <w:bookmarkEnd w:id="185"/>
    </w:p>
    <w:tbl>
      <w:tblPr>
        <w:tblW w:w="0" w:type="auto"/>
        <w:tblInd w:w="78" w:type="dxa"/>
        <w:tblLayout w:type="fixed"/>
        <w:tblLook w:val="0000" w:firstRow="0" w:lastRow="0" w:firstColumn="0" w:lastColumn="0" w:noHBand="0" w:noVBand="0"/>
      </w:tblPr>
      <w:tblGrid>
        <w:gridCol w:w="2614"/>
        <w:gridCol w:w="1260"/>
        <w:gridCol w:w="1470"/>
        <w:gridCol w:w="1680"/>
      </w:tblGrid>
      <w:tr w:rsidR="00BF32CE" w:rsidRPr="004D732D" w14:paraId="1D3F9674" w14:textId="77777777" w:rsidTr="00B0118F">
        <w:trPr>
          <w:trHeight w:val="247"/>
        </w:trPr>
        <w:tc>
          <w:tcPr>
            <w:tcW w:w="2614" w:type="dxa"/>
            <w:tcBorders>
              <w:top w:val="single" w:sz="6" w:space="0" w:color="auto"/>
              <w:left w:val="single" w:sz="6" w:space="0" w:color="auto"/>
              <w:bottom w:val="single" w:sz="6" w:space="0" w:color="auto"/>
              <w:right w:val="single" w:sz="6" w:space="0" w:color="auto"/>
            </w:tcBorders>
            <w:shd w:val="clear" w:color="auto" w:fill="E0E0E0"/>
            <w:vAlign w:val="center"/>
          </w:tcPr>
          <w:p w14:paraId="258A0D12" w14:textId="77777777" w:rsidR="00BF32CE" w:rsidRPr="004D732D" w:rsidRDefault="00BF32CE" w:rsidP="00B0118F">
            <w:pPr>
              <w:rPr>
                <w:rFonts w:ascii="Arial Narrow" w:hAnsi="Arial Narrow"/>
                <w:b/>
                <w:sz w:val="20"/>
                <w:szCs w:val="20"/>
              </w:rPr>
            </w:pPr>
            <w:r w:rsidRPr="004D732D">
              <w:rPr>
                <w:rFonts w:ascii="Arial Narrow" w:hAnsi="Arial Narrow"/>
                <w:b/>
                <w:sz w:val="20"/>
                <w:szCs w:val="20"/>
              </w:rPr>
              <w:t>Parameter</w:t>
            </w:r>
          </w:p>
        </w:tc>
        <w:tc>
          <w:tcPr>
            <w:tcW w:w="1260" w:type="dxa"/>
            <w:tcBorders>
              <w:top w:val="single" w:sz="6" w:space="0" w:color="auto"/>
              <w:left w:val="single" w:sz="6" w:space="0" w:color="auto"/>
              <w:bottom w:val="single" w:sz="6" w:space="0" w:color="auto"/>
              <w:right w:val="single" w:sz="6" w:space="0" w:color="auto"/>
            </w:tcBorders>
            <w:shd w:val="clear" w:color="auto" w:fill="E0E0E0"/>
            <w:vAlign w:val="center"/>
          </w:tcPr>
          <w:p w14:paraId="3C2420BD" w14:textId="77777777" w:rsidR="00BF32CE" w:rsidRPr="004D732D" w:rsidRDefault="00BF32CE" w:rsidP="00B0118F">
            <w:pPr>
              <w:jc w:val="center"/>
              <w:rPr>
                <w:rFonts w:ascii="Arial Narrow" w:hAnsi="Arial Narrow"/>
                <w:b/>
                <w:sz w:val="20"/>
                <w:szCs w:val="20"/>
              </w:rPr>
            </w:pPr>
            <w:r w:rsidRPr="004D732D">
              <w:rPr>
                <w:rFonts w:ascii="Arial Narrow" w:hAnsi="Arial Narrow"/>
                <w:b/>
                <w:sz w:val="20"/>
                <w:szCs w:val="20"/>
              </w:rPr>
              <w:t xml:space="preserve">Regression Significant </w:t>
            </w:r>
          </w:p>
          <w:p w14:paraId="5108CB26" w14:textId="77777777" w:rsidR="00BF32CE" w:rsidRPr="004D732D" w:rsidRDefault="00BF32CE" w:rsidP="00B0118F">
            <w:pPr>
              <w:jc w:val="center"/>
              <w:rPr>
                <w:rFonts w:ascii="Arial Narrow" w:hAnsi="Arial Narrow"/>
                <w:b/>
                <w:sz w:val="20"/>
                <w:szCs w:val="20"/>
              </w:rPr>
            </w:pPr>
            <w:r w:rsidRPr="004D732D">
              <w:rPr>
                <w:rFonts w:ascii="Arial Narrow" w:hAnsi="Arial Narrow"/>
                <w:b/>
                <w:sz w:val="20"/>
                <w:szCs w:val="20"/>
              </w:rPr>
              <w:t>(Y/N)</w:t>
            </w:r>
          </w:p>
        </w:tc>
        <w:tc>
          <w:tcPr>
            <w:tcW w:w="1470" w:type="dxa"/>
            <w:tcBorders>
              <w:top w:val="single" w:sz="6" w:space="0" w:color="auto"/>
              <w:left w:val="single" w:sz="6" w:space="0" w:color="auto"/>
              <w:bottom w:val="single" w:sz="6" w:space="0" w:color="auto"/>
              <w:right w:val="single" w:sz="6" w:space="0" w:color="auto"/>
            </w:tcBorders>
            <w:shd w:val="clear" w:color="auto" w:fill="E0E0E0"/>
            <w:vAlign w:val="center"/>
          </w:tcPr>
          <w:p w14:paraId="59665E80" w14:textId="77777777" w:rsidR="00BF32CE" w:rsidRPr="004D732D" w:rsidRDefault="00BF32CE" w:rsidP="00B0118F">
            <w:pPr>
              <w:jc w:val="center"/>
              <w:rPr>
                <w:rFonts w:ascii="Arial Narrow" w:hAnsi="Arial Narrow"/>
                <w:b/>
                <w:sz w:val="20"/>
                <w:szCs w:val="20"/>
              </w:rPr>
            </w:pPr>
            <w:r w:rsidRPr="004D732D">
              <w:rPr>
                <w:rFonts w:ascii="Arial Narrow" w:hAnsi="Arial Narrow"/>
                <w:b/>
                <w:sz w:val="20"/>
                <w:szCs w:val="20"/>
              </w:rPr>
              <w:t>r</w:t>
            </w:r>
            <w:r w:rsidRPr="004D732D">
              <w:rPr>
                <w:rFonts w:ascii="Arial Narrow" w:hAnsi="Arial Narrow"/>
                <w:b/>
                <w:sz w:val="20"/>
                <w:szCs w:val="20"/>
                <w:vertAlign w:val="superscript"/>
              </w:rPr>
              <w:t>2</w:t>
            </w:r>
          </w:p>
        </w:tc>
        <w:tc>
          <w:tcPr>
            <w:tcW w:w="1680" w:type="dxa"/>
            <w:tcBorders>
              <w:top w:val="single" w:sz="6" w:space="0" w:color="auto"/>
              <w:left w:val="single" w:sz="6" w:space="0" w:color="auto"/>
              <w:bottom w:val="single" w:sz="6" w:space="0" w:color="auto"/>
              <w:right w:val="single" w:sz="6" w:space="0" w:color="auto"/>
            </w:tcBorders>
            <w:shd w:val="clear" w:color="auto" w:fill="E0E0E0"/>
            <w:vAlign w:val="center"/>
          </w:tcPr>
          <w:p w14:paraId="47442B57" w14:textId="77777777" w:rsidR="00BF32CE" w:rsidRPr="004D732D" w:rsidRDefault="00BF32CE" w:rsidP="00B0118F">
            <w:pPr>
              <w:jc w:val="center"/>
              <w:rPr>
                <w:rFonts w:ascii="Arial Narrow" w:hAnsi="Arial Narrow"/>
                <w:b/>
                <w:sz w:val="20"/>
                <w:szCs w:val="20"/>
              </w:rPr>
            </w:pPr>
            <w:r w:rsidRPr="004D732D">
              <w:rPr>
                <w:rFonts w:ascii="Arial Narrow" w:hAnsi="Arial Narrow"/>
                <w:b/>
                <w:sz w:val="20"/>
                <w:szCs w:val="20"/>
              </w:rPr>
              <w:t>p-value</w:t>
            </w:r>
          </w:p>
        </w:tc>
      </w:tr>
      <w:tr w:rsidR="00BF32CE" w:rsidRPr="004D732D" w14:paraId="33173891" w14:textId="77777777" w:rsidTr="00B0118F">
        <w:trPr>
          <w:trHeight w:val="247"/>
        </w:trPr>
        <w:tc>
          <w:tcPr>
            <w:tcW w:w="2614" w:type="dxa"/>
            <w:tcBorders>
              <w:top w:val="single" w:sz="6" w:space="0" w:color="auto"/>
              <w:left w:val="single" w:sz="6" w:space="0" w:color="auto"/>
              <w:bottom w:val="single" w:sz="6" w:space="0" w:color="auto"/>
              <w:right w:val="single" w:sz="6" w:space="0" w:color="auto"/>
            </w:tcBorders>
            <w:vAlign w:val="bottom"/>
          </w:tcPr>
          <w:p w14:paraId="2B7B9E8F" w14:textId="5C5A857F" w:rsidR="00BF32CE" w:rsidRPr="00BF32CE" w:rsidRDefault="00BF32CE" w:rsidP="00BF32CE">
            <w:pPr>
              <w:rPr>
                <w:rFonts w:ascii="Arial Narrow" w:hAnsi="Arial Narrow"/>
                <w:sz w:val="20"/>
                <w:szCs w:val="20"/>
              </w:rPr>
            </w:pPr>
            <w:r w:rsidRPr="00BF32CE">
              <w:rPr>
                <w:rFonts w:ascii="Arial Narrow" w:hAnsi="Arial Narrow" w:cs="Arial"/>
                <w:color w:val="000000"/>
                <w:sz w:val="20"/>
                <w:szCs w:val="20"/>
              </w:rPr>
              <w:t>Phosphorus</w:t>
            </w:r>
          </w:p>
        </w:tc>
        <w:tc>
          <w:tcPr>
            <w:tcW w:w="1260" w:type="dxa"/>
            <w:tcBorders>
              <w:top w:val="single" w:sz="6" w:space="0" w:color="auto"/>
              <w:left w:val="single" w:sz="6" w:space="0" w:color="auto"/>
              <w:bottom w:val="single" w:sz="6" w:space="0" w:color="auto"/>
              <w:right w:val="single" w:sz="6" w:space="0" w:color="auto"/>
            </w:tcBorders>
            <w:vAlign w:val="bottom"/>
          </w:tcPr>
          <w:p w14:paraId="407E9330" w14:textId="4516FF7B" w:rsidR="00BF32CE" w:rsidRPr="00BF32CE" w:rsidRDefault="00BF32CE" w:rsidP="00BF32CE">
            <w:pPr>
              <w:jc w:val="center"/>
              <w:rPr>
                <w:rFonts w:ascii="Arial Narrow" w:hAnsi="Arial Narrow"/>
                <w:sz w:val="20"/>
                <w:szCs w:val="20"/>
              </w:rPr>
            </w:pPr>
            <w:r w:rsidRPr="00BF32CE">
              <w:rPr>
                <w:rFonts w:ascii="Arial Narrow" w:hAnsi="Arial Narrow" w:cs="Arial"/>
                <w:color w:val="000000"/>
                <w:sz w:val="20"/>
                <w:szCs w:val="20"/>
              </w:rPr>
              <w:t>Y</w:t>
            </w:r>
          </w:p>
        </w:tc>
        <w:tc>
          <w:tcPr>
            <w:tcW w:w="1470" w:type="dxa"/>
            <w:tcBorders>
              <w:top w:val="single" w:sz="6" w:space="0" w:color="auto"/>
              <w:left w:val="single" w:sz="6" w:space="0" w:color="auto"/>
              <w:bottom w:val="single" w:sz="6" w:space="0" w:color="auto"/>
              <w:right w:val="single" w:sz="6" w:space="0" w:color="auto"/>
            </w:tcBorders>
            <w:vAlign w:val="bottom"/>
          </w:tcPr>
          <w:p w14:paraId="52E17DF7" w14:textId="15A1984B" w:rsidR="00BF32CE" w:rsidRPr="00BF32CE" w:rsidRDefault="00BF32CE" w:rsidP="00BF32CE">
            <w:pPr>
              <w:jc w:val="center"/>
              <w:rPr>
                <w:rFonts w:ascii="Arial Narrow" w:hAnsi="Arial Narrow"/>
                <w:sz w:val="20"/>
                <w:szCs w:val="20"/>
              </w:rPr>
            </w:pPr>
            <w:r w:rsidRPr="00BF32CE">
              <w:rPr>
                <w:rFonts w:ascii="Arial Narrow" w:hAnsi="Arial Narrow" w:cs="Arial"/>
                <w:color w:val="000000"/>
                <w:sz w:val="20"/>
                <w:szCs w:val="20"/>
              </w:rPr>
              <w:t>0.81</w:t>
            </w:r>
          </w:p>
        </w:tc>
        <w:tc>
          <w:tcPr>
            <w:tcW w:w="1680" w:type="dxa"/>
            <w:tcBorders>
              <w:top w:val="single" w:sz="6" w:space="0" w:color="auto"/>
              <w:left w:val="single" w:sz="6" w:space="0" w:color="auto"/>
              <w:bottom w:val="single" w:sz="6" w:space="0" w:color="auto"/>
              <w:right w:val="single" w:sz="6" w:space="0" w:color="auto"/>
            </w:tcBorders>
            <w:vAlign w:val="bottom"/>
          </w:tcPr>
          <w:p w14:paraId="2FAA4B4B" w14:textId="325F29B3" w:rsidR="00BF32CE" w:rsidRPr="00BF32CE" w:rsidRDefault="00BF32CE" w:rsidP="00BF32CE">
            <w:pPr>
              <w:jc w:val="center"/>
              <w:rPr>
                <w:rFonts w:ascii="Arial Narrow" w:hAnsi="Arial Narrow"/>
                <w:sz w:val="20"/>
                <w:szCs w:val="20"/>
              </w:rPr>
            </w:pPr>
            <w:r w:rsidRPr="00BF32CE">
              <w:rPr>
                <w:rFonts w:ascii="Arial Narrow" w:hAnsi="Arial Narrow" w:cs="Arial"/>
                <w:color w:val="000000"/>
                <w:sz w:val="20"/>
                <w:szCs w:val="20"/>
              </w:rPr>
              <w:t>0.01</w:t>
            </w:r>
          </w:p>
        </w:tc>
      </w:tr>
      <w:tr w:rsidR="00BF32CE" w:rsidRPr="004D732D" w14:paraId="78BFD64E" w14:textId="77777777" w:rsidTr="00B0118F">
        <w:trPr>
          <w:trHeight w:val="247"/>
        </w:trPr>
        <w:tc>
          <w:tcPr>
            <w:tcW w:w="2614" w:type="dxa"/>
            <w:tcBorders>
              <w:top w:val="single" w:sz="6" w:space="0" w:color="auto"/>
              <w:left w:val="single" w:sz="6" w:space="0" w:color="auto"/>
              <w:bottom w:val="single" w:sz="6" w:space="0" w:color="auto"/>
              <w:right w:val="single" w:sz="6" w:space="0" w:color="auto"/>
            </w:tcBorders>
            <w:vAlign w:val="bottom"/>
          </w:tcPr>
          <w:p w14:paraId="1CE1CE9F" w14:textId="3D72AD7B" w:rsidR="00BF32CE" w:rsidRPr="00BF32CE" w:rsidRDefault="00BF32CE" w:rsidP="00BF32CE">
            <w:pPr>
              <w:rPr>
                <w:rFonts w:ascii="Arial Narrow" w:hAnsi="Arial Narrow"/>
                <w:sz w:val="20"/>
                <w:szCs w:val="20"/>
              </w:rPr>
            </w:pPr>
            <w:r w:rsidRPr="00BF32CE">
              <w:rPr>
                <w:rFonts w:ascii="Arial Narrow" w:hAnsi="Arial Narrow" w:cs="Arial"/>
                <w:color w:val="000000"/>
                <w:sz w:val="20"/>
                <w:szCs w:val="20"/>
              </w:rPr>
              <w:t>Temp</w:t>
            </w:r>
          </w:p>
        </w:tc>
        <w:tc>
          <w:tcPr>
            <w:tcW w:w="1260" w:type="dxa"/>
            <w:tcBorders>
              <w:top w:val="single" w:sz="6" w:space="0" w:color="auto"/>
              <w:left w:val="single" w:sz="6" w:space="0" w:color="auto"/>
              <w:bottom w:val="single" w:sz="6" w:space="0" w:color="auto"/>
              <w:right w:val="single" w:sz="6" w:space="0" w:color="auto"/>
            </w:tcBorders>
            <w:vAlign w:val="bottom"/>
          </w:tcPr>
          <w:p w14:paraId="1DC0693A" w14:textId="15FC62D6" w:rsidR="00BF32CE" w:rsidRPr="00BF32CE" w:rsidRDefault="00BF32CE" w:rsidP="00BF32CE">
            <w:pPr>
              <w:jc w:val="center"/>
              <w:rPr>
                <w:rFonts w:ascii="Arial Narrow" w:hAnsi="Arial Narrow"/>
                <w:sz w:val="20"/>
                <w:szCs w:val="20"/>
              </w:rPr>
            </w:pPr>
            <w:r w:rsidRPr="00BF32CE">
              <w:rPr>
                <w:rFonts w:ascii="Arial Narrow" w:hAnsi="Arial Narrow" w:cs="Arial"/>
                <w:color w:val="000000"/>
                <w:sz w:val="20"/>
                <w:szCs w:val="20"/>
              </w:rPr>
              <w:t>Y</w:t>
            </w:r>
          </w:p>
        </w:tc>
        <w:tc>
          <w:tcPr>
            <w:tcW w:w="1470" w:type="dxa"/>
            <w:tcBorders>
              <w:top w:val="single" w:sz="6" w:space="0" w:color="auto"/>
              <w:left w:val="single" w:sz="6" w:space="0" w:color="auto"/>
              <w:bottom w:val="single" w:sz="6" w:space="0" w:color="auto"/>
              <w:right w:val="single" w:sz="6" w:space="0" w:color="auto"/>
            </w:tcBorders>
            <w:vAlign w:val="bottom"/>
          </w:tcPr>
          <w:p w14:paraId="7991AA23" w14:textId="585593C5" w:rsidR="00BF32CE" w:rsidRPr="00BF32CE" w:rsidRDefault="00BF32CE" w:rsidP="00BF32CE">
            <w:pPr>
              <w:jc w:val="center"/>
              <w:rPr>
                <w:rFonts w:ascii="Arial Narrow" w:hAnsi="Arial Narrow"/>
                <w:sz w:val="20"/>
                <w:szCs w:val="20"/>
              </w:rPr>
            </w:pPr>
            <w:r w:rsidRPr="00BF32CE">
              <w:rPr>
                <w:rFonts w:ascii="Arial Narrow" w:hAnsi="Arial Narrow" w:cs="Arial"/>
                <w:color w:val="000000"/>
                <w:sz w:val="20"/>
                <w:szCs w:val="20"/>
              </w:rPr>
              <w:t>0.73</w:t>
            </w:r>
          </w:p>
        </w:tc>
        <w:tc>
          <w:tcPr>
            <w:tcW w:w="1680" w:type="dxa"/>
            <w:tcBorders>
              <w:top w:val="single" w:sz="6" w:space="0" w:color="auto"/>
              <w:left w:val="single" w:sz="6" w:space="0" w:color="auto"/>
              <w:bottom w:val="single" w:sz="6" w:space="0" w:color="auto"/>
              <w:right w:val="single" w:sz="6" w:space="0" w:color="auto"/>
            </w:tcBorders>
            <w:vAlign w:val="bottom"/>
          </w:tcPr>
          <w:p w14:paraId="6438F946" w14:textId="799D1216" w:rsidR="00BF32CE" w:rsidRPr="00BF32CE" w:rsidRDefault="00BF32CE" w:rsidP="00BF32CE">
            <w:pPr>
              <w:jc w:val="center"/>
              <w:rPr>
                <w:rFonts w:ascii="Arial Narrow" w:hAnsi="Arial Narrow"/>
                <w:sz w:val="20"/>
                <w:szCs w:val="20"/>
              </w:rPr>
            </w:pPr>
            <w:r w:rsidRPr="00BF32CE">
              <w:rPr>
                <w:rFonts w:ascii="Arial Narrow" w:hAnsi="Arial Narrow" w:cs="Arial"/>
                <w:color w:val="000000"/>
                <w:sz w:val="20"/>
                <w:szCs w:val="20"/>
              </w:rPr>
              <w:t>0.03</w:t>
            </w:r>
          </w:p>
        </w:tc>
      </w:tr>
      <w:tr w:rsidR="00BF32CE" w:rsidRPr="004D732D" w14:paraId="30A22C3D" w14:textId="77777777" w:rsidTr="00B0118F">
        <w:trPr>
          <w:trHeight w:val="247"/>
        </w:trPr>
        <w:tc>
          <w:tcPr>
            <w:tcW w:w="2614" w:type="dxa"/>
            <w:tcBorders>
              <w:top w:val="single" w:sz="6" w:space="0" w:color="auto"/>
              <w:left w:val="single" w:sz="6" w:space="0" w:color="auto"/>
              <w:bottom w:val="single" w:sz="6" w:space="0" w:color="auto"/>
              <w:right w:val="single" w:sz="6" w:space="0" w:color="auto"/>
            </w:tcBorders>
            <w:vAlign w:val="bottom"/>
          </w:tcPr>
          <w:p w14:paraId="728D7368" w14:textId="3D0480FB" w:rsidR="00BF32CE" w:rsidRPr="00BF32CE" w:rsidRDefault="00BF32CE" w:rsidP="00BF32CE">
            <w:pPr>
              <w:rPr>
                <w:rFonts w:ascii="Arial Narrow" w:hAnsi="Arial Narrow" w:cs="Calibri"/>
                <w:color w:val="000000"/>
                <w:sz w:val="20"/>
                <w:szCs w:val="20"/>
              </w:rPr>
            </w:pPr>
            <w:r w:rsidRPr="00BF32CE">
              <w:rPr>
                <w:rFonts w:ascii="Arial Narrow" w:hAnsi="Arial Narrow" w:cs="Arial"/>
                <w:color w:val="000000"/>
                <w:sz w:val="20"/>
                <w:szCs w:val="20"/>
              </w:rPr>
              <w:t>Nitrogen</w:t>
            </w:r>
          </w:p>
        </w:tc>
        <w:tc>
          <w:tcPr>
            <w:tcW w:w="1260" w:type="dxa"/>
            <w:tcBorders>
              <w:top w:val="single" w:sz="6" w:space="0" w:color="auto"/>
              <w:left w:val="single" w:sz="6" w:space="0" w:color="auto"/>
              <w:bottom w:val="single" w:sz="6" w:space="0" w:color="auto"/>
              <w:right w:val="single" w:sz="6" w:space="0" w:color="auto"/>
            </w:tcBorders>
            <w:vAlign w:val="bottom"/>
          </w:tcPr>
          <w:p w14:paraId="37914D66" w14:textId="31CB38BF" w:rsidR="00BF32CE" w:rsidRPr="00BF32CE" w:rsidRDefault="00BF32CE" w:rsidP="00BF32CE">
            <w:pPr>
              <w:jc w:val="center"/>
              <w:rPr>
                <w:rFonts w:ascii="Arial Narrow" w:hAnsi="Arial Narrow" w:cs="Calibri"/>
                <w:color w:val="000000"/>
                <w:sz w:val="20"/>
                <w:szCs w:val="20"/>
              </w:rPr>
            </w:pPr>
            <w:r w:rsidRPr="00BF32CE">
              <w:rPr>
                <w:rFonts w:ascii="Arial Narrow" w:hAnsi="Arial Narrow" w:cs="Arial"/>
                <w:color w:val="000000"/>
                <w:sz w:val="20"/>
                <w:szCs w:val="20"/>
              </w:rPr>
              <w:t>Y</w:t>
            </w:r>
          </w:p>
        </w:tc>
        <w:tc>
          <w:tcPr>
            <w:tcW w:w="1470" w:type="dxa"/>
            <w:tcBorders>
              <w:top w:val="single" w:sz="6" w:space="0" w:color="auto"/>
              <w:left w:val="single" w:sz="6" w:space="0" w:color="auto"/>
              <w:bottom w:val="single" w:sz="6" w:space="0" w:color="auto"/>
              <w:right w:val="single" w:sz="6" w:space="0" w:color="auto"/>
            </w:tcBorders>
            <w:vAlign w:val="bottom"/>
          </w:tcPr>
          <w:p w14:paraId="5C531C31" w14:textId="06EFD32E" w:rsidR="00BF32CE" w:rsidRPr="00BF32CE" w:rsidRDefault="00BF32CE" w:rsidP="00BF32CE">
            <w:pPr>
              <w:jc w:val="center"/>
              <w:rPr>
                <w:rFonts w:ascii="Arial Narrow" w:hAnsi="Arial Narrow" w:cs="Calibri"/>
                <w:color w:val="000000"/>
                <w:sz w:val="20"/>
                <w:szCs w:val="20"/>
              </w:rPr>
            </w:pPr>
            <w:r w:rsidRPr="00BF32CE">
              <w:rPr>
                <w:rFonts w:ascii="Arial Narrow" w:hAnsi="Arial Narrow" w:cs="Arial"/>
                <w:color w:val="000000"/>
                <w:sz w:val="20"/>
                <w:szCs w:val="20"/>
              </w:rPr>
              <w:t>0.72</w:t>
            </w:r>
          </w:p>
        </w:tc>
        <w:tc>
          <w:tcPr>
            <w:tcW w:w="1680" w:type="dxa"/>
            <w:tcBorders>
              <w:top w:val="single" w:sz="6" w:space="0" w:color="auto"/>
              <w:left w:val="single" w:sz="6" w:space="0" w:color="auto"/>
              <w:bottom w:val="single" w:sz="6" w:space="0" w:color="auto"/>
              <w:right w:val="single" w:sz="6" w:space="0" w:color="auto"/>
            </w:tcBorders>
            <w:vAlign w:val="bottom"/>
          </w:tcPr>
          <w:p w14:paraId="7B6D7158" w14:textId="4A42CA2D" w:rsidR="00BF32CE" w:rsidRPr="00BF32CE" w:rsidRDefault="00BF32CE" w:rsidP="00BF32CE">
            <w:pPr>
              <w:jc w:val="center"/>
              <w:rPr>
                <w:rFonts w:ascii="Arial Narrow" w:hAnsi="Arial Narrow" w:cs="Calibri"/>
                <w:color w:val="000000"/>
                <w:sz w:val="20"/>
                <w:szCs w:val="20"/>
              </w:rPr>
            </w:pPr>
            <w:r w:rsidRPr="00BF32CE">
              <w:rPr>
                <w:rFonts w:ascii="Arial Narrow" w:hAnsi="Arial Narrow" w:cs="Arial"/>
                <w:color w:val="000000"/>
                <w:sz w:val="20"/>
                <w:szCs w:val="20"/>
              </w:rPr>
              <w:t>0.03</w:t>
            </w:r>
          </w:p>
        </w:tc>
      </w:tr>
      <w:tr w:rsidR="00BF32CE" w:rsidRPr="004D732D" w14:paraId="64BF8D1F" w14:textId="77777777" w:rsidTr="00B0118F">
        <w:trPr>
          <w:trHeight w:val="247"/>
        </w:trPr>
        <w:tc>
          <w:tcPr>
            <w:tcW w:w="2614" w:type="dxa"/>
            <w:tcBorders>
              <w:top w:val="single" w:sz="6" w:space="0" w:color="auto"/>
              <w:left w:val="single" w:sz="6" w:space="0" w:color="auto"/>
              <w:bottom w:val="single" w:sz="6" w:space="0" w:color="auto"/>
              <w:right w:val="single" w:sz="6" w:space="0" w:color="auto"/>
            </w:tcBorders>
            <w:vAlign w:val="bottom"/>
          </w:tcPr>
          <w:p w14:paraId="5887EFF5" w14:textId="2C18A356" w:rsidR="00BF32CE" w:rsidRPr="00BF32CE" w:rsidRDefault="00BF32CE" w:rsidP="00BF32CE">
            <w:pPr>
              <w:rPr>
                <w:rFonts w:ascii="Arial Narrow" w:hAnsi="Arial Narrow"/>
                <w:sz w:val="20"/>
                <w:szCs w:val="20"/>
              </w:rPr>
            </w:pPr>
            <w:r w:rsidRPr="00BF32CE">
              <w:rPr>
                <w:rFonts w:ascii="Arial Narrow" w:hAnsi="Arial Narrow" w:cs="Arial"/>
                <w:color w:val="000000"/>
                <w:sz w:val="20"/>
                <w:szCs w:val="20"/>
              </w:rPr>
              <w:t>Ammonia</w:t>
            </w:r>
          </w:p>
        </w:tc>
        <w:tc>
          <w:tcPr>
            <w:tcW w:w="1260" w:type="dxa"/>
            <w:tcBorders>
              <w:top w:val="single" w:sz="6" w:space="0" w:color="auto"/>
              <w:left w:val="single" w:sz="6" w:space="0" w:color="auto"/>
              <w:bottom w:val="single" w:sz="6" w:space="0" w:color="auto"/>
              <w:right w:val="single" w:sz="6" w:space="0" w:color="auto"/>
            </w:tcBorders>
            <w:vAlign w:val="bottom"/>
          </w:tcPr>
          <w:p w14:paraId="720D7500" w14:textId="3107283C" w:rsidR="00BF32CE" w:rsidRPr="00BF32CE" w:rsidRDefault="00BF32CE" w:rsidP="00BF32CE">
            <w:pPr>
              <w:jc w:val="center"/>
              <w:rPr>
                <w:rFonts w:ascii="Arial Narrow" w:hAnsi="Arial Narrow"/>
                <w:sz w:val="20"/>
                <w:szCs w:val="20"/>
              </w:rPr>
            </w:pPr>
            <w:r w:rsidRPr="00BF32CE">
              <w:rPr>
                <w:rFonts w:ascii="Arial Narrow" w:hAnsi="Arial Narrow" w:cs="Arial"/>
                <w:color w:val="000000"/>
                <w:sz w:val="20"/>
                <w:szCs w:val="20"/>
              </w:rPr>
              <w:t>N</w:t>
            </w:r>
          </w:p>
        </w:tc>
        <w:tc>
          <w:tcPr>
            <w:tcW w:w="1470" w:type="dxa"/>
            <w:tcBorders>
              <w:top w:val="single" w:sz="6" w:space="0" w:color="auto"/>
              <w:left w:val="single" w:sz="6" w:space="0" w:color="auto"/>
              <w:bottom w:val="single" w:sz="6" w:space="0" w:color="auto"/>
              <w:right w:val="single" w:sz="6" w:space="0" w:color="auto"/>
            </w:tcBorders>
            <w:vAlign w:val="bottom"/>
          </w:tcPr>
          <w:p w14:paraId="094E6987" w14:textId="4D9813BC" w:rsidR="00BF32CE" w:rsidRPr="00BF32CE" w:rsidRDefault="00BF32CE" w:rsidP="00BF32CE">
            <w:pPr>
              <w:jc w:val="center"/>
              <w:rPr>
                <w:rFonts w:ascii="Arial Narrow" w:hAnsi="Arial Narrow"/>
                <w:sz w:val="20"/>
                <w:szCs w:val="20"/>
              </w:rPr>
            </w:pPr>
            <w:r w:rsidRPr="00BF32CE">
              <w:rPr>
                <w:rFonts w:ascii="Arial Narrow" w:hAnsi="Arial Narrow" w:cs="Arial"/>
                <w:color w:val="000000"/>
                <w:sz w:val="20"/>
                <w:szCs w:val="20"/>
              </w:rPr>
              <w:t>0.65</w:t>
            </w:r>
          </w:p>
        </w:tc>
        <w:tc>
          <w:tcPr>
            <w:tcW w:w="1680" w:type="dxa"/>
            <w:tcBorders>
              <w:top w:val="single" w:sz="6" w:space="0" w:color="auto"/>
              <w:left w:val="single" w:sz="6" w:space="0" w:color="auto"/>
              <w:bottom w:val="single" w:sz="6" w:space="0" w:color="auto"/>
              <w:right w:val="single" w:sz="6" w:space="0" w:color="auto"/>
            </w:tcBorders>
            <w:vAlign w:val="bottom"/>
          </w:tcPr>
          <w:p w14:paraId="20332282" w14:textId="6E3735CD" w:rsidR="00BF32CE" w:rsidRPr="00BF32CE" w:rsidRDefault="00BF32CE" w:rsidP="00BF32CE">
            <w:pPr>
              <w:jc w:val="center"/>
              <w:rPr>
                <w:rFonts w:ascii="Arial Narrow" w:hAnsi="Arial Narrow"/>
                <w:sz w:val="20"/>
                <w:szCs w:val="20"/>
              </w:rPr>
            </w:pPr>
            <w:r w:rsidRPr="00BF32CE">
              <w:rPr>
                <w:rFonts w:ascii="Arial Narrow" w:hAnsi="Arial Narrow" w:cs="Arial"/>
                <w:color w:val="000000"/>
                <w:sz w:val="20"/>
                <w:szCs w:val="20"/>
              </w:rPr>
              <w:t>0.05</w:t>
            </w:r>
          </w:p>
        </w:tc>
      </w:tr>
      <w:tr w:rsidR="00BF32CE" w:rsidRPr="004D732D" w14:paraId="18FB1F21" w14:textId="77777777" w:rsidTr="00B0118F">
        <w:trPr>
          <w:trHeight w:val="247"/>
        </w:trPr>
        <w:tc>
          <w:tcPr>
            <w:tcW w:w="2614" w:type="dxa"/>
            <w:tcBorders>
              <w:top w:val="single" w:sz="6" w:space="0" w:color="auto"/>
              <w:left w:val="single" w:sz="6" w:space="0" w:color="auto"/>
              <w:bottom w:val="single" w:sz="6" w:space="0" w:color="auto"/>
              <w:right w:val="single" w:sz="6" w:space="0" w:color="auto"/>
            </w:tcBorders>
            <w:vAlign w:val="bottom"/>
          </w:tcPr>
          <w:p w14:paraId="2395CB6F" w14:textId="49CD21E5" w:rsidR="00BF32CE" w:rsidRPr="00BF32CE" w:rsidRDefault="00BF32CE" w:rsidP="00BF32CE">
            <w:pPr>
              <w:rPr>
                <w:rFonts w:ascii="Arial Narrow" w:hAnsi="Arial Narrow"/>
                <w:sz w:val="20"/>
                <w:szCs w:val="20"/>
              </w:rPr>
            </w:pPr>
            <w:r w:rsidRPr="00BF32CE">
              <w:rPr>
                <w:rFonts w:ascii="Arial Narrow" w:hAnsi="Arial Narrow" w:cs="Arial"/>
                <w:color w:val="000000"/>
                <w:sz w:val="20"/>
                <w:szCs w:val="20"/>
              </w:rPr>
              <w:t>CCU</w:t>
            </w:r>
          </w:p>
        </w:tc>
        <w:tc>
          <w:tcPr>
            <w:tcW w:w="1260" w:type="dxa"/>
            <w:tcBorders>
              <w:top w:val="single" w:sz="6" w:space="0" w:color="auto"/>
              <w:left w:val="single" w:sz="6" w:space="0" w:color="auto"/>
              <w:bottom w:val="single" w:sz="6" w:space="0" w:color="auto"/>
              <w:right w:val="single" w:sz="6" w:space="0" w:color="auto"/>
            </w:tcBorders>
            <w:vAlign w:val="bottom"/>
          </w:tcPr>
          <w:p w14:paraId="44AA2DC0" w14:textId="7BD98547" w:rsidR="00BF32CE" w:rsidRPr="00BF32CE" w:rsidRDefault="00BF32CE" w:rsidP="00BF32CE">
            <w:pPr>
              <w:jc w:val="center"/>
              <w:rPr>
                <w:rFonts w:ascii="Arial Narrow" w:hAnsi="Arial Narrow"/>
                <w:sz w:val="20"/>
                <w:szCs w:val="20"/>
              </w:rPr>
            </w:pPr>
            <w:r w:rsidRPr="00BF32CE">
              <w:rPr>
                <w:rFonts w:ascii="Arial Narrow" w:hAnsi="Arial Narrow" w:cs="Arial"/>
                <w:color w:val="000000"/>
                <w:sz w:val="20"/>
                <w:szCs w:val="20"/>
              </w:rPr>
              <w:t>N</w:t>
            </w:r>
          </w:p>
        </w:tc>
        <w:tc>
          <w:tcPr>
            <w:tcW w:w="1470" w:type="dxa"/>
            <w:tcBorders>
              <w:top w:val="single" w:sz="6" w:space="0" w:color="auto"/>
              <w:left w:val="single" w:sz="6" w:space="0" w:color="auto"/>
              <w:bottom w:val="single" w:sz="6" w:space="0" w:color="auto"/>
              <w:right w:val="single" w:sz="6" w:space="0" w:color="auto"/>
            </w:tcBorders>
            <w:vAlign w:val="bottom"/>
          </w:tcPr>
          <w:p w14:paraId="4FAA0314" w14:textId="021E6D2F" w:rsidR="00BF32CE" w:rsidRPr="00BF32CE" w:rsidRDefault="00BF32CE" w:rsidP="00BF32CE">
            <w:pPr>
              <w:jc w:val="center"/>
              <w:rPr>
                <w:rFonts w:ascii="Arial Narrow" w:hAnsi="Arial Narrow"/>
                <w:sz w:val="20"/>
                <w:szCs w:val="20"/>
              </w:rPr>
            </w:pPr>
            <w:r w:rsidRPr="00BF32CE">
              <w:rPr>
                <w:rFonts w:ascii="Arial Narrow" w:hAnsi="Arial Narrow" w:cs="Arial"/>
                <w:color w:val="000000"/>
                <w:sz w:val="20"/>
                <w:szCs w:val="20"/>
              </w:rPr>
              <w:t>0.88</w:t>
            </w:r>
          </w:p>
        </w:tc>
        <w:tc>
          <w:tcPr>
            <w:tcW w:w="1680" w:type="dxa"/>
            <w:tcBorders>
              <w:top w:val="single" w:sz="6" w:space="0" w:color="auto"/>
              <w:left w:val="single" w:sz="6" w:space="0" w:color="auto"/>
              <w:bottom w:val="single" w:sz="6" w:space="0" w:color="auto"/>
              <w:right w:val="single" w:sz="6" w:space="0" w:color="auto"/>
            </w:tcBorders>
            <w:vAlign w:val="bottom"/>
          </w:tcPr>
          <w:p w14:paraId="4844F86C" w14:textId="5029CD10" w:rsidR="00BF32CE" w:rsidRPr="00BF32CE" w:rsidRDefault="00BF32CE" w:rsidP="00BF32CE">
            <w:pPr>
              <w:jc w:val="center"/>
              <w:rPr>
                <w:rFonts w:ascii="Arial Narrow" w:hAnsi="Arial Narrow"/>
                <w:sz w:val="20"/>
                <w:szCs w:val="20"/>
              </w:rPr>
            </w:pPr>
            <w:r w:rsidRPr="00BF32CE">
              <w:rPr>
                <w:rFonts w:ascii="Arial Narrow" w:hAnsi="Arial Narrow" w:cs="Arial"/>
                <w:color w:val="000000"/>
                <w:sz w:val="20"/>
                <w:szCs w:val="20"/>
              </w:rPr>
              <w:t>0.06</w:t>
            </w:r>
          </w:p>
        </w:tc>
      </w:tr>
      <w:tr w:rsidR="00BF32CE" w:rsidRPr="004D732D" w14:paraId="4BF125EB" w14:textId="77777777" w:rsidTr="00B0118F">
        <w:trPr>
          <w:trHeight w:val="247"/>
        </w:trPr>
        <w:tc>
          <w:tcPr>
            <w:tcW w:w="2614" w:type="dxa"/>
            <w:tcBorders>
              <w:top w:val="single" w:sz="6" w:space="0" w:color="auto"/>
              <w:left w:val="single" w:sz="6" w:space="0" w:color="auto"/>
              <w:bottom w:val="single" w:sz="6" w:space="0" w:color="auto"/>
              <w:right w:val="single" w:sz="6" w:space="0" w:color="auto"/>
            </w:tcBorders>
            <w:vAlign w:val="bottom"/>
          </w:tcPr>
          <w:p w14:paraId="74E5EAEF" w14:textId="75F210C8" w:rsidR="00BF32CE" w:rsidRPr="00BF32CE" w:rsidRDefault="00BF32CE" w:rsidP="00BF32CE">
            <w:pPr>
              <w:rPr>
                <w:rFonts w:ascii="Arial Narrow" w:hAnsi="Arial Narrow"/>
                <w:sz w:val="20"/>
                <w:szCs w:val="20"/>
              </w:rPr>
            </w:pPr>
            <w:r w:rsidRPr="00BF32CE">
              <w:rPr>
                <w:rFonts w:ascii="Arial Narrow" w:hAnsi="Arial Narrow" w:cs="Arial"/>
                <w:color w:val="000000"/>
                <w:sz w:val="20"/>
                <w:szCs w:val="20"/>
              </w:rPr>
              <w:t>Sulfate</w:t>
            </w:r>
          </w:p>
        </w:tc>
        <w:tc>
          <w:tcPr>
            <w:tcW w:w="1260" w:type="dxa"/>
            <w:tcBorders>
              <w:top w:val="single" w:sz="6" w:space="0" w:color="auto"/>
              <w:left w:val="single" w:sz="6" w:space="0" w:color="auto"/>
              <w:bottom w:val="single" w:sz="6" w:space="0" w:color="auto"/>
              <w:right w:val="single" w:sz="6" w:space="0" w:color="auto"/>
            </w:tcBorders>
            <w:vAlign w:val="bottom"/>
          </w:tcPr>
          <w:p w14:paraId="3372CAA3" w14:textId="1A368028" w:rsidR="00BF32CE" w:rsidRPr="00BF32CE" w:rsidRDefault="00BF32CE" w:rsidP="00BF32CE">
            <w:pPr>
              <w:jc w:val="center"/>
              <w:rPr>
                <w:rFonts w:ascii="Arial Narrow" w:hAnsi="Arial Narrow"/>
                <w:sz w:val="20"/>
                <w:szCs w:val="20"/>
              </w:rPr>
            </w:pPr>
            <w:r w:rsidRPr="00BF32CE">
              <w:rPr>
                <w:rFonts w:ascii="Arial Narrow" w:hAnsi="Arial Narrow" w:cs="Arial"/>
                <w:color w:val="000000"/>
                <w:sz w:val="20"/>
                <w:szCs w:val="20"/>
              </w:rPr>
              <w:t>N</w:t>
            </w:r>
          </w:p>
        </w:tc>
        <w:tc>
          <w:tcPr>
            <w:tcW w:w="1470" w:type="dxa"/>
            <w:tcBorders>
              <w:top w:val="single" w:sz="6" w:space="0" w:color="auto"/>
              <w:left w:val="single" w:sz="6" w:space="0" w:color="auto"/>
              <w:bottom w:val="single" w:sz="6" w:space="0" w:color="auto"/>
              <w:right w:val="single" w:sz="6" w:space="0" w:color="auto"/>
            </w:tcBorders>
            <w:vAlign w:val="bottom"/>
          </w:tcPr>
          <w:p w14:paraId="55D493C6" w14:textId="09B65B15" w:rsidR="00BF32CE" w:rsidRPr="00BF32CE" w:rsidRDefault="00BF32CE" w:rsidP="00BF32CE">
            <w:pPr>
              <w:jc w:val="center"/>
              <w:rPr>
                <w:rFonts w:ascii="Arial Narrow" w:hAnsi="Arial Narrow"/>
                <w:sz w:val="20"/>
                <w:szCs w:val="20"/>
              </w:rPr>
            </w:pPr>
            <w:r w:rsidRPr="00BF32CE">
              <w:rPr>
                <w:rFonts w:ascii="Arial Narrow" w:hAnsi="Arial Narrow" w:cs="Arial"/>
                <w:color w:val="000000"/>
                <w:sz w:val="20"/>
                <w:szCs w:val="20"/>
              </w:rPr>
              <w:t>0.87</w:t>
            </w:r>
          </w:p>
        </w:tc>
        <w:tc>
          <w:tcPr>
            <w:tcW w:w="1680" w:type="dxa"/>
            <w:tcBorders>
              <w:top w:val="single" w:sz="6" w:space="0" w:color="auto"/>
              <w:left w:val="single" w:sz="6" w:space="0" w:color="auto"/>
              <w:bottom w:val="single" w:sz="6" w:space="0" w:color="auto"/>
              <w:right w:val="single" w:sz="6" w:space="0" w:color="auto"/>
            </w:tcBorders>
            <w:vAlign w:val="bottom"/>
          </w:tcPr>
          <w:p w14:paraId="5735F47C" w14:textId="6FF50A86" w:rsidR="00BF32CE" w:rsidRPr="00BF32CE" w:rsidRDefault="00BF32CE" w:rsidP="00BF32CE">
            <w:pPr>
              <w:jc w:val="center"/>
              <w:rPr>
                <w:rFonts w:ascii="Arial Narrow" w:hAnsi="Arial Narrow"/>
                <w:sz w:val="20"/>
                <w:szCs w:val="20"/>
              </w:rPr>
            </w:pPr>
            <w:r w:rsidRPr="00BF32CE">
              <w:rPr>
                <w:rFonts w:ascii="Arial Narrow" w:hAnsi="Arial Narrow" w:cs="Arial"/>
                <w:color w:val="000000"/>
                <w:sz w:val="20"/>
                <w:szCs w:val="20"/>
              </w:rPr>
              <w:t>0.07</w:t>
            </w:r>
          </w:p>
        </w:tc>
      </w:tr>
      <w:tr w:rsidR="00BF32CE" w:rsidRPr="004D732D" w14:paraId="726FF148" w14:textId="77777777" w:rsidTr="00B0118F">
        <w:trPr>
          <w:trHeight w:val="247"/>
        </w:trPr>
        <w:tc>
          <w:tcPr>
            <w:tcW w:w="2614" w:type="dxa"/>
            <w:tcBorders>
              <w:top w:val="single" w:sz="6" w:space="0" w:color="auto"/>
              <w:left w:val="single" w:sz="6" w:space="0" w:color="auto"/>
              <w:bottom w:val="single" w:sz="6" w:space="0" w:color="auto"/>
              <w:right w:val="single" w:sz="6" w:space="0" w:color="auto"/>
            </w:tcBorders>
            <w:vAlign w:val="bottom"/>
          </w:tcPr>
          <w:p w14:paraId="7D487F49" w14:textId="2037A45F" w:rsidR="00BF32CE" w:rsidRPr="00BF32CE" w:rsidRDefault="00BF32CE" w:rsidP="00BF32CE">
            <w:pPr>
              <w:rPr>
                <w:rFonts w:ascii="Arial Narrow" w:hAnsi="Arial Narrow"/>
                <w:sz w:val="20"/>
                <w:szCs w:val="20"/>
              </w:rPr>
            </w:pPr>
            <w:r w:rsidRPr="00BF32CE">
              <w:rPr>
                <w:rFonts w:ascii="Arial Narrow" w:hAnsi="Arial Narrow" w:cs="Arial"/>
                <w:color w:val="000000"/>
                <w:sz w:val="20"/>
                <w:szCs w:val="20"/>
              </w:rPr>
              <w:t>Chloride</w:t>
            </w:r>
          </w:p>
        </w:tc>
        <w:tc>
          <w:tcPr>
            <w:tcW w:w="1260" w:type="dxa"/>
            <w:tcBorders>
              <w:top w:val="single" w:sz="6" w:space="0" w:color="auto"/>
              <w:left w:val="single" w:sz="6" w:space="0" w:color="auto"/>
              <w:bottom w:val="single" w:sz="6" w:space="0" w:color="auto"/>
              <w:right w:val="single" w:sz="6" w:space="0" w:color="auto"/>
            </w:tcBorders>
            <w:vAlign w:val="bottom"/>
          </w:tcPr>
          <w:p w14:paraId="61480855" w14:textId="32894C6F" w:rsidR="00BF32CE" w:rsidRPr="00BF32CE" w:rsidRDefault="00BF32CE" w:rsidP="00BF32CE">
            <w:pPr>
              <w:jc w:val="center"/>
              <w:rPr>
                <w:rFonts w:ascii="Arial Narrow" w:hAnsi="Arial Narrow"/>
                <w:sz w:val="20"/>
                <w:szCs w:val="20"/>
              </w:rPr>
            </w:pPr>
            <w:r w:rsidRPr="00BF32CE">
              <w:rPr>
                <w:rFonts w:ascii="Arial Narrow" w:hAnsi="Arial Narrow" w:cs="Arial"/>
                <w:color w:val="000000"/>
                <w:sz w:val="20"/>
                <w:szCs w:val="20"/>
              </w:rPr>
              <w:t>N</w:t>
            </w:r>
          </w:p>
        </w:tc>
        <w:tc>
          <w:tcPr>
            <w:tcW w:w="1470" w:type="dxa"/>
            <w:tcBorders>
              <w:top w:val="single" w:sz="6" w:space="0" w:color="auto"/>
              <w:left w:val="single" w:sz="6" w:space="0" w:color="auto"/>
              <w:bottom w:val="single" w:sz="6" w:space="0" w:color="auto"/>
              <w:right w:val="single" w:sz="6" w:space="0" w:color="auto"/>
            </w:tcBorders>
            <w:vAlign w:val="bottom"/>
          </w:tcPr>
          <w:p w14:paraId="2374859D" w14:textId="1011E35C" w:rsidR="00BF32CE" w:rsidRPr="00BF32CE" w:rsidRDefault="00BF32CE" w:rsidP="00BF32CE">
            <w:pPr>
              <w:jc w:val="center"/>
              <w:rPr>
                <w:rFonts w:ascii="Arial Narrow" w:hAnsi="Arial Narrow"/>
                <w:sz w:val="20"/>
                <w:szCs w:val="20"/>
              </w:rPr>
            </w:pPr>
            <w:r w:rsidRPr="00BF32CE">
              <w:rPr>
                <w:rFonts w:ascii="Arial Narrow" w:hAnsi="Arial Narrow" w:cs="Arial"/>
                <w:color w:val="000000"/>
                <w:sz w:val="20"/>
                <w:szCs w:val="20"/>
              </w:rPr>
              <w:t>0.78</w:t>
            </w:r>
          </w:p>
        </w:tc>
        <w:tc>
          <w:tcPr>
            <w:tcW w:w="1680" w:type="dxa"/>
            <w:tcBorders>
              <w:top w:val="single" w:sz="6" w:space="0" w:color="auto"/>
              <w:left w:val="single" w:sz="6" w:space="0" w:color="auto"/>
              <w:bottom w:val="single" w:sz="6" w:space="0" w:color="auto"/>
              <w:right w:val="single" w:sz="6" w:space="0" w:color="auto"/>
            </w:tcBorders>
            <w:vAlign w:val="bottom"/>
          </w:tcPr>
          <w:p w14:paraId="48369E9E" w14:textId="15060BA1" w:rsidR="00BF32CE" w:rsidRPr="00BF32CE" w:rsidRDefault="00BF32CE" w:rsidP="00BF32CE">
            <w:pPr>
              <w:jc w:val="center"/>
              <w:rPr>
                <w:rFonts w:ascii="Arial Narrow" w:hAnsi="Arial Narrow"/>
                <w:sz w:val="20"/>
                <w:szCs w:val="20"/>
              </w:rPr>
            </w:pPr>
            <w:r w:rsidRPr="00BF32CE">
              <w:rPr>
                <w:rFonts w:ascii="Arial Narrow" w:hAnsi="Arial Narrow" w:cs="Arial"/>
                <w:color w:val="000000"/>
                <w:sz w:val="20"/>
                <w:szCs w:val="20"/>
              </w:rPr>
              <w:t>0.12</w:t>
            </w:r>
          </w:p>
        </w:tc>
      </w:tr>
      <w:tr w:rsidR="00BF32CE" w:rsidRPr="004D732D" w14:paraId="033B7F6E" w14:textId="77777777" w:rsidTr="00B0118F">
        <w:trPr>
          <w:trHeight w:val="247"/>
        </w:trPr>
        <w:tc>
          <w:tcPr>
            <w:tcW w:w="2614" w:type="dxa"/>
            <w:tcBorders>
              <w:top w:val="single" w:sz="6" w:space="0" w:color="auto"/>
              <w:left w:val="single" w:sz="6" w:space="0" w:color="auto"/>
              <w:bottom w:val="single" w:sz="6" w:space="0" w:color="auto"/>
              <w:right w:val="single" w:sz="6" w:space="0" w:color="auto"/>
            </w:tcBorders>
            <w:vAlign w:val="bottom"/>
          </w:tcPr>
          <w:p w14:paraId="4B8847D9" w14:textId="1F23587A" w:rsidR="00BF32CE" w:rsidRPr="00BF32CE" w:rsidRDefault="00BF32CE" w:rsidP="00BF32CE">
            <w:pPr>
              <w:rPr>
                <w:rFonts w:ascii="Arial Narrow" w:hAnsi="Arial Narrow"/>
                <w:sz w:val="20"/>
                <w:szCs w:val="20"/>
              </w:rPr>
            </w:pPr>
            <w:r w:rsidRPr="00BF32CE">
              <w:rPr>
                <w:rFonts w:ascii="Arial Narrow" w:hAnsi="Arial Narrow" w:cs="Arial"/>
                <w:color w:val="000000"/>
                <w:sz w:val="20"/>
                <w:szCs w:val="20"/>
              </w:rPr>
              <w:t>Potassium</w:t>
            </w:r>
          </w:p>
        </w:tc>
        <w:tc>
          <w:tcPr>
            <w:tcW w:w="1260" w:type="dxa"/>
            <w:tcBorders>
              <w:top w:val="single" w:sz="6" w:space="0" w:color="auto"/>
              <w:left w:val="single" w:sz="6" w:space="0" w:color="auto"/>
              <w:bottom w:val="single" w:sz="6" w:space="0" w:color="auto"/>
              <w:right w:val="single" w:sz="6" w:space="0" w:color="auto"/>
            </w:tcBorders>
            <w:vAlign w:val="bottom"/>
          </w:tcPr>
          <w:p w14:paraId="463930DD" w14:textId="45299F75" w:rsidR="00BF32CE" w:rsidRPr="00BF32CE" w:rsidRDefault="00BF32CE" w:rsidP="00BF32CE">
            <w:pPr>
              <w:jc w:val="center"/>
              <w:rPr>
                <w:rFonts w:ascii="Arial Narrow" w:hAnsi="Arial Narrow"/>
                <w:sz w:val="20"/>
                <w:szCs w:val="20"/>
              </w:rPr>
            </w:pPr>
            <w:r w:rsidRPr="00BF32CE">
              <w:rPr>
                <w:rFonts w:ascii="Arial Narrow" w:hAnsi="Arial Narrow" w:cs="Arial"/>
                <w:color w:val="000000"/>
                <w:sz w:val="20"/>
                <w:szCs w:val="20"/>
              </w:rPr>
              <w:t>N</w:t>
            </w:r>
          </w:p>
        </w:tc>
        <w:tc>
          <w:tcPr>
            <w:tcW w:w="1470" w:type="dxa"/>
            <w:tcBorders>
              <w:top w:val="single" w:sz="6" w:space="0" w:color="auto"/>
              <w:left w:val="single" w:sz="6" w:space="0" w:color="auto"/>
              <w:bottom w:val="single" w:sz="6" w:space="0" w:color="auto"/>
              <w:right w:val="single" w:sz="6" w:space="0" w:color="auto"/>
            </w:tcBorders>
            <w:vAlign w:val="bottom"/>
          </w:tcPr>
          <w:p w14:paraId="1B1470BE" w14:textId="20C35283" w:rsidR="00BF32CE" w:rsidRPr="00BF32CE" w:rsidRDefault="00BF32CE" w:rsidP="00BF32CE">
            <w:pPr>
              <w:jc w:val="center"/>
              <w:rPr>
                <w:rFonts w:ascii="Arial Narrow" w:hAnsi="Arial Narrow"/>
                <w:sz w:val="20"/>
                <w:szCs w:val="20"/>
              </w:rPr>
            </w:pPr>
            <w:r w:rsidRPr="00BF32CE">
              <w:rPr>
                <w:rFonts w:ascii="Arial Narrow" w:hAnsi="Arial Narrow" w:cs="Arial"/>
                <w:color w:val="000000"/>
                <w:sz w:val="20"/>
                <w:szCs w:val="20"/>
              </w:rPr>
              <w:t>0.77</w:t>
            </w:r>
          </w:p>
        </w:tc>
        <w:tc>
          <w:tcPr>
            <w:tcW w:w="1680" w:type="dxa"/>
            <w:tcBorders>
              <w:top w:val="single" w:sz="6" w:space="0" w:color="auto"/>
              <w:left w:val="single" w:sz="6" w:space="0" w:color="auto"/>
              <w:bottom w:val="single" w:sz="6" w:space="0" w:color="auto"/>
              <w:right w:val="single" w:sz="6" w:space="0" w:color="auto"/>
            </w:tcBorders>
            <w:vAlign w:val="bottom"/>
          </w:tcPr>
          <w:p w14:paraId="7A35F66C" w14:textId="62620685" w:rsidR="00BF32CE" w:rsidRPr="00BF32CE" w:rsidRDefault="00BF32CE" w:rsidP="00BF32CE">
            <w:pPr>
              <w:jc w:val="center"/>
              <w:rPr>
                <w:rFonts w:ascii="Arial Narrow" w:hAnsi="Arial Narrow"/>
                <w:sz w:val="20"/>
                <w:szCs w:val="20"/>
              </w:rPr>
            </w:pPr>
            <w:r w:rsidRPr="00BF32CE">
              <w:rPr>
                <w:rFonts w:ascii="Arial Narrow" w:hAnsi="Arial Narrow" w:cs="Arial"/>
                <w:color w:val="000000"/>
                <w:sz w:val="20"/>
                <w:szCs w:val="20"/>
              </w:rPr>
              <w:t>0.12</w:t>
            </w:r>
          </w:p>
        </w:tc>
      </w:tr>
      <w:tr w:rsidR="00BF32CE" w:rsidRPr="004D732D" w14:paraId="053A5103" w14:textId="77777777" w:rsidTr="00B0118F">
        <w:trPr>
          <w:trHeight w:val="247"/>
        </w:trPr>
        <w:tc>
          <w:tcPr>
            <w:tcW w:w="2614" w:type="dxa"/>
            <w:tcBorders>
              <w:top w:val="single" w:sz="6" w:space="0" w:color="auto"/>
              <w:left w:val="single" w:sz="6" w:space="0" w:color="auto"/>
              <w:bottom w:val="single" w:sz="6" w:space="0" w:color="auto"/>
              <w:right w:val="single" w:sz="6" w:space="0" w:color="auto"/>
            </w:tcBorders>
            <w:vAlign w:val="bottom"/>
          </w:tcPr>
          <w:p w14:paraId="1C944B8C" w14:textId="6E2C78C3" w:rsidR="00BF32CE" w:rsidRPr="00BF32CE" w:rsidRDefault="00BF32CE" w:rsidP="00BF32CE">
            <w:pPr>
              <w:rPr>
                <w:rFonts w:ascii="Arial Narrow" w:hAnsi="Arial Narrow"/>
                <w:sz w:val="20"/>
                <w:szCs w:val="20"/>
              </w:rPr>
            </w:pPr>
            <w:r w:rsidRPr="00BF32CE">
              <w:rPr>
                <w:rFonts w:ascii="Arial Narrow" w:hAnsi="Arial Narrow" w:cs="Arial"/>
                <w:color w:val="000000"/>
                <w:sz w:val="20"/>
                <w:szCs w:val="20"/>
              </w:rPr>
              <w:t>Sodium</w:t>
            </w:r>
          </w:p>
        </w:tc>
        <w:tc>
          <w:tcPr>
            <w:tcW w:w="1260" w:type="dxa"/>
            <w:tcBorders>
              <w:top w:val="single" w:sz="6" w:space="0" w:color="auto"/>
              <w:left w:val="single" w:sz="6" w:space="0" w:color="auto"/>
              <w:bottom w:val="single" w:sz="6" w:space="0" w:color="auto"/>
              <w:right w:val="single" w:sz="6" w:space="0" w:color="auto"/>
            </w:tcBorders>
            <w:vAlign w:val="bottom"/>
          </w:tcPr>
          <w:p w14:paraId="0022F044" w14:textId="1BFB7DB5" w:rsidR="00BF32CE" w:rsidRPr="00BF32CE" w:rsidRDefault="00BF32CE" w:rsidP="00BF32CE">
            <w:pPr>
              <w:jc w:val="center"/>
              <w:rPr>
                <w:rFonts w:ascii="Arial Narrow" w:hAnsi="Arial Narrow"/>
                <w:sz w:val="20"/>
                <w:szCs w:val="20"/>
              </w:rPr>
            </w:pPr>
            <w:r w:rsidRPr="00BF32CE">
              <w:rPr>
                <w:rFonts w:ascii="Arial Narrow" w:hAnsi="Arial Narrow" w:cs="Arial"/>
                <w:color w:val="000000"/>
                <w:sz w:val="20"/>
                <w:szCs w:val="20"/>
              </w:rPr>
              <w:t>N</w:t>
            </w:r>
          </w:p>
        </w:tc>
        <w:tc>
          <w:tcPr>
            <w:tcW w:w="1470" w:type="dxa"/>
            <w:tcBorders>
              <w:top w:val="single" w:sz="6" w:space="0" w:color="auto"/>
              <w:left w:val="single" w:sz="6" w:space="0" w:color="auto"/>
              <w:bottom w:val="single" w:sz="6" w:space="0" w:color="auto"/>
              <w:right w:val="single" w:sz="6" w:space="0" w:color="auto"/>
            </w:tcBorders>
            <w:vAlign w:val="bottom"/>
          </w:tcPr>
          <w:p w14:paraId="5767FFDF" w14:textId="4B29F7C0" w:rsidR="00BF32CE" w:rsidRPr="00BF32CE" w:rsidRDefault="00BF32CE" w:rsidP="00BF32CE">
            <w:pPr>
              <w:jc w:val="center"/>
              <w:rPr>
                <w:rFonts w:ascii="Arial Narrow" w:hAnsi="Arial Narrow"/>
                <w:sz w:val="20"/>
                <w:szCs w:val="20"/>
              </w:rPr>
            </w:pPr>
            <w:r w:rsidRPr="00BF32CE">
              <w:rPr>
                <w:rFonts w:ascii="Arial Narrow" w:hAnsi="Arial Narrow" w:cs="Arial"/>
                <w:color w:val="000000"/>
                <w:sz w:val="20"/>
                <w:szCs w:val="20"/>
              </w:rPr>
              <w:t>0.76</w:t>
            </w:r>
          </w:p>
        </w:tc>
        <w:tc>
          <w:tcPr>
            <w:tcW w:w="1680" w:type="dxa"/>
            <w:tcBorders>
              <w:top w:val="single" w:sz="6" w:space="0" w:color="auto"/>
              <w:left w:val="single" w:sz="6" w:space="0" w:color="auto"/>
              <w:bottom w:val="single" w:sz="6" w:space="0" w:color="auto"/>
              <w:right w:val="single" w:sz="6" w:space="0" w:color="auto"/>
            </w:tcBorders>
            <w:vAlign w:val="bottom"/>
          </w:tcPr>
          <w:p w14:paraId="4BCFFD6E" w14:textId="6CE29EC7" w:rsidR="00BF32CE" w:rsidRPr="00BF32CE" w:rsidRDefault="00BF32CE" w:rsidP="00BF32CE">
            <w:pPr>
              <w:jc w:val="center"/>
              <w:rPr>
                <w:rFonts w:ascii="Arial Narrow" w:hAnsi="Arial Narrow"/>
                <w:sz w:val="20"/>
                <w:szCs w:val="20"/>
              </w:rPr>
            </w:pPr>
            <w:r w:rsidRPr="00BF32CE">
              <w:rPr>
                <w:rFonts w:ascii="Arial Narrow" w:hAnsi="Arial Narrow" w:cs="Arial"/>
                <w:color w:val="000000"/>
                <w:sz w:val="20"/>
                <w:szCs w:val="20"/>
              </w:rPr>
              <w:t>0.13</w:t>
            </w:r>
          </w:p>
        </w:tc>
      </w:tr>
      <w:tr w:rsidR="00BF32CE" w:rsidRPr="004D732D" w14:paraId="6FD106FF" w14:textId="77777777" w:rsidTr="00B0118F">
        <w:trPr>
          <w:trHeight w:val="247"/>
        </w:trPr>
        <w:tc>
          <w:tcPr>
            <w:tcW w:w="2614" w:type="dxa"/>
            <w:tcBorders>
              <w:top w:val="single" w:sz="6" w:space="0" w:color="auto"/>
              <w:left w:val="single" w:sz="6" w:space="0" w:color="auto"/>
              <w:bottom w:val="single" w:sz="6" w:space="0" w:color="auto"/>
              <w:right w:val="single" w:sz="6" w:space="0" w:color="auto"/>
            </w:tcBorders>
            <w:vAlign w:val="bottom"/>
          </w:tcPr>
          <w:p w14:paraId="294290B8" w14:textId="02405F8B" w:rsidR="00BF32CE" w:rsidRPr="00BF32CE" w:rsidRDefault="00BF32CE" w:rsidP="00BF32CE">
            <w:pPr>
              <w:rPr>
                <w:rFonts w:ascii="Arial Narrow" w:hAnsi="Arial Narrow"/>
                <w:sz w:val="20"/>
                <w:szCs w:val="20"/>
              </w:rPr>
            </w:pPr>
            <w:r w:rsidRPr="00BF32CE">
              <w:rPr>
                <w:rFonts w:ascii="Arial Narrow" w:hAnsi="Arial Narrow" w:cs="Arial"/>
                <w:color w:val="000000"/>
                <w:sz w:val="20"/>
                <w:szCs w:val="20"/>
              </w:rPr>
              <w:t>TDS</w:t>
            </w:r>
          </w:p>
        </w:tc>
        <w:tc>
          <w:tcPr>
            <w:tcW w:w="1260" w:type="dxa"/>
            <w:tcBorders>
              <w:top w:val="single" w:sz="6" w:space="0" w:color="auto"/>
              <w:left w:val="single" w:sz="6" w:space="0" w:color="auto"/>
              <w:bottom w:val="single" w:sz="6" w:space="0" w:color="auto"/>
              <w:right w:val="single" w:sz="6" w:space="0" w:color="auto"/>
            </w:tcBorders>
            <w:vAlign w:val="bottom"/>
          </w:tcPr>
          <w:p w14:paraId="79B6B842" w14:textId="19F87C94" w:rsidR="00BF32CE" w:rsidRPr="00BF32CE" w:rsidRDefault="00BF32CE" w:rsidP="00BF32CE">
            <w:pPr>
              <w:jc w:val="center"/>
              <w:rPr>
                <w:rFonts w:ascii="Arial Narrow" w:hAnsi="Arial Narrow"/>
                <w:sz w:val="20"/>
                <w:szCs w:val="20"/>
              </w:rPr>
            </w:pPr>
            <w:r w:rsidRPr="00BF32CE">
              <w:rPr>
                <w:rFonts w:ascii="Arial Narrow" w:hAnsi="Arial Narrow" w:cs="Arial"/>
                <w:color w:val="000000"/>
                <w:sz w:val="20"/>
                <w:szCs w:val="20"/>
              </w:rPr>
              <w:t>N</w:t>
            </w:r>
          </w:p>
        </w:tc>
        <w:tc>
          <w:tcPr>
            <w:tcW w:w="1470" w:type="dxa"/>
            <w:tcBorders>
              <w:top w:val="single" w:sz="6" w:space="0" w:color="auto"/>
              <w:left w:val="single" w:sz="6" w:space="0" w:color="auto"/>
              <w:bottom w:val="single" w:sz="6" w:space="0" w:color="auto"/>
              <w:right w:val="single" w:sz="6" w:space="0" w:color="auto"/>
            </w:tcBorders>
            <w:vAlign w:val="bottom"/>
          </w:tcPr>
          <w:p w14:paraId="71C7BEE0" w14:textId="7F2C3C6F" w:rsidR="00BF32CE" w:rsidRPr="00BF32CE" w:rsidRDefault="00BF32CE" w:rsidP="00BF32CE">
            <w:pPr>
              <w:jc w:val="center"/>
              <w:rPr>
                <w:rFonts w:ascii="Arial Narrow" w:hAnsi="Arial Narrow"/>
                <w:sz w:val="20"/>
                <w:szCs w:val="20"/>
              </w:rPr>
            </w:pPr>
            <w:r w:rsidRPr="00BF32CE">
              <w:rPr>
                <w:rFonts w:ascii="Arial Narrow" w:hAnsi="Arial Narrow" w:cs="Arial"/>
                <w:color w:val="000000"/>
                <w:sz w:val="20"/>
                <w:szCs w:val="20"/>
              </w:rPr>
              <w:t>0.7</w:t>
            </w:r>
          </w:p>
        </w:tc>
        <w:tc>
          <w:tcPr>
            <w:tcW w:w="1680" w:type="dxa"/>
            <w:tcBorders>
              <w:top w:val="single" w:sz="6" w:space="0" w:color="auto"/>
              <w:left w:val="single" w:sz="6" w:space="0" w:color="auto"/>
              <w:bottom w:val="single" w:sz="6" w:space="0" w:color="auto"/>
              <w:right w:val="single" w:sz="6" w:space="0" w:color="auto"/>
            </w:tcBorders>
            <w:vAlign w:val="bottom"/>
          </w:tcPr>
          <w:p w14:paraId="16F27DCE" w14:textId="21038246" w:rsidR="00BF32CE" w:rsidRPr="00BF32CE" w:rsidRDefault="00BF32CE" w:rsidP="00BF32CE">
            <w:pPr>
              <w:jc w:val="center"/>
              <w:rPr>
                <w:rFonts w:ascii="Arial Narrow" w:hAnsi="Arial Narrow"/>
                <w:sz w:val="20"/>
                <w:szCs w:val="20"/>
              </w:rPr>
            </w:pPr>
            <w:r w:rsidRPr="00BF32CE">
              <w:rPr>
                <w:rFonts w:ascii="Arial Narrow" w:hAnsi="Arial Narrow" w:cs="Arial"/>
                <w:color w:val="000000"/>
                <w:sz w:val="20"/>
                <w:szCs w:val="20"/>
              </w:rPr>
              <w:t>0.16</w:t>
            </w:r>
          </w:p>
        </w:tc>
      </w:tr>
      <w:tr w:rsidR="00BF32CE" w:rsidRPr="004D732D" w14:paraId="1FACC3E1" w14:textId="77777777" w:rsidTr="00B0118F">
        <w:trPr>
          <w:trHeight w:val="247"/>
        </w:trPr>
        <w:tc>
          <w:tcPr>
            <w:tcW w:w="2614" w:type="dxa"/>
            <w:tcBorders>
              <w:top w:val="single" w:sz="6" w:space="0" w:color="auto"/>
              <w:left w:val="single" w:sz="6" w:space="0" w:color="auto"/>
              <w:bottom w:val="single" w:sz="6" w:space="0" w:color="auto"/>
              <w:right w:val="single" w:sz="6" w:space="0" w:color="auto"/>
            </w:tcBorders>
            <w:vAlign w:val="bottom"/>
          </w:tcPr>
          <w:p w14:paraId="4106698F" w14:textId="68B886F0" w:rsidR="00BF32CE" w:rsidRPr="00BF32CE" w:rsidRDefault="00BF32CE" w:rsidP="00BF32CE">
            <w:pPr>
              <w:rPr>
                <w:rFonts w:ascii="Arial Narrow" w:hAnsi="Arial Narrow"/>
                <w:sz w:val="20"/>
                <w:szCs w:val="20"/>
              </w:rPr>
            </w:pPr>
            <w:r w:rsidRPr="00BF32CE">
              <w:rPr>
                <w:rFonts w:ascii="Arial Narrow" w:hAnsi="Arial Narrow" w:cs="Arial"/>
                <w:color w:val="000000"/>
                <w:sz w:val="20"/>
                <w:szCs w:val="20"/>
              </w:rPr>
              <w:t>pH</w:t>
            </w:r>
          </w:p>
        </w:tc>
        <w:tc>
          <w:tcPr>
            <w:tcW w:w="1260" w:type="dxa"/>
            <w:tcBorders>
              <w:top w:val="single" w:sz="6" w:space="0" w:color="auto"/>
              <w:left w:val="single" w:sz="6" w:space="0" w:color="auto"/>
              <w:bottom w:val="single" w:sz="6" w:space="0" w:color="auto"/>
              <w:right w:val="single" w:sz="6" w:space="0" w:color="auto"/>
            </w:tcBorders>
            <w:vAlign w:val="bottom"/>
          </w:tcPr>
          <w:p w14:paraId="2E0C75C8" w14:textId="2A344EFB" w:rsidR="00BF32CE" w:rsidRPr="00BF32CE" w:rsidRDefault="00BF32CE" w:rsidP="00BF32CE">
            <w:pPr>
              <w:jc w:val="center"/>
              <w:rPr>
                <w:rFonts w:ascii="Arial Narrow" w:hAnsi="Arial Narrow"/>
                <w:sz w:val="20"/>
                <w:szCs w:val="20"/>
              </w:rPr>
            </w:pPr>
            <w:r w:rsidRPr="00BF32CE">
              <w:rPr>
                <w:rFonts w:ascii="Arial Narrow" w:hAnsi="Arial Narrow" w:cs="Arial"/>
                <w:color w:val="000000"/>
                <w:sz w:val="20"/>
                <w:szCs w:val="20"/>
              </w:rPr>
              <w:t>N</w:t>
            </w:r>
          </w:p>
        </w:tc>
        <w:tc>
          <w:tcPr>
            <w:tcW w:w="1470" w:type="dxa"/>
            <w:tcBorders>
              <w:top w:val="single" w:sz="6" w:space="0" w:color="auto"/>
              <w:left w:val="single" w:sz="6" w:space="0" w:color="auto"/>
              <w:bottom w:val="single" w:sz="6" w:space="0" w:color="auto"/>
              <w:right w:val="single" w:sz="6" w:space="0" w:color="auto"/>
            </w:tcBorders>
            <w:vAlign w:val="bottom"/>
          </w:tcPr>
          <w:p w14:paraId="2F0F4389" w14:textId="6BCB5B53" w:rsidR="00BF32CE" w:rsidRPr="00BF32CE" w:rsidRDefault="00BF32CE" w:rsidP="00BF32CE">
            <w:pPr>
              <w:jc w:val="center"/>
              <w:rPr>
                <w:rFonts w:ascii="Arial Narrow" w:hAnsi="Arial Narrow"/>
                <w:sz w:val="20"/>
                <w:szCs w:val="20"/>
              </w:rPr>
            </w:pPr>
            <w:r w:rsidRPr="00BF32CE">
              <w:rPr>
                <w:rFonts w:ascii="Arial Narrow" w:hAnsi="Arial Narrow" w:cs="Arial"/>
                <w:color w:val="000000"/>
                <w:sz w:val="20"/>
                <w:szCs w:val="20"/>
              </w:rPr>
              <w:t>0.43</w:t>
            </w:r>
          </w:p>
        </w:tc>
        <w:tc>
          <w:tcPr>
            <w:tcW w:w="1680" w:type="dxa"/>
            <w:tcBorders>
              <w:top w:val="single" w:sz="6" w:space="0" w:color="auto"/>
              <w:left w:val="single" w:sz="6" w:space="0" w:color="auto"/>
              <w:bottom w:val="single" w:sz="6" w:space="0" w:color="auto"/>
              <w:right w:val="single" w:sz="6" w:space="0" w:color="auto"/>
            </w:tcBorders>
            <w:vAlign w:val="bottom"/>
          </w:tcPr>
          <w:p w14:paraId="779EBC5A" w14:textId="62088C4B" w:rsidR="00BF32CE" w:rsidRPr="00BF32CE" w:rsidRDefault="00BF32CE" w:rsidP="00BF32CE">
            <w:pPr>
              <w:jc w:val="center"/>
              <w:rPr>
                <w:rFonts w:ascii="Arial Narrow" w:hAnsi="Arial Narrow"/>
                <w:sz w:val="20"/>
                <w:szCs w:val="20"/>
              </w:rPr>
            </w:pPr>
            <w:r w:rsidRPr="00BF32CE">
              <w:rPr>
                <w:rFonts w:ascii="Arial Narrow" w:hAnsi="Arial Narrow" w:cs="Arial"/>
                <w:color w:val="000000"/>
                <w:sz w:val="20"/>
                <w:szCs w:val="20"/>
              </w:rPr>
              <w:t>0.16</w:t>
            </w:r>
          </w:p>
        </w:tc>
      </w:tr>
      <w:tr w:rsidR="00BF32CE" w:rsidRPr="004D732D" w14:paraId="136B5735" w14:textId="77777777" w:rsidTr="00B0118F">
        <w:trPr>
          <w:trHeight w:val="247"/>
        </w:trPr>
        <w:tc>
          <w:tcPr>
            <w:tcW w:w="2614" w:type="dxa"/>
            <w:tcBorders>
              <w:top w:val="single" w:sz="6" w:space="0" w:color="auto"/>
              <w:left w:val="single" w:sz="6" w:space="0" w:color="auto"/>
              <w:bottom w:val="single" w:sz="6" w:space="0" w:color="auto"/>
              <w:right w:val="single" w:sz="6" w:space="0" w:color="auto"/>
            </w:tcBorders>
            <w:vAlign w:val="bottom"/>
          </w:tcPr>
          <w:p w14:paraId="41E359E4" w14:textId="42B3E002" w:rsidR="00BF32CE" w:rsidRPr="00BF32CE" w:rsidRDefault="00BF32CE" w:rsidP="00BF32CE">
            <w:pPr>
              <w:rPr>
                <w:rFonts w:ascii="Arial Narrow" w:hAnsi="Arial Narrow"/>
                <w:sz w:val="20"/>
                <w:szCs w:val="20"/>
              </w:rPr>
            </w:pPr>
            <w:r w:rsidRPr="00BF32CE">
              <w:rPr>
                <w:rFonts w:ascii="Arial Narrow" w:hAnsi="Arial Narrow" w:cs="Arial"/>
                <w:color w:val="000000"/>
                <w:sz w:val="20"/>
                <w:szCs w:val="20"/>
              </w:rPr>
              <w:t>LRBS</w:t>
            </w:r>
          </w:p>
        </w:tc>
        <w:tc>
          <w:tcPr>
            <w:tcW w:w="1260" w:type="dxa"/>
            <w:tcBorders>
              <w:top w:val="single" w:sz="6" w:space="0" w:color="auto"/>
              <w:left w:val="single" w:sz="6" w:space="0" w:color="auto"/>
              <w:bottom w:val="single" w:sz="6" w:space="0" w:color="auto"/>
              <w:right w:val="single" w:sz="6" w:space="0" w:color="auto"/>
            </w:tcBorders>
            <w:vAlign w:val="bottom"/>
          </w:tcPr>
          <w:p w14:paraId="49FC60C9" w14:textId="2EE03212" w:rsidR="00BF32CE" w:rsidRPr="00BF32CE" w:rsidRDefault="00BF32CE" w:rsidP="00BF32CE">
            <w:pPr>
              <w:jc w:val="center"/>
              <w:rPr>
                <w:rFonts w:ascii="Arial Narrow" w:hAnsi="Arial Narrow"/>
                <w:sz w:val="20"/>
                <w:szCs w:val="20"/>
              </w:rPr>
            </w:pPr>
            <w:r w:rsidRPr="00BF32CE">
              <w:rPr>
                <w:rFonts w:ascii="Arial Narrow" w:hAnsi="Arial Narrow" w:cs="Arial"/>
                <w:color w:val="000000"/>
                <w:sz w:val="20"/>
                <w:szCs w:val="20"/>
              </w:rPr>
              <w:t>N</w:t>
            </w:r>
          </w:p>
        </w:tc>
        <w:tc>
          <w:tcPr>
            <w:tcW w:w="1470" w:type="dxa"/>
            <w:tcBorders>
              <w:top w:val="single" w:sz="6" w:space="0" w:color="auto"/>
              <w:left w:val="single" w:sz="6" w:space="0" w:color="auto"/>
              <w:bottom w:val="single" w:sz="6" w:space="0" w:color="auto"/>
              <w:right w:val="single" w:sz="6" w:space="0" w:color="auto"/>
            </w:tcBorders>
            <w:vAlign w:val="bottom"/>
          </w:tcPr>
          <w:p w14:paraId="7219DA81" w14:textId="60213168" w:rsidR="00BF32CE" w:rsidRPr="00BF32CE" w:rsidRDefault="00BF32CE" w:rsidP="00BF32CE">
            <w:pPr>
              <w:jc w:val="center"/>
              <w:rPr>
                <w:rFonts w:ascii="Arial Narrow" w:hAnsi="Arial Narrow"/>
                <w:sz w:val="20"/>
                <w:szCs w:val="20"/>
              </w:rPr>
            </w:pPr>
            <w:r w:rsidRPr="00BF32CE">
              <w:rPr>
                <w:rFonts w:ascii="Arial Narrow" w:hAnsi="Arial Narrow" w:cs="Arial"/>
                <w:color w:val="000000"/>
                <w:sz w:val="20"/>
                <w:szCs w:val="20"/>
              </w:rPr>
              <w:t>0.51</w:t>
            </w:r>
          </w:p>
        </w:tc>
        <w:tc>
          <w:tcPr>
            <w:tcW w:w="1680" w:type="dxa"/>
            <w:tcBorders>
              <w:top w:val="single" w:sz="6" w:space="0" w:color="auto"/>
              <w:left w:val="single" w:sz="6" w:space="0" w:color="auto"/>
              <w:bottom w:val="single" w:sz="6" w:space="0" w:color="auto"/>
              <w:right w:val="single" w:sz="6" w:space="0" w:color="auto"/>
            </w:tcBorders>
            <w:vAlign w:val="bottom"/>
          </w:tcPr>
          <w:p w14:paraId="64E07EBF" w14:textId="3B8ABF41" w:rsidR="00BF32CE" w:rsidRPr="00BF32CE" w:rsidRDefault="00BF32CE" w:rsidP="00BF32CE">
            <w:pPr>
              <w:jc w:val="center"/>
              <w:rPr>
                <w:rFonts w:ascii="Arial Narrow" w:hAnsi="Arial Narrow"/>
                <w:sz w:val="20"/>
                <w:szCs w:val="20"/>
              </w:rPr>
            </w:pPr>
            <w:r w:rsidRPr="00BF32CE">
              <w:rPr>
                <w:rFonts w:ascii="Arial Narrow" w:hAnsi="Arial Narrow" w:cs="Arial"/>
                <w:color w:val="000000"/>
                <w:sz w:val="20"/>
                <w:szCs w:val="20"/>
              </w:rPr>
              <w:t>0.28</w:t>
            </w:r>
          </w:p>
        </w:tc>
      </w:tr>
      <w:tr w:rsidR="00BF32CE" w:rsidRPr="004D732D" w14:paraId="4D53B7D6" w14:textId="77777777" w:rsidTr="00B0118F">
        <w:trPr>
          <w:trHeight w:val="247"/>
        </w:trPr>
        <w:tc>
          <w:tcPr>
            <w:tcW w:w="2614" w:type="dxa"/>
            <w:tcBorders>
              <w:top w:val="single" w:sz="6" w:space="0" w:color="auto"/>
              <w:left w:val="single" w:sz="6" w:space="0" w:color="auto"/>
              <w:bottom w:val="single" w:sz="6" w:space="0" w:color="auto"/>
              <w:right w:val="single" w:sz="6" w:space="0" w:color="auto"/>
            </w:tcBorders>
            <w:vAlign w:val="bottom"/>
          </w:tcPr>
          <w:p w14:paraId="17FD3C5C" w14:textId="7E7BF11E" w:rsidR="00BF32CE" w:rsidRPr="00BF32CE" w:rsidRDefault="00BF32CE" w:rsidP="00BF32CE">
            <w:pPr>
              <w:rPr>
                <w:rFonts w:ascii="Arial Narrow" w:hAnsi="Arial Narrow"/>
                <w:sz w:val="20"/>
                <w:szCs w:val="20"/>
              </w:rPr>
            </w:pPr>
            <w:r w:rsidRPr="00BF32CE">
              <w:rPr>
                <w:rFonts w:ascii="Arial Narrow" w:hAnsi="Arial Narrow" w:cs="Arial"/>
                <w:color w:val="000000"/>
                <w:sz w:val="20"/>
                <w:szCs w:val="20"/>
              </w:rPr>
              <w:t>TSS</w:t>
            </w:r>
          </w:p>
        </w:tc>
        <w:tc>
          <w:tcPr>
            <w:tcW w:w="1260" w:type="dxa"/>
            <w:tcBorders>
              <w:top w:val="single" w:sz="6" w:space="0" w:color="auto"/>
              <w:left w:val="single" w:sz="6" w:space="0" w:color="auto"/>
              <w:bottom w:val="single" w:sz="6" w:space="0" w:color="auto"/>
              <w:right w:val="single" w:sz="6" w:space="0" w:color="auto"/>
            </w:tcBorders>
            <w:vAlign w:val="bottom"/>
          </w:tcPr>
          <w:p w14:paraId="6901606C" w14:textId="275DE063" w:rsidR="00BF32CE" w:rsidRPr="00BF32CE" w:rsidRDefault="00BF32CE" w:rsidP="00BF32CE">
            <w:pPr>
              <w:jc w:val="center"/>
              <w:rPr>
                <w:rFonts w:ascii="Arial Narrow" w:hAnsi="Arial Narrow"/>
                <w:sz w:val="20"/>
                <w:szCs w:val="20"/>
              </w:rPr>
            </w:pPr>
            <w:r w:rsidRPr="00BF32CE">
              <w:rPr>
                <w:rFonts w:ascii="Arial Narrow" w:hAnsi="Arial Narrow" w:cs="Arial"/>
                <w:color w:val="000000"/>
                <w:sz w:val="20"/>
                <w:szCs w:val="20"/>
              </w:rPr>
              <w:t>N</w:t>
            </w:r>
          </w:p>
        </w:tc>
        <w:tc>
          <w:tcPr>
            <w:tcW w:w="1470" w:type="dxa"/>
            <w:tcBorders>
              <w:top w:val="single" w:sz="6" w:space="0" w:color="auto"/>
              <w:left w:val="single" w:sz="6" w:space="0" w:color="auto"/>
              <w:bottom w:val="single" w:sz="6" w:space="0" w:color="auto"/>
              <w:right w:val="single" w:sz="6" w:space="0" w:color="auto"/>
            </w:tcBorders>
            <w:vAlign w:val="bottom"/>
          </w:tcPr>
          <w:p w14:paraId="74DD089E" w14:textId="62471D2F" w:rsidR="00BF32CE" w:rsidRPr="00BF32CE" w:rsidRDefault="00BF32CE" w:rsidP="00BF32CE">
            <w:pPr>
              <w:jc w:val="center"/>
              <w:rPr>
                <w:rFonts w:ascii="Arial Narrow" w:hAnsi="Arial Narrow"/>
                <w:sz w:val="20"/>
                <w:szCs w:val="20"/>
              </w:rPr>
            </w:pPr>
            <w:r w:rsidRPr="00BF32CE">
              <w:rPr>
                <w:rFonts w:ascii="Arial Narrow" w:hAnsi="Arial Narrow" w:cs="Arial"/>
                <w:color w:val="000000"/>
                <w:sz w:val="20"/>
                <w:szCs w:val="20"/>
              </w:rPr>
              <w:t>0.26</w:t>
            </w:r>
          </w:p>
        </w:tc>
        <w:tc>
          <w:tcPr>
            <w:tcW w:w="1680" w:type="dxa"/>
            <w:tcBorders>
              <w:top w:val="single" w:sz="6" w:space="0" w:color="auto"/>
              <w:left w:val="single" w:sz="6" w:space="0" w:color="auto"/>
              <w:bottom w:val="single" w:sz="6" w:space="0" w:color="auto"/>
              <w:right w:val="single" w:sz="6" w:space="0" w:color="auto"/>
            </w:tcBorders>
            <w:vAlign w:val="bottom"/>
          </w:tcPr>
          <w:p w14:paraId="5EA07920" w14:textId="37AAC031" w:rsidR="00BF32CE" w:rsidRPr="00BF32CE" w:rsidRDefault="00BF32CE" w:rsidP="00BF32CE">
            <w:pPr>
              <w:jc w:val="center"/>
              <w:rPr>
                <w:rFonts w:ascii="Arial Narrow" w:hAnsi="Arial Narrow"/>
                <w:sz w:val="20"/>
                <w:szCs w:val="20"/>
              </w:rPr>
            </w:pPr>
            <w:r w:rsidRPr="00BF32CE">
              <w:rPr>
                <w:rFonts w:ascii="Arial Narrow" w:hAnsi="Arial Narrow" w:cs="Arial"/>
                <w:color w:val="000000"/>
                <w:sz w:val="20"/>
                <w:szCs w:val="20"/>
              </w:rPr>
              <w:t>0.3</w:t>
            </w:r>
          </w:p>
        </w:tc>
      </w:tr>
      <w:tr w:rsidR="00BF32CE" w:rsidRPr="004D732D" w14:paraId="69A9CC7F" w14:textId="77777777" w:rsidTr="00B0118F">
        <w:trPr>
          <w:trHeight w:val="247"/>
        </w:trPr>
        <w:tc>
          <w:tcPr>
            <w:tcW w:w="2614" w:type="dxa"/>
            <w:tcBorders>
              <w:top w:val="single" w:sz="6" w:space="0" w:color="auto"/>
              <w:left w:val="single" w:sz="6" w:space="0" w:color="auto"/>
              <w:bottom w:val="single" w:sz="6" w:space="0" w:color="auto"/>
              <w:right w:val="single" w:sz="6" w:space="0" w:color="auto"/>
            </w:tcBorders>
            <w:vAlign w:val="bottom"/>
          </w:tcPr>
          <w:p w14:paraId="1FC06635" w14:textId="731F4E71" w:rsidR="00BF32CE" w:rsidRPr="00BF32CE" w:rsidRDefault="00BF32CE" w:rsidP="00BF32CE">
            <w:pPr>
              <w:rPr>
                <w:rFonts w:ascii="Arial Narrow" w:hAnsi="Arial Narrow" w:cs="Calibri"/>
                <w:color w:val="000000"/>
                <w:sz w:val="20"/>
                <w:szCs w:val="20"/>
              </w:rPr>
            </w:pPr>
            <w:r w:rsidRPr="00BF32CE">
              <w:rPr>
                <w:rFonts w:ascii="Arial Narrow" w:hAnsi="Arial Narrow" w:cs="Arial"/>
                <w:color w:val="000000"/>
                <w:sz w:val="20"/>
                <w:szCs w:val="20"/>
              </w:rPr>
              <w:t>TOC</w:t>
            </w:r>
          </w:p>
        </w:tc>
        <w:tc>
          <w:tcPr>
            <w:tcW w:w="1260" w:type="dxa"/>
            <w:tcBorders>
              <w:top w:val="single" w:sz="6" w:space="0" w:color="auto"/>
              <w:left w:val="single" w:sz="6" w:space="0" w:color="auto"/>
              <w:bottom w:val="single" w:sz="6" w:space="0" w:color="auto"/>
              <w:right w:val="single" w:sz="6" w:space="0" w:color="auto"/>
            </w:tcBorders>
            <w:vAlign w:val="bottom"/>
          </w:tcPr>
          <w:p w14:paraId="331DD473" w14:textId="1530C7AE" w:rsidR="00BF32CE" w:rsidRPr="00BF32CE" w:rsidRDefault="00BF32CE" w:rsidP="00BF32CE">
            <w:pPr>
              <w:jc w:val="center"/>
              <w:rPr>
                <w:rFonts w:ascii="Arial Narrow" w:hAnsi="Arial Narrow" w:cs="Calibri"/>
                <w:color w:val="000000"/>
                <w:sz w:val="20"/>
                <w:szCs w:val="20"/>
              </w:rPr>
            </w:pPr>
            <w:r w:rsidRPr="00BF32CE">
              <w:rPr>
                <w:rFonts w:ascii="Arial Narrow" w:hAnsi="Arial Narrow" w:cs="Arial"/>
                <w:color w:val="000000"/>
                <w:sz w:val="20"/>
                <w:szCs w:val="20"/>
              </w:rPr>
              <w:t>N</w:t>
            </w:r>
          </w:p>
        </w:tc>
        <w:tc>
          <w:tcPr>
            <w:tcW w:w="1470" w:type="dxa"/>
            <w:tcBorders>
              <w:top w:val="single" w:sz="6" w:space="0" w:color="auto"/>
              <w:left w:val="single" w:sz="6" w:space="0" w:color="auto"/>
              <w:bottom w:val="single" w:sz="6" w:space="0" w:color="auto"/>
              <w:right w:val="single" w:sz="6" w:space="0" w:color="auto"/>
            </w:tcBorders>
            <w:vAlign w:val="bottom"/>
          </w:tcPr>
          <w:p w14:paraId="1A6C0769" w14:textId="57D88A1E" w:rsidR="00BF32CE" w:rsidRPr="00BF32CE" w:rsidRDefault="00BF32CE" w:rsidP="00BF32CE">
            <w:pPr>
              <w:jc w:val="center"/>
              <w:rPr>
                <w:rFonts w:ascii="Arial Narrow" w:hAnsi="Arial Narrow" w:cs="Calibri"/>
                <w:color w:val="000000"/>
                <w:sz w:val="20"/>
                <w:szCs w:val="20"/>
              </w:rPr>
            </w:pPr>
            <w:r w:rsidRPr="00BF32CE">
              <w:rPr>
                <w:rFonts w:ascii="Arial Narrow" w:hAnsi="Arial Narrow" w:cs="Arial"/>
                <w:color w:val="000000"/>
                <w:sz w:val="20"/>
                <w:szCs w:val="20"/>
              </w:rPr>
              <w:t>0.46</w:t>
            </w:r>
          </w:p>
        </w:tc>
        <w:tc>
          <w:tcPr>
            <w:tcW w:w="1680" w:type="dxa"/>
            <w:tcBorders>
              <w:top w:val="single" w:sz="6" w:space="0" w:color="auto"/>
              <w:left w:val="single" w:sz="6" w:space="0" w:color="auto"/>
              <w:bottom w:val="single" w:sz="6" w:space="0" w:color="auto"/>
              <w:right w:val="single" w:sz="6" w:space="0" w:color="auto"/>
            </w:tcBorders>
            <w:vAlign w:val="bottom"/>
          </w:tcPr>
          <w:p w14:paraId="3D65137F" w14:textId="539431FE" w:rsidR="00BF32CE" w:rsidRPr="00BF32CE" w:rsidRDefault="00BF32CE" w:rsidP="00BF32CE">
            <w:pPr>
              <w:jc w:val="center"/>
              <w:rPr>
                <w:rFonts w:ascii="Arial Narrow" w:hAnsi="Arial Narrow" w:cs="Calibri"/>
                <w:color w:val="000000"/>
                <w:sz w:val="20"/>
                <w:szCs w:val="20"/>
              </w:rPr>
            </w:pPr>
            <w:r w:rsidRPr="00BF32CE">
              <w:rPr>
                <w:rFonts w:ascii="Arial Narrow" w:hAnsi="Arial Narrow" w:cs="Arial"/>
                <w:color w:val="000000"/>
                <w:sz w:val="20"/>
                <w:szCs w:val="20"/>
              </w:rPr>
              <w:t>0.32</w:t>
            </w:r>
          </w:p>
        </w:tc>
      </w:tr>
      <w:tr w:rsidR="00BF32CE" w:rsidRPr="004D732D" w14:paraId="3DD4E50E" w14:textId="77777777" w:rsidTr="00B0118F">
        <w:trPr>
          <w:trHeight w:val="247"/>
        </w:trPr>
        <w:tc>
          <w:tcPr>
            <w:tcW w:w="2614" w:type="dxa"/>
            <w:tcBorders>
              <w:top w:val="single" w:sz="6" w:space="0" w:color="auto"/>
              <w:left w:val="single" w:sz="6" w:space="0" w:color="auto"/>
              <w:bottom w:val="single" w:sz="6" w:space="0" w:color="auto"/>
              <w:right w:val="single" w:sz="6" w:space="0" w:color="auto"/>
            </w:tcBorders>
            <w:vAlign w:val="bottom"/>
          </w:tcPr>
          <w:p w14:paraId="32170A6A" w14:textId="20B15245" w:rsidR="00BF32CE" w:rsidRPr="00BF32CE" w:rsidRDefault="00BF32CE" w:rsidP="00BF32CE">
            <w:pPr>
              <w:rPr>
                <w:rFonts w:ascii="Arial Narrow" w:hAnsi="Arial Narrow" w:cs="Calibri"/>
                <w:color w:val="000000"/>
                <w:sz w:val="20"/>
                <w:szCs w:val="20"/>
              </w:rPr>
            </w:pPr>
            <w:r w:rsidRPr="00BF32CE">
              <w:rPr>
                <w:rFonts w:ascii="Arial Narrow" w:hAnsi="Arial Narrow" w:cs="Arial"/>
                <w:color w:val="000000"/>
                <w:sz w:val="20"/>
                <w:szCs w:val="20"/>
              </w:rPr>
              <w:t>DOC</w:t>
            </w:r>
          </w:p>
        </w:tc>
        <w:tc>
          <w:tcPr>
            <w:tcW w:w="1260" w:type="dxa"/>
            <w:tcBorders>
              <w:top w:val="single" w:sz="6" w:space="0" w:color="auto"/>
              <w:left w:val="single" w:sz="6" w:space="0" w:color="auto"/>
              <w:bottom w:val="single" w:sz="6" w:space="0" w:color="auto"/>
              <w:right w:val="single" w:sz="6" w:space="0" w:color="auto"/>
            </w:tcBorders>
            <w:vAlign w:val="bottom"/>
          </w:tcPr>
          <w:p w14:paraId="38F75C06" w14:textId="2593B28F" w:rsidR="00BF32CE" w:rsidRPr="00BF32CE" w:rsidRDefault="00BF32CE" w:rsidP="00BF32CE">
            <w:pPr>
              <w:jc w:val="center"/>
              <w:rPr>
                <w:rFonts w:ascii="Arial Narrow" w:hAnsi="Arial Narrow" w:cs="Calibri"/>
                <w:color w:val="000000"/>
                <w:sz w:val="20"/>
                <w:szCs w:val="20"/>
              </w:rPr>
            </w:pPr>
            <w:r w:rsidRPr="00BF32CE">
              <w:rPr>
                <w:rFonts w:ascii="Arial Narrow" w:hAnsi="Arial Narrow" w:cs="Arial"/>
                <w:color w:val="000000"/>
                <w:sz w:val="20"/>
                <w:szCs w:val="20"/>
              </w:rPr>
              <w:t>N</w:t>
            </w:r>
          </w:p>
        </w:tc>
        <w:tc>
          <w:tcPr>
            <w:tcW w:w="1470" w:type="dxa"/>
            <w:tcBorders>
              <w:top w:val="single" w:sz="6" w:space="0" w:color="auto"/>
              <w:left w:val="single" w:sz="6" w:space="0" w:color="auto"/>
              <w:bottom w:val="single" w:sz="6" w:space="0" w:color="auto"/>
              <w:right w:val="single" w:sz="6" w:space="0" w:color="auto"/>
            </w:tcBorders>
            <w:vAlign w:val="bottom"/>
          </w:tcPr>
          <w:p w14:paraId="04923204" w14:textId="655EB181" w:rsidR="00BF32CE" w:rsidRPr="00BF32CE" w:rsidRDefault="00BF32CE" w:rsidP="00BF32CE">
            <w:pPr>
              <w:jc w:val="center"/>
              <w:rPr>
                <w:rFonts w:ascii="Arial Narrow" w:hAnsi="Arial Narrow" w:cs="Calibri"/>
                <w:color w:val="000000"/>
                <w:sz w:val="20"/>
                <w:szCs w:val="20"/>
              </w:rPr>
            </w:pPr>
            <w:r w:rsidRPr="00BF32CE">
              <w:rPr>
                <w:rFonts w:ascii="Arial Narrow" w:hAnsi="Arial Narrow" w:cs="Arial"/>
                <w:color w:val="000000"/>
                <w:sz w:val="20"/>
                <w:szCs w:val="20"/>
              </w:rPr>
              <w:t>0.42</w:t>
            </w:r>
          </w:p>
        </w:tc>
        <w:tc>
          <w:tcPr>
            <w:tcW w:w="1680" w:type="dxa"/>
            <w:tcBorders>
              <w:top w:val="single" w:sz="6" w:space="0" w:color="auto"/>
              <w:left w:val="single" w:sz="6" w:space="0" w:color="auto"/>
              <w:bottom w:val="single" w:sz="6" w:space="0" w:color="auto"/>
              <w:right w:val="single" w:sz="6" w:space="0" w:color="auto"/>
            </w:tcBorders>
            <w:vAlign w:val="bottom"/>
          </w:tcPr>
          <w:p w14:paraId="77958324" w14:textId="4C9E2F75" w:rsidR="00BF32CE" w:rsidRPr="00BF32CE" w:rsidRDefault="00BF32CE" w:rsidP="00BF32CE">
            <w:pPr>
              <w:jc w:val="center"/>
              <w:rPr>
                <w:rFonts w:ascii="Arial Narrow" w:hAnsi="Arial Narrow" w:cs="Calibri"/>
                <w:color w:val="000000"/>
                <w:sz w:val="20"/>
                <w:szCs w:val="20"/>
              </w:rPr>
            </w:pPr>
            <w:r w:rsidRPr="00BF32CE">
              <w:rPr>
                <w:rFonts w:ascii="Arial Narrow" w:hAnsi="Arial Narrow" w:cs="Arial"/>
                <w:color w:val="000000"/>
                <w:sz w:val="20"/>
                <w:szCs w:val="20"/>
              </w:rPr>
              <w:t>0.35</w:t>
            </w:r>
          </w:p>
        </w:tc>
      </w:tr>
      <w:tr w:rsidR="00BF32CE" w:rsidRPr="004D732D" w14:paraId="208A3609" w14:textId="77777777" w:rsidTr="00B0118F">
        <w:trPr>
          <w:trHeight w:val="247"/>
        </w:trPr>
        <w:tc>
          <w:tcPr>
            <w:tcW w:w="2614" w:type="dxa"/>
            <w:tcBorders>
              <w:top w:val="single" w:sz="6" w:space="0" w:color="auto"/>
              <w:left w:val="single" w:sz="6" w:space="0" w:color="auto"/>
              <w:bottom w:val="single" w:sz="6" w:space="0" w:color="auto"/>
              <w:right w:val="single" w:sz="6" w:space="0" w:color="auto"/>
            </w:tcBorders>
            <w:vAlign w:val="bottom"/>
          </w:tcPr>
          <w:p w14:paraId="2B640FFF" w14:textId="7A9DF6BD" w:rsidR="00BF32CE" w:rsidRPr="00BF32CE" w:rsidRDefault="00BF32CE" w:rsidP="00BF32CE">
            <w:pPr>
              <w:rPr>
                <w:rFonts w:ascii="Arial Narrow" w:hAnsi="Arial Narrow"/>
                <w:sz w:val="20"/>
                <w:szCs w:val="20"/>
              </w:rPr>
            </w:pPr>
            <w:r w:rsidRPr="00BF32CE">
              <w:rPr>
                <w:rFonts w:ascii="Arial Narrow" w:hAnsi="Arial Narrow" w:cs="Arial"/>
                <w:color w:val="000000"/>
                <w:sz w:val="20"/>
                <w:szCs w:val="20"/>
              </w:rPr>
              <w:t>Conductivity</w:t>
            </w:r>
          </w:p>
        </w:tc>
        <w:tc>
          <w:tcPr>
            <w:tcW w:w="1260" w:type="dxa"/>
            <w:tcBorders>
              <w:top w:val="single" w:sz="6" w:space="0" w:color="auto"/>
              <w:left w:val="single" w:sz="6" w:space="0" w:color="auto"/>
              <w:bottom w:val="single" w:sz="6" w:space="0" w:color="auto"/>
              <w:right w:val="single" w:sz="6" w:space="0" w:color="auto"/>
            </w:tcBorders>
            <w:vAlign w:val="bottom"/>
          </w:tcPr>
          <w:p w14:paraId="38C66F2C" w14:textId="0AA1D8CB" w:rsidR="00BF32CE" w:rsidRPr="00BF32CE" w:rsidRDefault="00BF32CE" w:rsidP="00BF32CE">
            <w:pPr>
              <w:jc w:val="center"/>
              <w:rPr>
                <w:rFonts w:ascii="Arial Narrow" w:hAnsi="Arial Narrow"/>
                <w:sz w:val="20"/>
                <w:szCs w:val="20"/>
              </w:rPr>
            </w:pPr>
            <w:r w:rsidRPr="00BF32CE">
              <w:rPr>
                <w:rFonts w:ascii="Arial Narrow" w:hAnsi="Arial Narrow" w:cs="Arial"/>
                <w:color w:val="000000"/>
                <w:sz w:val="20"/>
                <w:szCs w:val="20"/>
              </w:rPr>
              <w:t>N</w:t>
            </w:r>
          </w:p>
        </w:tc>
        <w:tc>
          <w:tcPr>
            <w:tcW w:w="1470" w:type="dxa"/>
            <w:tcBorders>
              <w:top w:val="single" w:sz="6" w:space="0" w:color="auto"/>
              <w:left w:val="single" w:sz="6" w:space="0" w:color="auto"/>
              <w:bottom w:val="single" w:sz="6" w:space="0" w:color="auto"/>
              <w:right w:val="single" w:sz="6" w:space="0" w:color="auto"/>
            </w:tcBorders>
            <w:vAlign w:val="bottom"/>
          </w:tcPr>
          <w:p w14:paraId="2FA3B40A" w14:textId="5EC74D29" w:rsidR="00BF32CE" w:rsidRPr="00BF32CE" w:rsidRDefault="00BF32CE" w:rsidP="00BF32CE">
            <w:pPr>
              <w:jc w:val="center"/>
              <w:rPr>
                <w:rFonts w:ascii="Arial Narrow" w:hAnsi="Arial Narrow"/>
                <w:sz w:val="20"/>
                <w:szCs w:val="20"/>
              </w:rPr>
            </w:pPr>
            <w:r w:rsidRPr="00BF32CE">
              <w:rPr>
                <w:rFonts w:ascii="Arial Narrow" w:hAnsi="Arial Narrow" w:cs="Arial"/>
                <w:color w:val="000000"/>
                <w:sz w:val="20"/>
                <w:szCs w:val="20"/>
              </w:rPr>
              <w:t>0.22</w:t>
            </w:r>
          </w:p>
        </w:tc>
        <w:tc>
          <w:tcPr>
            <w:tcW w:w="1680" w:type="dxa"/>
            <w:tcBorders>
              <w:top w:val="single" w:sz="6" w:space="0" w:color="auto"/>
              <w:left w:val="single" w:sz="6" w:space="0" w:color="auto"/>
              <w:bottom w:val="single" w:sz="6" w:space="0" w:color="auto"/>
              <w:right w:val="single" w:sz="6" w:space="0" w:color="auto"/>
            </w:tcBorders>
            <w:vAlign w:val="bottom"/>
          </w:tcPr>
          <w:p w14:paraId="363EC14B" w14:textId="46FD579A" w:rsidR="00BF32CE" w:rsidRPr="00BF32CE" w:rsidRDefault="00BF32CE" w:rsidP="00BF32CE">
            <w:pPr>
              <w:jc w:val="center"/>
              <w:rPr>
                <w:rFonts w:ascii="Arial Narrow" w:hAnsi="Arial Narrow"/>
                <w:sz w:val="20"/>
                <w:szCs w:val="20"/>
              </w:rPr>
            </w:pPr>
            <w:r w:rsidRPr="00BF32CE">
              <w:rPr>
                <w:rFonts w:ascii="Arial Narrow" w:hAnsi="Arial Narrow" w:cs="Arial"/>
                <w:color w:val="000000"/>
                <w:sz w:val="20"/>
                <w:szCs w:val="20"/>
              </w:rPr>
              <w:t>0.35</w:t>
            </w:r>
          </w:p>
        </w:tc>
      </w:tr>
      <w:tr w:rsidR="00BF32CE" w:rsidRPr="004D732D" w14:paraId="412B8AD5" w14:textId="77777777" w:rsidTr="00B0118F">
        <w:trPr>
          <w:trHeight w:val="247"/>
        </w:trPr>
        <w:tc>
          <w:tcPr>
            <w:tcW w:w="2614" w:type="dxa"/>
            <w:tcBorders>
              <w:top w:val="single" w:sz="6" w:space="0" w:color="auto"/>
              <w:left w:val="single" w:sz="6" w:space="0" w:color="auto"/>
              <w:bottom w:val="single" w:sz="6" w:space="0" w:color="auto"/>
              <w:right w:val="single" w:sz="6" w:space="0" w:color="auto"/>
            </w:tcBorders>
            <w:vAlign w:val="bottom"/>
          </w:tcPr>
          <w:p w14:paraId="7147BE4D" w14:textId="7D1CC695" w:rsidR="00BF32CE" w:rsidRPr="00BF32CE" w:rsidRDefault="00BF32CE" w:rsidP="00BF32CE">
            <w:pPr>
              <w:rPr>
                <w:rFonts w:ascii="Arial Narrow" w:hAnsi="Arial Narrow"/>
                <w:sz w:val="20"/>
                <w:szCs w:val="20"/>
              </w:rPr>
            </w:pPr>
            <w:r w:rsidRPr="00BF32CE">
              <w:rPr>
                <w:rFonts w:ascii="Arial Narrow" w:hAnsi="Arial Narrow" w:cs="Arial"/>
                <w:color w:val="000000"/>
                <w:sz w:val="20"/>
                <w:szCs w:val="20"/>
              </w:rPr>
              <w:t>Habitat</w:t>
            </w:r>
          </w:p>
        </w:tc>
        <w:tc>
          <w:tcPr>
            <w:tcW w:w="1260" w:type="dxa"/>
            <w:tcBorders>
              <w:top w:val="single" w:sz="6" w:space="0" w:color="auto"/>
              <w:left w:val="single" w:sz="6" w:space="0" w:color="auto"/>
              <w:bottom w:val="single" w:sz="6" w:space="0" w:color="auto"/>
              <w:right w:val="single" w:sz="6" w:space="0" w:color="auto"/>
            </w:tcBorders>
            <w:vAlign w:val="bottom"/>
          </w:tcPr>
          <w:p w14:paraId="685C714D" w14:textId="68E1D99F" w:rsidR="00BF32CE" w:rsidRPr="00BF32CE" w:rsidRDefault="00BF32CE" w:rsidP="00BF32CE">
            <w:pPr>
              <w:jc w:val="center"/>
              <w:rPr>
                <w:rFonts w:ascii="Arial Narrow" w:hAnsi="Arial Narrow"/>
                <w:sz w:val="20"/>
                <w:szCs w:val="20"/>
              </w:rPr>
            </w:pPr>
            <w:r w:rsidRPr="00BF32CE">
              <w:rPr>
                <w:rFonts w:ascii="Arial Narrow" w:hAnsi="Arial Narrow" w:cs="Arial"/>
                <w:color w:val="000000"/>
                <w:sz w:val="20"/>
                <w:szCs w:val="20"/>
              </w:rPr>
              <w:t>N</w:t>
            </w:r>
          </w:p>
        </w:tc>
        <w:tc>
          <w:tcPr>
            <w:tcW w:w="1470" w:type="dxa"/>
            <w:tcBorders>
              <w:top w:val="single" w:sz="6" w:space="0" w:color="auto"/>
              <w:left w:val="single" w:sz="6" w:space="0" w:color="auto"/>
              <w:bottom w:val="single" w:sz="6" w:space="0" w:color="auto"/>
              <w:right w:val="single" w:sz="6" w:space="0" w:color="auto"/>
            </w:tcBorders>
            <w:vAlign w:val="bottom"/>
          </w:tcPr>
          <w:p w14:paraId="3D739561" w14:textId="6C8C7BFA" w:rsidR="00BF32CE" w:rsidRPr="00BF32CE" w:rsidRDefault="00BF32CE" w:rsidP="00BF32CE">
            <w:pPr>
              <w:jc w:val="center"/>
              <w:rPr>
                <w:rFonts w:ascii="Arial Narrow" w:hAnsi="Arial Narrow"/>
                <w:sz w:val="20"/>
                <w:szCs w:val="20"/>
              </w:rPr>
            </w:pPr>
            <w:r w:rsidRPr="00BF32CE">
              <w:rPr>
                <w:rFonts w:ascii="Arial Narrow" w:hAnsi="Arial Narrow" w:cs="Arial"/>
                <w:color w:val="000000"/>
                <w:sz w:val="20"/>
                <w:szCs w:val="20"/>
              </w:rPr>
              <w:t>0.21</w:t>
            </w:r>
          </w:p>
        </w:tc>
        <w:tc>
          <w:tcPr>
            <w:tcW w:w="1680" w:type="dxa"/>
            <w:tcBorders>
              <w:top w:val="single" w:sz="6" w:space="0" w:color="auto"/>
              <w:left w:val="single" w:sz="6" w:space="0" w:color="auto"/>
              <w:bottom w:val="single" w:sz="6" w:space="0" w:color="auto"/>
              <w:right w:val="single" w:sz="6" w:space="0" w:color="auto"/>
            </w:tcBorders>
            <w:vAlign w:val="bottom"/>
          </w:tcPr>
          <w:p w14:paraId="16366E20" w14:textId="2F0BF2A8" w:rsidR="00BF32CE" w:rsidRPr="00BF32CE" w:rsidRDefault="00BF32CE" w:rsidP="00BF32CE">
            <w:pPr>
              <w:jc w:val="center"/>
              <w:rPr>
                <w:rFonts w:ascii="Arial Narrow" w:hAnsi="Arial Narrow"/>
                <w:sz w:val="20"/>
                <w:szCs w:val="20"/>
              </w:rPr>
            </w:pPr>
            <w:r w:rsidRPr="00BF32CE">
              <w:rPr>
                <w:rFonts w:ascii="Arial Narrow" w:hAnsi="Arial Narrow" w:cs="Arial"/>
                <w:color w:val="000000"/>
                <w:sz w:val="20"/>
                <w:szCs w:val="20"/>
              </w:rPr>
              <w:t>0.37</w:t>
            </w:r>
          </w:p>
        </w:tc>
      </w:tr>
      <w:tr w:rsidR="00BF32CE" w:rsidRPr="004D732D" w14:paraId="521A40F1" w14:textId="77777777" w:rsidTr="00B0118F">
        <w:trPr>
          <w:trHeight w:val="247"/>
        </w:trPr>
        <w:tc>
          <w:tcPr>
            <w:tcW w:w="2614" w:type="dxa"/>
            <w:tcBorders>
              <w:top w:val="single" w:sz="6" w:space="0" w:color="auto"/>
              <w:left w:val="single" w:sz="6" w:space="0" w:color="auto"/>
              <w:bottom w:val="single" w:sz="6" w:space="0" w:color="auto"/>
              <w:right w:val="single" w:sz="6" w:space="0" w:color="auto"/>
            </w:tcBorders>
            <w:vAlign w:val="bottom"/>
          </w:tcPr>
          <w:p w14:paraId="3E79D29D" w14:textId="6AC2A5A4" w:rsidR="00BF32CE" w:rsidRPr="00BF32CE" w:rsidRDefault="00BF32CE" w:rsidP="00BF32CE">
            <w:pPr>
              <w:rPr>
                <w:rFonts w:ascii="Arial Narrow" w:hAnsi="Arial Narrow"/>
                <w:sz w:val="20"/>
                <w:szCs w:val="20"/>
              </w:rPr>
            </w:pPr>
            <w:r w:rsidRPr="00BF32CE">
              <w:rPr>
                <w:rFonts w:ascii="Arial Narrow" w:hAnsi="Arial Narrow" w:cs="Arial"/>
                <w:color w:val="000000"/>
                <w:sz w:val="20"/>
                <w:szCs w:val="20"/>
              </w:rPr>
              <w:t>TVS</w:t>
            </w:r>
          </w:p>
        </w:tc>
        <w:tc>
          <w:tcPr>
            <w:tcW w:w="1260" w:type="dxa"/>
            <w:tcBorders>
              <w:top w:val="single" w:sz="6" w:space="0" w:color="auto"/>
              <w:left w:val="single" w:sz="6" w:space="0" w:color="auto"/>
              <w:bottom w:val="single" w:sz="6" w:space="0" w:color="auto"/>
              <w:right w:val="single" w:sz="6" w:space="0" w:color="auto"/>
            </w:tcBorders>
            <w:vAlign w:val="bottom"/>
          </w:tcPr>
          <w:p w14:paraId="6291A494" w14:textId="2BAF90B2" w:rsidR="00BF32CE" w:rsidRPr="00BF32CE" w:rsidRDefault="00BF32CE" w:rsidP="00BF32CE">
            <w:pPr>
              <w:jc w:val="center"/>
              <w:rPr>
                <w:rFonts w:ascii="Arial Narrow" w:hAnsi="Arial Narrow"/>
                <w:sz w:val="20"/>
                <w:szCs w:val="20"/>
              </w:rPr>
            </w:pPr>
            <w:r w:rsidRPr="00BF32CE">
              <w:rPr>
                <w:rFonts w:ascii="Arial Narrow" w:hAnsi="Arial Narrow" w:cs="Arial"/>
                <w:color w:val="000000"/>
                <w:sz w:val="20"/>
                <w:szCs w:val="20"/>
              </w:rPr>
              <w:t>N</w:t>
            </w:r>
          </w:p>
        </w:tc>
        <w:tc>
          <w:tcPr>
            <w:tcW w:w="1470" w:type="dxa"/>
            <w:tcBorders>
              <w:top w:val="single" w:sz="6" w:space="0" w:color="auto"/>
              <w:left w:val="single" w:sz="6" w:space="0" w:color="auto"/>
              <w:bottom w:val="single" w:sz="6" w:space="0" w:color="auto"/>
              <w:right w:val="single" w:sz="6" w:space="0" w:color="auto"/>
            </w:tcBorders>
            <w:vAlign w:val="bottom"/>
          </w:tcPr>
          <w:p w14:paraId="0863AFEA" w14:textId="2C2C96B7" w:rsidR="00BF32CE" w:rsidRPr="00BF32CE" w:rsidRDefault="00BF32CE" w:rsidP="00BF32CE">
            <w:pPr>
              <w:jc w:val="center"/>
              <w:rPr>
                <w:rFonts w:ascii="Arial Narrow" w:hAnsi="Arial Narrow"/>
                <w:sz w:val="20"/>
                <w:szCs w:val="20"/>
              </w:rPr>
            </w:pPr>
            <w:r w:rsidRPr="00BF32CE">
              <w:rPr>
                <w:rFonts w:ascii="Arial Narrow" w:hAnsi="Arial Narrow" w:cs="Arial"/>
                <w:color w:val="000000"/>
                <w:sz w:val="20"/>
                <w:szCs w:val="20"/>
              </w:rPr>
              <w:t>0.35</w:t>
            </w:r>
          </w:p>
        </w:tc>
        <w:tc>
          <w:tcPr>
            <w:tcW w:w="1680" w:type="dxa"/>
            <w:tcBorders>
              <w:top w:val="single" w:sz="6" w:space="0" w:color="auto"/>
              <w:left w:val="single" w:sz="6" w:space="0" w:color="auto"/>
              <w:bottom w:val="single" w:sz="6" w:space="0" w:color="auto"/>
              <w:right w:val="single" w:sz="6" w:space="0" w:color="auto"/>
            </w:tcBorders>
            <w:vAlign w:val="bottom"/>
          </w:tcPr>
          <w:p w14:paraId="736057EE" w14:textId="74F5A572" w:rsidR="00BF32CE" w:rsidRPr="00BF32CE" w:rsidRDefault="00BF32CE" w:rsidP="00BF32CE">
            <w:pPr>
              <w:jc w:val="center"/>
              <w:rPr>
                <w:rFonts w:ascii="Arial Narrow" w:hAnsi="Arial Narrow"/>
                <w:sz w:val="20"/>
                <w:szCs w:val="20"/>
              </w:rPr>
            </w:pPr>
            <w:r w:rsidRPr="00BF32CE">
              <w:rPr>
                <w:rFonts w:ascii="Arial Narrow" w:hAnsi="Arial Narrow" w:cs="Arial"/>
                <w:color w:val="000000"/>
                <w:sz w:val="20"/>
                <w:szCs w:val="20"/>
              </w:rPr>
              <w:t>0.41</w:t>
            </w:r>
          </w:p>
        </w:tc>
      </w:tr>
      <w:tr w:rsidR="00BF32CE" w:rsidRPr="004D732D" w14:paraId="5D38D448" w14:textId="77777777" w:rsidTr="00B0118F">
        <w:trPr>
          <w:trHeight w:val="247"/>
        </w:trPr>
        <w:tc>
          <w:tcPr>
            <w:tcW w:w="2614" w:type="dxa"/>
            <w:tcBorders>
              <w:top w:val="single" w:sz="6" w:space="0" w:color="auto"/>
              <w:left w:val="single" w:sz="6" w:space="0" w:color="auto"/>
              <w:bottom w:val="single" w:sz="6" w:space="0" w:color="auto"/>
              <w:right w:val="single" w:sz="6" w:space="0" w:color="auto"/>
            </w:tcBorders>
            <w:vAlign w:val="bottom"/>
          </w:tcPr>
          <w:p w14:paraId="543A4494" w14:textId="328FDECF" w:rsidR="00BF32CE" w:rsidRPr="00BF32CE" w:rsidRDefault="00BF32CE" w:rsidP="00BF32CE">
            <w:pPr>
              <w:rPr>
                <w:rFonts w:ascii="Arial Narrow" w:hAnsi="Arial Narrow"/>
                <w:sz w:val="20"/>
                <w:szCs w:val="20"/>
              </w:rPr>
            </w:pPr>
            <w:r w:rsidRPr="00BF32CE">
              <w:rPr>
                <w:rFonts w:ascii="Arial Narrow" w:hAnsi="Arial Narrow" w:cs="Arial"/>
                <w:color w:val="000000"/>
                <w:sz w:val="20"/>
                <w:szCs w:val="20"/>
              </w:rPr>
              <w:t>Turbidity</w:t>
            </w:r>
          </w:p>
        </w:tc>
        <w:tc>
          <w:tcPr>
            <w:tcW w:w="1260" w:type="dxa"/>
            <w:tcBorders>
              <w:top w:val="single" w:sz="6" w:space="0" w:color="auto"/>
              <w:left w:val="single" w:sz="6" w:space="0" w:color="auto"/>
              <w:bottom w:val="single" w:sz="6" w:space="0" w:color="auto"/>
              <w:right w:val="single" w:sz="6" w:space="0" w:color="auto"/>
            </w:tcBorders>
            <w:vAlign w:val="bottom"/>
          </w:tcPr>
          <w:p w14:paraId="5A65B23D" w14:textId="059DE8B8" w:rsidR="00BF32CE" w:rsidRPr="00BF32CE" w:rsidRDefault="00BF32CE" w:rsidP="00BF32CE">
            <w:pPr>
              <w:jc w:val="center"/>
              <w:rPr>
                <w:rFonts w:ascii="Arial Narrow" w:hAnsi="Arial Narrow"/>
                <w:sz w:val="20"/>
                <w:szCs w:val="20"/>
              </w:rPr>
            </w:pPr>
            <w:r w:rsidRPr="00BF32CE">
              <w:rPr>
                <w:rFonts w:ascii="Arial Narrow" w:hAnsi="Arial Narrow" w:cs="Arial"/>
                <w:color w:val="000000"/>
                <w:sz w:val="20"/>
                <w:szCs w:val="20"/>
              </w:rPr>
              <w:t>N</w:t>
            </w:r>
          </w:p>
        </w:tc>
        <w:tc>
          <w:tcPr>
            <w:tcW w:w="1470" w:type="dxa"/>
            <w:tcBorders>
              <w:top w:val="single" w:sz="6" w:space="0" w:color="auto"/>
              <w:left w:val="single" w:sz="6" w:space="0" w:color="auto"/>
              <w:bottom w:val="single" w:sz="6" w:space="0" w:color="auto"/>
              <w:right w:val="single" w:sz="6" w:space="0" w:color="auto"/>
            </w:tcBorders>
            <w:vAlign w:val="bottom"/>
          </w:tcPr>
          <w:p w14:paraId="0A73AB26" w14:textId="07C39894" w:rsidR="00BF32CE" w:rsidRPr="00BF32CE" w:rsidRDefault="00BF32CE" w:rsidP="00BF32CE">
            <w:pPr>
              <w:jc w:val="center"/>
              <w:rPr>
                <w:rFonts w:ascii="Arial Narrow" w:hAnsi="Arial Narrow"/>
                <w:sz w:val="20"/>
                <w:szCs w:val="20"/>
              </w:rPr>
            </w:pPr>
            <w:r w:rsidRPr="00BF32CE">
              <w:rPr>
                <w:rFonts w:ascii="Arial Narrow" w:hAnsi="Arial Narrow" w:cs="Arial"/>
                <w:color w:val="000000"/>
                <w:sz w:val="20"/>
                <w:szCs w:val="20"/>
              </w:rPr>
              <w:t>0.13</w:t>
            </w:r>
          </w:p>
        </w:tc>
        <w:tc>
          <w:tcPr>
            <w:tcW w:w="1680" w:type="dxa"/>
            <w:tcBorders>
              <w:top w:val="single" w:sz="6" w:space="0" w:color="auto"/>
              <w:left w:val="single" w:sz="6" w:space="0" w:color="auto"/>
              <w:bottom w:val="single" w:sz="6" w:space="0" w:color="auto"/>
              <w:right w:val="single" w:sz="6" w:space="0" w:color="auto"/>
            </w:tcBorders>
            <w:vAlign w:val="bottom"/>
          </w:tcPr>
          <w:p w14:paraId="1279943E" w14:textId="0B59D80E" w:rsidR="00BF32CE" w:rsidRPr="00BF32CE" w:rsidRDefault="00BF32CE" w:rsidP="00BF32CE">
            <w:pPr>
              <w:jc w:val="center"/>
              <w:rPr>
                <w:rFonts w:ascii="Arial Narrow" w:hAnsi="Arial Narrow"/>
                <w:sz w:val="20"/>
                <w:szCs w:val="20"/>
              </w:rPr>
            </w:pPr>
            <w:r w:rsidRPr="00BF32CE">
              <w:rPr>
                <w:rFonts w:ascii="Arial Narrow" w:hAnsi="Arial Narrow" w:cs="Arial"/>
                <w:color w:val="000000"/>
                <w:sz w:val="20"/>
                <w:szCs w:val="20"/>
              </w:rPr>
              <w:t>0.49</w:t>
            </w:r>
          </w:p>
        </w:tc>
      </w:tr>
      <w:tr w:rsidR="00BF32CE" w:rsidRPr="004D732D" w14:paraId="36D7542D" w14:textId="77777777" w:rsidTr="00B0118F">
        <w:trPr>
          <w:trHeight w:val="247"/>
        </w:trPr>
        <w:tc>
          <w:tcPr>
            <w:tcW w:w="2614" w:type="dxa"/>
            <w:tcBorders>
              <w:top w:val="single" w:sz="6" w:space="0" w:color="auto"/>
              <w:left w:val="single" w:sz="6" w:space="0" w:color="auto"/>
              <w:bottom w:val="single" w:sz="6" w:space="0" w:color="auto"/>
              <w:right w:val="single" w:sz="6" w:space="0" w:color="auto"/>
            </w:tcBorders>
            <w:vAlign w:val="bottom"/>
          </w:tcPr>
          <w:p w14:paraId="6834AC1D" w14:textId="05FB6EF0" w:rsidR="00BF32CE" w:rsidRPr="00BF32CE" w:rsidRDefault="00BF32CE" w:rsidP="00BF32CE">
            <w:pPr>
              <w:rPr>
                <w:rFonts w:ascii="Arial Narrow" w:hAnsi="Arial Narrow"/>
                <w:sz w:val="20"/>
                <w:szCs w:val="20"/>
              </w:rPr>
            </w:pPr>
            <w:r w:rsidRPr="00BF32CE">
              <w:rPr>
                <w:rFonts w:ascii="Arial Narrow" w:hAnsi="Arial Narrow" w:cs="Arial"/>
                <w:color w:val="000000"/>
                <w:sz w:val="20"/>
                <w:szCs w:val="20"/>
              </w:rPr>
              <w:t>DO</w:t>
            </w:r>
          </w:p>
        </w:tc>
        <w:tc>
          <w:tcPr>
            <w:tcW w:w="1260" w:type="dxa"/>
            <w:tcBorders>
              <w:top w:val="single" w:sz="6" w:space="0" w:color="auto"/>
              <w:left w:val="single" w:sz="6" w:space="0" w:color="auto"/>
              <w:bottom w:val="single" w:sz="6" w:space="0" w:color="auto"/>
              <w:right w:val="single" w:sz="6" w:space="0" w:color="auto"/>
            </w:tcBorders>
            <w:vAlign w:val="bottom"/>
          </w:tcPr>
          <w:p w14:paraId="47BBCC32" w14:textId="1BEE5191" w:rsidR="00BF32CE" w:rsidRPr="00BF32CE" w:rsidRDefault="00BF32CE" w:rsidP="00BF32CE">
            <w:pPr>
              <w:jc w:val="center"/>
              <w:rPr>
                <w:rFonts w:ascii="Arial Narrow" w:hAnsi="Arial Narrow"/>
                <w:sz w:val="20"/>
                <w:szCs w:val="20"/>
              </w:rPr>
            </w:pPr>
            <w:r w:rsidRPr="00BF32CE">
              <w:rPr>
                <w:rFonts w:ascii="Arial Narrow" w:hAnsi="Arial Narrow" w:cs="Arial"/>
                <w:color w:val="000000"/>
                <w:sz w:val="20"/>
                <w:szCs w:val="20"/>
              </w:rPr>
              <w:t>N</w:t>
            </w:r>
          </w:p>
        </w:tc>
        <w:tc>
          <w:tcPr>
            <w:tcW w:w="1470" w:type="dxa"/>
            <w:tcBorders>
              <w:top w:val="single" w:sz="6" w:space="0" w:color="auto"/>
              <w:left w:val="single" w:sz="6" w:space="0" w:color="auto"/>
              <w:bottom w:val="single" w:sz="6" w:space="0" w:color="auto"/>
              <w:right w:val="single" w:sz="6" w:space="0" w:color="auto"/>
            </w:tcBorders>
            <w:vAlign w:val="bottom"/>
          </w:tcPr>
          <w:p w14:paraId="0A957714" w14:textId="64B8D779" w:rsidR="00BF32CE" w:rsidRPr="00BF32CE" w:rsidRDefault="00BF32CE" w:rsidP="00BF32CE">
            <w:pPr>
              <w:jc w:val="center"/>
              <w:rPr>
                <w:rFonts w:ascii="Arial Narrow" w:hAnsi="Arial Narrow"/>
                <w:sz w:val="20"/>
                <w:szCs w:val="20"/>
              </w:rPr>
            </w:pPr>
            <w:r w:rsidRPr="00BF32CE">
              <w:rPr>
                <w:rFonts w:ascii="Arial Narrow" w:hAnsi="Arial Narrow" w:cs="Arial"/>
                <w:color w:val="000000"/>
                <w:sz w:val="20"/>
                <w:szCs w:val="20"/>
              </w:rPr>
              <w:t>&lt;0.01</w:t>
            </w:r>
          </w:p>
        </w:tc>
        <w:tc>
          <w:tcPr>
            <w:tcW w:w="1680" w:type="dxa"/>
            <w:tcBorders>
              <w:top w:val="single" w:sz="6" w:space="0" w:color="auto"/>
              <w:left w:val="single" w:sz="6" w:space="0" w:color="auto"/>
              <w:bottom w:val="single" w:sz="6" w:space="0" w:color="auto"/>
              <w:right w:val="single" w:sz="6" w:space="0" w:color="auto"/>
            </w:tcBorders>
            <w:vAlign w:val="bottom"/>
          </w:tcPr>
          <w:p w14:paraId="2305F6BC" w14:textId="051CCFAE" w:rsidR="00BF32CE" w:rsidRPr="00BF32CE" w:rsidRDefault="00BF32CE" w:rsidP="00BF32CE">
            <w:pPr>
              <w:jc w:val="center"/>
              <w:rPr>
                <w:rFonts w:ascii="Arial Narrow" w:hAnsi="Arial Narrow"/>
                <w:sz w:val="20"/>
                <w:szCs w:val="20"/>
              </w:rPr>
            </w:pPr>
            <w:r w:rsidRPr="00BF32CE">
              <w:rPr>
                <w:rFonts w:ascii="Arial Narrow" w:hAnsi="Arial Narrow" w:cs="Arial"/>
                <w:color w:val="000000"/>
                <w:sz w:val="20"/>
                <w:szCs w:val="20"/>
              </w:rPr>
              <w:t>0.92</w:t>
            </w:r>
          </w:p>
        </w:tc>
      </w:tr>
    </w:tbl>
    <w:p w14:paraId="7DC51FEE" w14:textId="3350BAC2" w:rsidR="00BF32CE" w:rsidRDefault="00BF32CE" w:rsidP="00BF32CE">
      <w:pPr>
        <w:spacing w:before="120" w:after="120" w:line="360" w:lineRule="auto"/>
      </w:pPr>
    </w:p>
    <w:p w14:paraId="2B519FAD" w14:textId="77777777" w:rsidR="008D20C4" w:rsidRDefault="008D20C4" w:rsidP="008D20C4">
      <w:pPr>
        <w:keepNext/>
        <w:spacing w:before="120" w:after="120" w:line="360" w:lineRule="auto"/>
      </w:pPr>
      <w:r>
        <w:rPr>
          <w:noProof/>
        </w:rPr>
        <w:drawing>
          <wp:inline distT="0" distB="0" distL="0" distR="0" wp14:anchorId="71382154" wp14:editId="70827309">
            <wp:extent cx="3949700" cy="7260670"/>
            <wp:effectExtent l="0" t="0" r="0" b="0"/>
            <wp:docPr id="22" name="Picture 22" descr="Significant water quality regressions with benthic score in the Roanoke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53828" cy="7268258"/>
                    </a:xfrm>
                    <a:prstGeom prst="rect">
                      <a:avLst/>
                    </a:prstGeom>
                    <a:noFill/>
                  </pic:spPr>
                </pic:pic>
              </a:graphicData>
            </a:graphic>
          </wp:inline>
        </w:drawing>
      </w:r>
    </w:p>
    <w:p w14:paraId="3B197806" w14:textId="3C20EF42" w:rsidR="008D20C4" w:rsidRDefault="008D20C4" w:rsidP="008D20C4">
      <w:pPr>
        <w:pStyle w:val="Caption"/>
      </w:pPr>
      <w:bookmarkStart w:id="186" w:name="_Ref150415278"/>
      <w:bookmarkStart w:id="187" w:name="_Toc162948264"/>
      <w:r>
        <w:t xml:space="preserve">Figure </w:t>
      </w:r>
      <w:r w:rsidR="00B0118F">
        <w:rPr>
          <w:noProof/>
        </w:rPr>
        <w:fldChar w:fldCharType="begin"/>
      </w:r>
      <w:r w:rsidR="00B0118F">
        <w:rPr>
          <w:noProof/>
        </w:rPr>
        <w:instrText xml:space="preserve"> SEQ Figure \* ARABIC </w:instrText>
      </w:r>
      <w:r w:rsidR="00B0118F">
        <w:rPr>
          <w:noProof/>
        </w:rPr>
        <w:fldChar w:fldCharType="separate"/>
      </w:r>
      <w:r w:rsidR="004A78BF">
        <w:rPr>
          <w:noProof/>
        </w:rPr>
        <w:t>46</w:t>
      </w:r>
      <w:r w:rsidR="00B0118F">
        <w:rPr>
          <w:noProof/>
        </w:rPr>
        <w:fldChar w:fldCharType="end"/>
      </w:r>
      <w:bookmarkEnd w:id="186"/>
      <w:r>
        <w:t>. Significant water quality regressions with benthic score in the Roanoke River.</w:t>
      </w:r>
      <w:bookmarkEnd w:id="187"/>
    </w:p>
    <w:p w14:paraId="6CFF2E6F" w14:textId="77777777" w:rsidR="00BF32CE" w:rsidRDefault="00BF32CE" w:rsidP="00C80905">
      <w:pPr>
        <w:spacing w:before="120" w:after="120" w:line="360" w:lineRule="auto"/>
      </w:pPr>
    </w:p>
    <w:p w14:paraId="7AFE48D3" w14:textId="52A5E59B" w:rsidR="00A213CA" w:rsidRDefault="00A213CA" w:rsidP="00C80905">
      <w:pPr>
        <w:spacing w:before="120" w:after="120" w:line="360" w:lineRule="auto"/>
      </w:pPr>
    </w:p>
    <w:p w14:paraId="41665555" w14:textId="43D770F3" w:rsidR="00F85C9E" w:rsidRDefault="00401D01" w:rsidP="00401D01">
      <w:pPr>
        <w:pStyle w:val="Heading2"/>
      </w:pPr>
      <w:bookmarkStart w:id="188" w:name="_Toc162948183"/>
      <w:r>
        <w:t>Supplemental Non-Agency Data</w:t>
      </w:r>
      <w:bookmarkEnd w:id="188"/>
    </w:p>
    <w:p w14:paraId="3B14F218" w14:textId="7304AABD" w:rsidR="00401D01" w:rsidRDefault="00401D01" w:rsidP="00C80905">
      <w:pPr>
        <w:spacing w:before="120" w:after="120" w:line="360" w:lineRule="auto"/>
      </w:pPr>
      <w:r>
        <w:t xml:space="preserve">In addition to data compiled by VDEQ, several other data sources were submitted by stakeholders and reviewed as part of this stressor analysis. </w:t>
      </w:r>
    </w:p>
    <w:p w14:paraId="15170B46" w14:textId="74E6C375" w:rsidR="00BF1DAF" w:rsidRDefault="00BF1DAF" w:rsidP="00D44977">
      <w:pPr>
        <w:pStyle w:val="Heading3"/>
      </w:pPr>
      <w:bookmarkStart w:id="189" w:name="_Toc162948184"/>
      <w:r>
        <w:t>BMI Report</w:t>
      </w:r>
      <w:bookmarkEnd w:id="189"/>
    </w:p>
    <w:p w14:paraId="74C88A9C" w14:textId="6798F234" w:rsidR="00410655" w:rsidRDefault="00BF1DAF" w:rsidP="00C80905">
      <w:pPr>
        <w:spacing w:before="120" w:after="120" w:line="360" w:lineRule="auto"/>
      </w:pPr>
      <w:r>
        <w:t>The Western Virginia Water Authority submitted a report</w:t>
      </w:r>
      <w:r w:rsidR="004734B1">
        <w:t xml:space="preserve"> from Biological Monitoring Inc</w:t>
      </w:r>
      <w:r w:rsidR="00D44977">
        <w:t>. (BMI)</w:t>
      </w:r>
      <w:r w:rsidR="004734B1">
        <w:t xml:space="preserve"> with additional benthic, habitat, and water quality data</w:t>
      </w:r>
      <w:r w:rsidR="00D44977">
        <w:t xml:space="preserve"> (BMI, 2023)</w:t>
      </w:r>
      <w:r w:rsidR="004734B1">
        <w:t xml:space="preserve">. </w:t>
      </w:r>
      <w:r w:rsidR="00D44977">
        <w:t xml:space="preserve">BMI collected data from three stations collocated with VDEQ stations used in this stressor analysis (4AROA198.08, 4ATKR000.69, and 4AROA202.20). In addition, three upstream sampling locations were monitored. These included downstream of </w:t>
      </w:r>
      <w:proofErr w:type="spellStart"/>
      <w:r w:rsidR="00D44977">
        <w:t>Wasena</w:t>
      </w:r>
      <w:proofErr w:type="spellEnd"/>
      <w:r w:rsidR="00D44977">
        <w:t xml:space="preserve"> Park (WPD), which is near VDEQ monitoring station 4AROA206.27; upstream of </w:t>
      </w:r>
      <w:proofErr w:type="spellStart"/>
      <w:r w:rsidR="00D44977">
        <w:t>Wasena</w:t>
      </w:r>
      <w:proofErr w:type="spellEnd"/>
      <w:r w:rsidR="00D44977">
        <w:t xml:space="preserve"> Park (WPU), which is near VDEQ monitoring station 4AROA206.95; and </w:t>
      </w:r>
      <w:r w:rsidR="00410655">
        <w:t xml:space="preserve">at Cook Drive (CD1), which is near VDEQ monitoring station </w:t>
      </w:r>
      <w:r w:rsidR="00363B6A">
        <w:t>4AROA</w:t>
      </w:r>
      <w:r w:rsidR="00410655">
        <w:t xml:space="preserve">210.56. </w:t>
      </w:r>
    </w:p>
    <w:p w14:paraId="53E546D4" w14:textId="369559BC" w:rsidR="00BF1DAF" w:rsidRDefault="00410655" w:rsidP="00C80905">
      <w:pPr>
        <w:spacing w:before="120" w:after="120" w:line="360" w:lineRule="auto"/>
      </w:pPr>
      <w:r>
        <w:t xml:space="preserve">Benthic data collected from these stations in Fall 2022 and Spring 2023 are shown in </w:t>
      </w:r>
      <w:r>
        <w:fldChar w:fldCharType="begin"/>
      </w:r>
      <w:r>
        <w:instrText xml:space="preserve"> REF _Ref158035447 \h </w:instrText>
      </w:r>
      <w:r>
        <w:fldChar w:fldCharType="separate"/>
      </w:r>
      <w:r w:rsidR="004A78BF">
        <w:t xml:space="preserve">Table </w:t>
      </w:r>
      <w:r w:rsidR="004A78BF">
        <w:rPr>
          <w:noProof/>
        </w:rPr>
        <w:t>22</w:t>
      </w:r>
      <w:r>
        <w:fldChar w:fldCharType="end"/>
      </w:r>
      <w:r>
        <w:t xml:space="preserve">. In general, benthic data reported by BMI was consistent with benthic data collected by VDEQ. BMI data confirmed that stations 4AROA198.08, 4AROA202.20, and 4ATKR000.69 were impaired. Benthic data also showed that benthic conditions improved moving upstream. BMI monitoring did not extend as far upstream as the unimpaired VDEQ reference (4AROA212.17), but conditions at CD1 approached unimpaired conditions with an average SCI of 59.18 and two of the four scores above the 60 </w:t>
      </w:r>
      <w:proofErr w:type="gramStart"/>
      <w:r>
        <w:t>threshold</w:t>
      </w:r>
      <w:proofErr w:type="gramEnd"/>
      <w:r>
        <w:t>.</w:t>
      </w:r>
    </w:p>
    <w:p w14:paraId="3E93D772" w14:textId="77777777" w:rsidR="006C7A4C" w:rsidRDefault="006C7A4C" w:rsidP="00C80905">
      <w:pPr>
        <w:spacing w:before="120" w:after="120" w:line="360" w:lineRule="auto"/>
      </w:pPr>
    </w:p>
    <w:p w14:paraId="185F4FF9" w14:textId="000E991A" w:rsidR="00410655" w:rsidRDefault="00410655" w:rsidP="00410655">
      <w:pPr>
        <w:pStyle w:val="Caption"/>
      </w:pPr>
      <w:bookmarkStart w:id="190" w:name="_Ref158035447"/>
      <w:bookmarkStart w:id="191" w:name="_Toc162948289"/>
      <w:r>
        <w:t xml:space="preserve">Table </w:t>
      </w:r>
      <w:r w:rsidR="00A9549B">
        <w:rPr>
          <w:noProof/>
        </w:rPr>
        <w:fldChar w:fldCharType="begin"/>
      </w:r>
      <w:r w:rsidR="00A9549B">
        <w:rPr>
          <w:noProof/>
        </w:rPr>
        <w:instrText xml:space="preserve"> SEQ Table \* ARABIC </w:instrText>
      </w:r>
      <w:r w:rsidR="00A9549B">
        <w:rPr>
          <w:noProof/>
        </w:rPr>
        <w:fldChar w:fldCharType="separate"/>
      </w:r>
      <w:r w:rsidR="004A78BF">
        <w:rPr>
          <w:noProof/>
        </w:rPr>
        <w:t>22</w:t>
      </w:r>
      <w:r w:rsidR="00A9549B">
        <w:rPr>
          <w:noProof/>
        </w:rPr>
        <w:fldChar w:fldCharType="end"/>
      </w:r>
      <w:bookmarkEnd w:id="190"/>
      <w:r>
        <w:t>. Stream condition index scores for benthic data collected by Biological Monitoring Inc.</w:t>
      </w:r>
      <w:bookmarkEnd w:id="191"/>
    </w:p>
    <w:tbl>
      <w:tblPr>
        <w:tblW w:w="9364" w:type="dxa"/>
        <w:tblInd w:w="78" w:type="dxa"/>
        <w:tblLayout w:type="fixed"/>
        <w:tblLook w:val="0000" w:firstRow="0" w:lastRow="0" w:firstColumn="0" w:lastColumn="0" w:noHBand="0" w:noVBand="0"/>
      </w:tblPr>
      <w:tblGrid>
        <w:gridCol w:w="1084"/>
        <w:gridCol w:w="1350"/>
        <w:gridCol w:w="1350"/>
        <w:gridCol w:w="1350"/>
        <w:gridCol w:w="1410"/>
        <w:gridCol w:w="1410"/>
        <w:gridCol w:w="1410"/>
      </w:tblGrid>
      <w:tr w:rsidR="006C7A4C" w:rsidRPr="004D732D" w14:paraId="301F960E" w14:textId="77777777" w:rsidTr="00120699">
        <w:trPr>
          <w:trHeight w:val="247"/>
        </w:trPr>
        <w:tc>
          <w:tcPr>
            <w:tcW w:w="1084" w:type="dxa"/>
            <w:tcBorders>
              <w:top w:val="single" w:sz="6" w:space="0" w:color="auto"/>
              <w:left w:val="single" w:sz="6" w:space="0" w:color="auto"/>
              <w:bottom w:val="single" w:sz="6" w:space="0" w:color="auto"/>
              <w:right w:val="single" w:sz="6" w:space="0" w:color="auto"/>
            </w:tcBorders>
            <w:shd w:val="clear" w:color="auto" w:fill="E0E0E0"/>
            <w:vAlign w:val="center"/>
          </w:tcPr>
          <w:p w14:paraId="782B535F" w14:textId="23528A21" w:rsidR="006C7A4C" w:rsidRPr="004D732D" w:rsidRDefault="006C7A4C" w:rsidP="00120699">
            <w:pPr>
              <w:jc w:val="center"/>
              <w:rPr>
                <w:rFonts w:ascii="Arial Narrow" w:hAnsi="Arial Narrow"/>
                <w:b/>
                <w:sz w:val="20"/>
                <w:szCs w:val="20"/>
              </w:rPr>
            </w:pPr>
            <w:r>
              <w:rPr>
                <w:rFonts w:ascii="Arial Narrow" w:hAnsi="Arial Narrow"/>
                <w:b/>
                <w:sz w:val="20"/>
                <w:szCs w:val="20"/>
              </w:rPr>
              <w:t>Date</w:t>
            </w:r>
          </w:p>
        </w:tc>
        <w:tc>
          <w:tcPr>
            <w:tcW w:w="1350" w:type="dxa"/>
            <w:tcBorders>
              <w:top w:val="single" w:sz="6" w:space="0" w:color="auto"/>
              <w:left w:val="single" w:sz="6" w:space="0" w:color="auto"/>
              <w:bottom w:val="single" w:sz="6" w:space="0" w:color="auto"/>
              <w:right w:val="single" w:sz="6" w:space="0" w:color="auto"/>
            </w:tcBorders>
            <w:shd w:val="clear" w:color="auto" w:fill="E0E0E0"/>
            <w:vAlign w:val="center"/>
          </w:tcPr>
          <w:p w14:paraId="3F96F3F4" w14:textId="753BBB91" w:rsidR="006C7A4C" w:rsidRPr="004D732D" w:rsidRDefault="006C7A4C" w:rsidP="00120699">
            <w:pPr>
              <w:jc w:val="center"/>
              <w:rPr>
                <w:rFonts w:ascii="Arial Narrow" w:hAnsi="Arial Narrow"/>
                <w:b/>
                <w:sz w:val="20"/>
                <w:szCs w:val="20"/>
              </w:rPr>
            </w:pPr>
            <w:r>
              <w:rPr>
                <w:rFonts w:ascii="Arial Narrow" w:hAnsi="Arial Narrow"/>
                <w:b/>
                <w:sz w:val="20"/>
                <w:szCs w:val="20"/>
              </w:rPr>
              <w:t>4AROA198.08</w:t>
            </w:r>
          </w:p>
        </w:tc>
        <w:tc>
          <w:tcPr>
            <w:tcW w:w="1350" w:type="dxa"/>
            <w:tcBorders>
              <w:top w:val="single" w:sz="6" w:space="0" w:color="auto"/>
              <w:left w:val="single" w:sz="6" w:space="0" w:color="auto"/>
              <w:bottom w:val="single" w:sz="6" w:space="0" w:color="auto"/>
              <w:right w:val="single" w:sz="6" w:space="0" w:color="auto"/>
            </w:tcBorders>
            <w:shd w:val="clear" w:color="auto" w:fill="E0E0E0"/>
            <w:vAlign w:val="center"/>
          </w:tcPr>
          <w:p w14:paraId="1D19AA37" w14:textId="1E8CE441" w:rsidR="006C7A4C" w:rsidRPr="004D732D" w:rsidRDefault="006C7A4C" w:rsidP="00120699">
            <w:pPr>
              <w:jc w:val="center"/>
              <w:rPr>
                <w:rFonts w:ascii="Arial Narrow" w:hAnsi="Arial Narrow"/>
                <w:b/>
                <w:sz w:val="20"/>
                <w:szCs w:val="20"/>
              </w:rPr>
            </w:pPr>
            <w:r>
              <w:rPr>
                <w:rFonts w:ascii="Arial Narrow" w:hAnsi="Arial Narrow"/>
                <w:b/>
                <w:sz w:val="20"/>
                <w:szCs w:val="20"/>
              </w:rPr>
              <w:t>4ATKR000.69</w:t>
            </w:r>
          </w:p>
        </w:tc>
        <w:tc>
          <w:tcPr>
            <w:tcW w:w="1350" w:type="dxa"/>
            <w:tcBorders>
              <w:top w:val="single" w:sz="6" w:space="0" w:color="auto"/>
              <w:left w:val="single" w:sz="6" w:space="0" w:color="auto"/>
              <w:bottom w:val="single" w:sz="6" w:space="0" w:color="auto"/>
              <w:right w:val="single" w:sz="6" w:space="0" w:color="auto"/>
            </w:tcBorders>
            <w:shd w:val="clear" w:color="auto" w:fill="E0E0E0"/>
            <w:vAlign w:val="center"/>
          </w:tcPr>
          <w:p w14:paraId="1528FB38" w14:textId="1BB39FA0" w:rsidR="006C7A4C" w:rsidRPr="004D732D" w:rsidRDefault="006C7A4C" w:rsidP="00120699">
            <w:pPr>
              <w:jc w:val="center"/>
              <w:rPr>
                <w:rFonts w:ascii="Arial Narrow" w:hAnsi="Arial Narrow"/>
                <w:b/>
                <w:sz w:val="20"/>
                <w:szCs w:val="20"/>
              </w:rPr>
            </w:pPr>
            <w:r>
              <w:rPr>
                <w:rFonts w:ascii="Arial Narrow" w:hAnsi="Arial Narrow"/>
                <w:b/>
                <w:sz w:val="20"/>
                <w:szCs w:val="20"/>
              </w:rPr>
              <w:t>4AROA202.20</w:t>
            </w:r>
          </w:p>
        </w:tc>
        <w:tc>
          <w:tcPr>
            <w:tcW w:w="1410" w:type="dxa"/>
            <w:tcBorders>
              <w:top w:val="single" w:sz="6" w:space="0" w:color="auto"/>
              <w:left w:val="single" w:sz="6" w:space="0" w:color="auto"/>
              <w:bottom w:val="single" w:sz="6" w:space="0" w:color="auto"/>
              <w:right w:val="single" w:sz="6" w:space="0" w:color="auto"/>
            </w:tcBorders>
            <w:shd w:val="clear" w:color="auto" w:fill="E0E0E0"/>
            <w:vAlign w:val="center"/>
          </w:tcPr>
          <w:p w14:paraId="35CF9738" w14:textId="3C59EFB7" w:rsidR="006C7A4C" w:rsidRPr="004D732D" w:rsidRDefault="006C7A4C" w:rsidP="00120699">
            <w:pPr>
              <w:jc w:val="center"/>
              <w:rPr>
                <w:rFonts w:ascii="Arial Narrow" w:hAnsi="Arial Narrow"/>
                <w:b/>
                <w:sz w:val="20"/>
                <w:szCs w:val="20"/>
              </w:rPr>
            </w:pPr>
            <w:r>
              <w:rPr>
                <w:rFonts w:ascii="Arial Narrow" w:hAnsi="Arial Narrow"/>
                <w:b/>
                <w:sz w:val="20"/>
                <w:szCs w:val="20"/>
              </w:rPr>
              <w:t>WPD (near 4AROA206.27)</w:t>
            </w:r>
          </w:p>
        </w:tc>
        <w:tc>
          <w:tcPr>
            <w:tcW w:w="1410" w:type="dxa"/>
            <w:tcBorders>
              <w:top w:val="single" w:sz="6" w:space="0" w:color="auto"/>
              <w:left w:val="single" w:sz="6" w:space="0" w:color="auto"/>
              <w:bottom w:val="single" w:sz="6" w:space="0" w:color="auto"/>
              <w:right w:val="single" w:sz="6" w:space="0" w:color="auto"/>
            </w:tcBorders>
            <w:shd w:val="clear" w:color="auto" w:fill="E0E0E0"/>
            <w:vAlign w:val="center"/>
          </w:tcPr>
          <w:p w14:paraId="04729256" w14:textId="212CA1F5" w:rsidR="006C7A4C" w:rsidRPr="004D732D" w:rsidRDefault="006C7A4C" w:rsidP="00120699">
            <w:pPr>
              <w:jc w:val="center"/>
              <w:rPr>
                <w:rFonts w:ascii="Arial Narrow" w:hAnsi="Arial Narrow"/>
                <w:b/>
                <w:sz w:val="20"/>
                <w:szCs w:val="20"/>
              </w:rPr>
            </w:pPr>
            <w:r>
              <w:rPr>
                <w:rFonts w:ascii="Arial Narrow" w:hAnsi="Arial Narrow"/>
                <w:b/>
                <w:sz w:val="20"/>
                <w:szCs w:val="20"/>
              </w:rPr>
              <w:t>WPU (near 4AROA206.95)</w:t>
            </w:r>
          </w:p>
        </w:tc>
        <w:tc>
          <w:tcPr>
            <w:tcW w:w="1410" w:type="dxa"/>
            <w:tcBorders>
              <w:top w:val="single" w:sz="6" w:space="0" w:color="auto"/>
              <w:left w:val="single" w:sz="6" w:space="0" w:color="auto"/>
              <w:bottom w:val="single" w:sz="6" w:space="0" w:color="auto"/>
              <w:right w:val="single" w:sz="6" w:space="0" w:color="auto"/>
            </w:tcBorders>
            <w:shd w:val="clear" w:color="auto" w:fill="E0E0E0"/>
            <w:vAlign w:val="center"/>
          </w:tcPr>
          <w:p w14:paraId="7CA3B9E6" w14:textId="2F229DAB" w:rsidR="006C7A4C" w:rsidRPr="004D732D" w:rsidRDefault="006C7A4C" w:rsidP="00120699">
            <w:pPr>
              <w:jc w:val="center"/>
              <w:rPr>
                <w:rFonts w:ascii="Arial Narrow" w:hAnsi="Arial Narrow"/>
                <w:b/>
                <w:sz w:val="20"/>
                <w:szCs w:val="20"/>
              </w:rPr>
            </w:pPr>
            <w:r>
              <w:rPr>
                <w:rFonts w:ascii="Arial Narrow" w:hAnsi="Arial Narrow"/>
                <w:b/>
                <w:sz w:val="20"/>
                <w:szCs w:val="20"/>
              </w:rPr>
              <w:t>CD1 (near (4AROA210.56)</w:t>
            </w:r>
          </w:p>
        </w:tc>
      </w:tr>
      <w:tr w:rsidR="006C7A4C" w:rsidRPr="004D732D" w14:paraId="2A602BF5" w14:textId="77777777" w:rsidTr="00120699">
        <w:trPr>
          <w:trHeight w:val="247"/>
        </w:trPr>
        <w:tc>
          <w:tcPr>
            <w:tcW w:w="1084" w:type="dxa"/>
            <w:tcBorders>
              <w:top w:val="single" w:sz="6" w:space="0" w:color="auto"/>
              <w:left w:val="single" w:sz="6" w:space="0" w:color="auto"/>
              <w:bottom w:val="single" w:sz="6" w:space="0" w:color="auto"/>
              <w:right w:val="single" w:sz="6" w:space="0" w:color="auto"/>
            </w:tcBorders>
            <w:vAlign w:val="center"/>
          </w:tcPr>
          <w:p w14:paraId="46CC6756" w14:textId="2AD11E71" w:rsidR="006C7A4C" w:rsidRPr="00BF32CE" w:rsidRDefault="006C7A4C" w:rsidP="00120699">
            <w:pPr>
              <w:jc w:val="center"/>
              <w:rPr>
                <w:rFonts w:ascii="Arial Narrow" w:hAnsi="Arial Narrow"/>
                <w:sz w:val="20"/>
                <w:szCs w:val="20"/>
              </w:rPr>
            </w:pPr>
            <w:r>
              <w:rPr>
                <w:rFonts w:ascii="Arial Narrow" w:hAnsi="Arial Narrow" w:cs="Arial"/>
                <w:color w:val="000000"/>
                <w:sz w:val="20"/>
                <w:szCs w:val="20"/>
              </w:rPr>
              <w:t xml:space="preserve">10/24/22 </w:t>
            </w:r>
            <w:r w:rsidR="00D44977">
              <w:rPr>
                <w:rFonts w:ascii="Arial Narrow" w:hAnsi="Arial Narrow" w:cs="Arial"/>
                <w:color w:val="000000"/>
                <w:sz w:val="20"/>
                <w:szCs w:val="20"/>
              </w:rPr>
              <w:t>&amp;</w:t>
            </w:r>
            <w:r>
              <w:rPr>
                <w:rFonts w:ascii="Arial Narrow" w:hAnsi="Arial Narrow" w:cs="Arial"/>
                <w:color w:val="000000"/>
                <w:sz w:val="20"/>
                <w:szCs w:val="20"/>
              </w:rPr>
              <w:t xml:space="preserve"> 11/07/22</w:t>
            </w:r>
          </w:p>
        </w:tc>
        <w:tc>
          <w:tcPr>
            <w:tcW w:w="1350" w:type="dxa"/>
            <w:tcBorders>
              <w:top w:val="single" w:sz="6" w:space="0" w:color="auto"/>
              <w:left w:val="single" w:sz="6" w:space="0" w:color="auto"/>
              <w:bottom w:val="single" w:sz="6" w:space="0" w:color="auto"/>
              <w:right w:val="single" w:sz="6" w:space="0" w:color="auto"/>
            </w:tcBorders>
            <w:vAlign w:val="center"/>
          </w:tcPr>
          <w:p w14:paraId="2AA51653" w14:textId="5A187AF9" w:rsidR="006C7A4C" w:rsidRPr="00BF32CE" w:rsidRDefault="006C7A4C" w:rsidP="00120699">
            <w:pPr>
              <w:jc w:val="center"/>
              <w:rPr>
                <w:rFonts w:ascii="Arial Narrow" w:hAnsi="Arial Narrow"/>
                <w:sz w:val="20"/>
                <w:szCs w:val="20"/>
              </w:rPr>
            </w:pPr>
            <w:r>
              <w:rPr>
                <w:rFonts w:ascii="Arial Narrow" w:hAnsi="Arial Narrow" w:cs="Arial"/>
                <w:color w:val="000000"/>
                <w:sz w:val="20"/>
                <w:szCs w:val="20"/>
              </w:rPr>
              <w:t>57.31</w:t>
            </w:r>
          </w:p>
        </w:tc>
        <w:tc>
          <w:tcPr>
            <w:tcW w:w="1350" w:type="dxa"/>
            <w:tcBorders>
              <w:top w:val="single" w:sz="6" w:space="0" w:color="auto"/>
              <w:left w:val="single" w:sz="6" w:space="0" w:color="auto"/>
              <w:bottom w:val="single" w:sz="6" w:space="0" w:color="auto"/>
              <w:right w:val="single" w:sz="6" w:space="0" w:color="auto"/>
            </w:tcBorders>
            <w:vAlign w:val="center"/>
          </w:tcPr>
          <w:p w14:paraId="1A563DF4" w14:textId="50F33B1D" w:rsidR="006C7A4C" w:rsidRPr="00BF32CE" w:rsidRDefault="006C7A4C" w:rsidP="00120699">
            <w:pPr>
              <w:jc w:val="center"/>
              <w:rPr>
                <w:rFonts w:ascii="Arial Narrow" w:hAnsi="Arial Narrow"/>
                <w:sz w:val="20"/>
                <w:szCs w:val="20"/>
              </w:rPr>
            </w:pPr>
            <w:r>
              <w:rPr>
                <w:rFonts w:ascii="Arial Narrow" w:hAnsi="Arial Narrow" w:cs="Arial"/>
                <w:color w:val="000000"/>
                <w:sz w:val="20"/>
                <w:szCs w:val="20"/>
              </w:rPr>
              <w:t>50.66</w:t>
            </w:r>
          </w:p>
        </w:tc>
        <w:tc>
          <w:tcPr>
            <w:tcW w:w="1350" w:type="dxa"/>
            <w:tcBorders>
              <w:top w:val="single" w:sz="6" w:space="0" w:color="auto"/>
              <w:left w:val="single" w:sz="6" w:space="0" w:color="auto"/>
              <w:bottom w:val="single" w:sz="6" w:space="0" w:color="auto"/>
              <w:right w:val="single" w:sz="6" w:space="0" w:color="auto"/>
            </w:tcBorders>
            <w:vAlign w:val="center"/>
          </w:tcPr>
          <w:p w14:paraId="395F3992" w14:textId="31CFBDC9" w:rsidR="006C7A4C" w:rsidRPr="00BF32CE" w:rsidRDefault="006C7A4C" w:rsidP="00120699">
            <w:pPr>
              <w:jc w:val="center"/>
              <w:rPr>
                <w:rFonts w:ascii="Arial Narrow" w:hAnsi="Arial Narrow" w:cs="Arial"/>
                <w:color w:val="000000"/>
                <w:sz w:val="20"/>
                <w:szCs w:val="20"/>
              </w:rPr>
            </w:pPr>
            <w:r>
              <w:rPr>
                <w:rFonts w:ascii="Arial Narrow" w:hAnsi="Arial Narrow" w:cs="Arial"/>
                <w:color w:val="000000"/>
                <w:sz w:val="20"/>
                <w:szCs w:val="20"/>
              </w:rPr>
              <w:t>54.95</w:t>
            </w:r>
          </w:p>
        </w:tc>
        <w:tc>
          <w:tcPr>
            <w:tcW w:w="1410" w:type="dxa"/>
            <w:tcBorders>
              <w:top w:val="single" w:sz="6" w:space="0" w:color="auto"/>
              <w:left w:val="single" w:sz="6" w:space="0" w:color="auto"/>
              <w:bottom w:val="single" w:sz="6" w:space="0" w:color="auto"/>
              <w:right w:val="single" w:sz="6" w:space="0" w:color="auto"/>
            </w:tcBorders>
            <w:vAlign w:val="center"/>
          </w:tcPr>
          <w:p w14:paraId="4560C745" w14:textId="11F91A79" w:rsidR="006C7A4C" w:rsidRPr="00BF32CE" w:rsidRDefault="006C7A4C" w:rsidP="00120699">
            <w:pPr>
              <w:jc w:val="center"/>
              <w:rPr>
                <w:rFonts w:ascii="Arial Narrow" w:hAnsi="Arial Narrow" w:cs="Arial"/>
                <w:color w:val="000000"/>
                <w:sz w:val="20"/>
                <w:szCs w:val="20"/>
              </w:rPr>
            </w:pPr>
            <w:r>
              <w:rPr>
                <w:rFonts w:ascii="Arial Narrow" w:hAnsi="Arial Narrow" w:cs="Arial"/>
                <w:color w:val="000000"/>
                <w:sz w:val="20"/>
                <w:szCs w:val="20"/>
              </w:rPr>
              <w:t>51.25</w:t>
            </w:r>
          </w:p>
        </w:tc>
        <w:tc>
          <w:tcPr>
            <w:tcW w:w="1410" w:type="dxa"/>
            <w:tcBorders>
              <w:top w:val="single" w:sz="6" w:space="0" w:color="auto"/>
              <w:left w:val="single" w:sz="6" w:space="0" w:color="auto"/>
              <w:bottom w:val="single" w:sz="6" w:space="0" w:color="auto"/>
              <w:right w:val="single" w:sz="6" w:space="0" w:color="auto"/>
            </w:tcBorders>
            <w:vAlign w:val="center"/>
          </w:tcPr>
          <w:p w14:paraId="40AD4D92" w14:textId="31D471F3" w:rsidR="006C7A4C" w:rsidRPr="00BF32CE" w:rsidRDefault="006C7A4C" w:rsidP="00120699">
            <w:pPr>
              <w:jc w:val="center"/>
              <w:rPr>
                <w:rFonts w:ascii="Arial Narrow" w:hAnsi="Arial Narrow" w:cs="Arial"/>
                <w:color w:val="000000"/>
                <w:sz w:val="20"/>
                <w:szCs w:val="20"/>
              </w:rPr>
            </w:pPr>
            <w:r>
              <w:rPr>
                <w:rFonts w:ascii="Arial Narrow" w:hAnsi="Arial Narrow" w:cs="Arial"/>
                <w:color w:val="000000"/>
                <w:sz w:val="20"/>
                <w:szCs w:val="20"/>
              </w:rPr>
              <w:t>57.97</w:t>
            </w:r>
          </w:p>
        </w:tc>
        <w:tc>
          <w:tcPr>
            <w:tcW w:w="1410" w:type="dxa"/>
            <w:tcBorders>
              <w:top w:val="single" w:sz="6" w:space="0" w:color="auto"/>
              <w:left w:val="single" w:sz="6" w:space="0" w:color="auto"/>
              <w:bottom w:val="single" w:sz="6" w:space="0" w:color="auto"/>
              <w:right w:val="single" w:sz="6" w:space="0" w:color="auto"/>
            </w:tcBorders>
            <w:vAlign w:val="center"/>
          </w:tcPr>
          <w:p w14:paraId="79937E46" w14:textId="44E49B5C" w:rsidR="006C7A4C" w:rsidRPr="00BF32CE" w:rsidRDefault="006C7A4C" w:rsidP="00120699">
            <w:pPr>
              <w:jc w:val="center"/>
              <w:rPr>
                <w:rFonts w:ascii="Arial Narrow" w:hAnsi="Arial Narrow"/>
                <w:sz w:val="20"/>
                <w:szCs w:val="20"/>
              </w:rPr>
            </w:pPr>
            <w:r>
              <w:rPr>
                <w:rFonts w:ascii="Arial Narrow" w:hAnsi="Arial Narrow" w:cs="Arial"/>
                <w:color w:val="000000"/>
                <w:sz w:val="20"/>
                <w:szCs w:val="20"/>
              </w:rPr>
              <w:t>62.38</w:t>
            </w:r>
          </w:p>
        </w:tc>
      </w:tr>
      <w:tr w:rsidR="006C7A4C" w:rsidRPr="004D732D" w14:paraId="0CA7CAEB" w14:textId="77777777" w:rsidTr="00120699">
        <w:trPr>
          <w:trHeight w:val="247"/>
        </w:trPr>
        <w:tc>
          <w:tcPr>
            <w:tcW w:w="1084" w:type="dxa"/>
            <w:tcBorders>
              <w:top w:val="single" w:sz="6" w:space="0" w:color="auto"/>
              <w:left w:val="single" w:sz="6" w:space="0" w:color="auto"/>
              <w:bottom w:val="single" w:sz="6" w:space="0" w:color="auto"/>
              <w:right w:val="single" w:sz="6" w:space="0" w:color="auto"/>
            </w:tcBorders>
            <w:vAlign w:val="center"/>
          </w:tcPr>
          <w:p w14:paraId="46831877" w14:textId="0D1CC43C" w:rsidR="006C7A4C" w:rsidRPr="00BF32CE" w:rsidRDefault="006C7A4C" w:rsidP="00120699">
            <w:pPr>
              <w:jc w:val="center"/>
              <w:rPr>
                <w:rFonts w:ascii="Arial Narrow" w:hAnsi="Arial Narrow"/>
                <w:sz w:val="20"/>
                <w:szCs w:val="20"/>
              </w:rPr>
            </w:pPr>
            <w:r>
              <w:rPr>
                <w:rFonts w:ascii="Arial Narrow" w:hAnsi="Arial Narrow" w:cs="Arial"/>
                <w:color w:val="000000"/>
                <w:sz w:val="20"/>
                <w:szCs w:val="20"/>
              </w:rPr>
              <w:t>11/28/22</w:t>
            </w:r>
          </w:p>
        </w:tc>
        <w:tc>
          <w:tcPr>
            <w:tcW w:w="1350" w:type="dxa"/>
            <w:tcBorders>
              <w:top w:val="single" w:sz="6" w:space="0" w:color="auto"/>
              <w:left w:val="single" w:sz="6" w:space="0" w:color="auto"/>
              <w:bottom w:val="single" w:sz="6" w:space="0" w:color="auto"/>
              <w:right w:val="single" w:sz="6" w:space="0" w:color="auto"/>
            </w:tcBorders>
            <w:vAlign w:val="center"/>
          </w:tcPr>
          <w:p w14:paraId="2E4E6B7E" w14:textId="13925A51" w:rsidR="006C7A4C" w:rsidRPr="00BF32CE" w:rsidRDefault="006C7A4C" w:rsidP="00120699">
            <w:pPr>
              <w:jc w:val="center"/>
              <w:rPr>
                <w:rFonts w:ascii="Arial Narrow" w:hAnsi="Arial Narrow"/>
                <w:sz w:val="20"/>
                <w:szCs w:val="20"/>
              </w:rPr>
            </w:pPr>
            <w:r>
              <w:rPr>
                <w:rFonts w:ascii="Arial Narrow" w:hAnsi="Arial Narrow"/>
                <w:sz w:val="20"/>
                <w:szCs w:val="20"/>
              </w:rPr>
              <w:t>52.53</w:t>
            </w:r>
          </w:p>
        </w:tc>
        <w:tc>
          <w:tcPr>
            <w:tcW w:w="1350" w:type="dxa"/>
            <w:tcBorders>
              <w:top w:val="single" w:sz="6" w:space="0" w:color="auto"/>
              <w:left w:val="single" w:sz="6" w:space="0" w:color="auto"/>
              <w:bottom w:val="single" w:sz="6" w:space="0" w:color="auto"/>
              <w:right w:val="single" w:sz="6" w:space="0" w:color="auto"/>
            </w:tcBorders>
            <w:vAlign w:val="center"/>
          </w:tcPr>
          <w:p w14:paraId="117E8795" w14:textId="2ED2EF6F" w:rsidR="006C7A4C" w:rsidRPr="00BF32CE" w:rsidRDefault="006C7A4C" w:rsidP="00120699">
            <w:pPr>
              <w:jc w:val="center"/>
              <w:rPr>
                <w:rFonts w:ascii="Arial Narrow" w:hAnsi="Arial Narrow"/>
                <w:sz w:val="20"/>
                <w:szCs w:val="20"/>
              </w:rPr>
            </w:pPr>
            <w:r>
              <w:rPr>
                <w:rFonts w:ascii="Arial Narrow" w:hAnsi="Arial Narrow" w:cs="Arial"/>
                <w:color w:val="000000"/>
                <w:sz w:val="20"/>
                <w:szCs w:val="20"/>
              </w:rPr>
              <w:t>50.33</w:t>
            </w:r>
          </w:p>
        </w:tc>
        <w:tc>
          <w:tcPr>
            <w:tcW w:w="1350" w:type="dxa"/>
            <w:tcBorders>
              <w:top w:val="single" w:sz="6" w:space="0" w:color="auto"/>
              <w:left w:val="single" w:sz="6" w:space="0" w:color="auto"/>
              <w:bottom w:val="single" w:sz="6" w:space="0" w:color="auto"/>
              <w:right w:val="single" w:sz="6" w:space="0" w:color="auto"/>
            </w:tcBorders>
            <w:vAlign w:val="center"/>
          </w:tcPr>
          <w:p w14:paraId="7CC84D59" w14:textId="2B9E8C36" w:rsidR="006C7A4C" w:rsidRPr="00BF32CE" w:rsidRDefault="006C7A4C" w:rsidP="00120699">
            <w:pPr>
              <w:jc w:val="center"/>
              <w:rPr>
                <w:rFonts w:ascii="Arial Narrow" w:hAnsi="Arial Narrow" w:cs="Arial"/>
                <w:color w:val="000000"/>
                <w:sz w:val="20"/>
                <w:szCs w:val="20"/>
              </w:rPr>
            </w:pPr>
            <w:r>
              <w:rPr>
                <w:rFonts w:ascii="Arial Narrow" w:hAnsi="Arial Narrow" w:cs="Arial"/>
                <w:color w:val="000000"/>
                <w:sz w:val="20"/>
                <w:szCs w:val="20"/>
              </w:rPr>
              <w:t>49.09</w:t>
            </w:r>
          </w:p>
        </w:tc>
        <w:tc>
          <w:tcPr>
            <w:tcW w:w="1410" w:type="dxa"/>
            <w:tcBorders>
              <w:top w:val="single" w:sz="6" w:space="0" w:color="auto"/>
              <w:left w:val="single" w:sz="6" w:space="0" w:color="auto"/>
              <w:bottom w:val="single" w:sz="6" w:space="0" w:color="auto"/>
              <w:right w:val="single" w:sz="6" w:space="0" w:color="auto"/>
            </w:tcBorders>
            <w:vAlign w:val="center"/>
          </w:tcPr>
          <w:p w14:paraId="4A4CB1D0" w14:textId="4F1AF135" w:rsidR="006C7A4C" w:rsidRPr="00BF32CE" w:rsidRDefault="006C7A4C" w:rsidP="00120699">
            <w:pPr>
              <w:jc w:val="center"/>
              <w:rPr>
                <w:rFonts w:ascii="Arial Narrow" w:hAnsi="Arial Narrow" w:cs="Arial"/>
                <w:color w:val="000000"/>
                <w:sz w:val="20"/>
                <w:szCs w:val="20"/>
              </w:rPr>
            </w:pPr>
            <w:r>
              <w:rPr>
                <w:rFonts w:ascii="Arial Narrow" w:hAnsi="Arial Narrow" w:cs="Arial"/>
                <w:color w:val="000000"/>
                <w:sz w:val="20"/>
                <w:szCs w:val="20"/>
              </w:rPr>
              <w:t>47.54</w:t>
            </w:r>
          </w:p>
        </w:tc>
        <w:tc>
          <w:tcPr>
            <w:tcW w:w="1410" w:type="dxa"/>
            <w:tcBorders>
              <w:top w:val="single" w:sz="6" w:space="0" w:color="auto"/>
              <w:left w:val="single" w:sz="6" w:space="0" w:color="auto"/>
              <w:bottom w:val="single" w:sz="6" w:space="0" w:color="auto"/>
              <w:right w:val="single" w:sz="6" w:space="0" w:color="auto"/>
            </w:tcBorders>
            <w:vAlign w:val="center"/>
          </w:tcPr>
          <w:p w14:paraId="487E3100" w14:textId="27945872" w:rsidR="006C7A4C" w:rsidRPr="00BF32CE" w:rsidRDefault="006C7A4C" w:rsidP="00120699">
            <w:pPr>
              <w:jc w:val="center"/>
              <w:rPr>
                <w:rFonts w:ascii="Arial Narrow" w:hAnsi="Arial Narrow" w:cs="Arial"/>
                <w:color w:val="000000"/>
                <w:sz w:val="20"/>
                <w:szCs w:val="20"/>
              </w:rPr>
            </w:pPr>
            <w:r>
              <w:rPr>
                <w:rFonts w:ascii="Arial Narrow" w:hAnsi="Arial Narrow" w:cs="Arial"/>
                <w:color w:val="000000"/>
                <w:sz w:val="20"/>
                <w:szCs w:val="20"/>
              </w:rPr>
              <w:t>63.81</w:t>
            </w:r>
          </w:p>
        </w:tc>
        <w:tc>
          <w:tcPr>
            <w:tcW w:w="1410" w:type="dxa"/>
            <w:tcBorders>
              <w:top w:val="single" w:sz="6" w:space="0" w:color="auto"/>
              <w:left w:val="single" w:sz="6" w:space="0" w:color="auto"/>
              <w:bottom w:val="single" w:sz="6" w:space="0" w:color="auto"/>
              <w:right w:val="single" w:sz="6" w:space="0" w:color="auto"/>
            </w:tcBorders>
            <w:vAlign w:val="center"/>
          </w:tcPr>
          <w:p w14:paraId="3E242B8E" w14:textId="7CF9BA72" w:rsidR="006C7A4C" w:rsidRPr="00BF32CE" w:rsidRDefault="006C7A4C" w:rsidP="00120699">
            <w:pPr>
              <w:jc w:val="center"/>
              <w:rPr>
                <w:rFonts w:ascii="Arial Narrow" w:hAnsi="Arial Narrow"/>
                <w:sz w:val="20"/>
                <w:szCs w:val="20"/>
              </w:rPr>
            </w:pPr>
            <w:r>
              <w:rPr>
                <w:rFonts w:ascii="Arial Narrow" w:hAnsi="Arial Narrow" w:cs="Arial"/>
                <w:color w:val="000000"/>
                <w:sz w:val="20"/>
                <w:szCs w:val="20"/>
              </w:rPr>
              <w:t>58.28</w:t>
            </w:r>
          </w:p>
        </w:tc>
      </w:tr>
      <w:tr w:rsidR="006C7A4C" w:rsidRPr="004D732D" w14:paraId="54FBBCD1" w14:textId="77777777" w:rsidTr="00120699">
        <w:trPr>
          <w:trHeight w:val="247"/>
        </w:trPr>
        <w:tc>
          <w:tcPr>
            <w:tcW w:w="1084" w:type="dxa"/>
            <w:tcBorders>
              <w:top w:val="single" w:sz="6" w:space="0" w:color="auto"/>
              <w:left w:val="single" w:sz="6" w:space="0" w:color="auto"/>
              <w:bottom w:val="single" w:sz="6" w:space="0" w:color="auto"/>
              <w:right w:val="single" w:sz="6" w:space="0" w:color="auto"/>
            </w:tcBorders>
            <w:vAlign w:val="center"/>
          </w:tcPr>
          <w:p w14:paraId="1C20552B" w14:textId="25CFBDB2" w:rsidR="006C7A4C" w:rsidRPr="00BF32CE" w:rsidRDefault="006C7A4C" w:rsidP="00120699">
            <w:pPr>
              <w:jc w:val="center"/>
              <w:rPr>
                <w:rFonts w:ascii="Arial Narrow" w:hAnsi="Arial Narrow" w:cs="Calibri"/>
                <w:color w:val="000000"/>
                <w:sz w:val="20"/>
                <w:szCs w:val="20"/>
              </w:rPr>
            </w:pPr>
            <w:r>
              <w:rPr>
                <w:rFonts w:ascii="Arial Narrow" w:hAnsi="Arial Narrow" w:cs="Arial"/>
                <w:color w:val="000000"/>
                <w:sz w:val="20"/>
                <w:szCs w:val="20"/>
              </w:rPr>
              <w:t>3/21/23</w:t>
            </w:r>
          </w:p>
        </w:tc>
        <w:tc>
          <w:tcPr>
            <w:tcW w:w="1350" w:type="dxa"/>
            <w:tcBorders>
              <w:top w:val="single" w:sz="6" w:space="0" w:color="auto"/>
              <w:left w:val="single" w:sz="6" w:space="0" w:color="auto"/>
              <w:bottom w:val="single" w:sz="6" w:space="0" w:color="auto"/>
              <w:right w:val="single" w:sz="6" w:space="0" w:color="auto"/>
            </w:tcBorders>
            <w:vAlign w:val="center"/>
          </w:tcPr>
          <w:p w14:paraId="1F700427" w14:textId="2FAC9B0B" w:rsidR="006C7A4C" w:rsidRPr="00BF32CE" w:rsidRDefault="006C7A4C" w:rsidP="00120699">
            <w:pPr>
              <w:jc w:val="center"/>
              <w:rPr>
                <w:rFonts w:ascii="Arial Narrow" w:hAnsi="Arial Narrow" w:cs="Calibri"/>
                <w:color w:val="000000"/>
                <w:sz w:val="20"/>
                <w:szCs w:val="20"/>
              </w:rPr>
            </w:pPr>
            <w:r>
              <w:rPr>
                <w:rFonts w:ascii="Arial Narrow" w:hAnsi="Arial Narrow" w:cs="Arial"/>
                <w:color w:val="000000"/>
                <w:sz w:val="20"/>
                <w:szCs w:val="20"/>
              </w:rPr>
              <w:t>51.31</w:t>
            </w:r>
          </w:p>
        </w:tc>
        <w:tc>
          <w:tcPr>
            <w:tcW w:w="1350" w:type="dxa"/>
            <w:tcBorders>
              <w:top w:val="single" w:sz="6" w:space="0" w:color="auto"/>
              <w:left w:val="single" w:sz="6" w:space="0" w:color="auto"/>
              <w:bottom w:val="single" w:sz="6" w:space="0" w:color="auto"/>
              <w:right w:val="single" w:sz="6" w:space="0" w:color="auto"/>
            </w:tcBorders>
            <w:vAlign w:val="center"/>
          </w:tcPr>
          <w:p w14:paraId="275C021E" w14:textId="3AD50274" w:rsidR="006C7A4C" w:rsidRPr="00BF32CE" w:rsidRDefault="006C7A4C" w:rsidP="00120699">
            <w:pPr>
              <w:jc w:val="center"/>
              <w:rPr>
                <w:rFonts w:ascii="Arial Narrow" w:hAnsi="Arial Narrow" w:cs="Calibri"/>
                <w:color w:val="000000"/>
                <w:sz w:val="20"/>
                <w:szCs w:val="20"/>
              </w:rPr>
            </w:pPr>
            <w:r>
              <w:rPr>
                <w:rFonts w:ascii="Arial Narrow" w:hAnsi="Arial Narrow" w:cs="Arial"/>
                <w:color w:val="000000"/>
                <w:sz w:val="20"/>
                <w:szCs w:val="20"/>
              </w:rPr>
              <w:t>37.68</w:t>
            </w:r>
          </w:p>
        </w:tc>
        <w:tc>
          <w:tcPr>
            <w:tcW w:w="1350" w:type="dxa"/>
            <w:tcBorders>
              <w:top w:val="single" w:sz="6" w:space="0" w:color="auto"/>
              <w:left w:val="single" w:sz="6" w:space="0" w:color="auto"/>
              <w:bottom w:val="single" w:sz="6" w:space="0" w:color="auto"/>
              <w:right w:val="single" w:sz="6" w:space="0" w:color="auto"/>
            </w:tcBorders>
            <w:vAlign w:val="center"/>
          </w:tcPr>
          <w:p w14:paraId="29ED2895" w14:textId="6005FD36" w:rsidR="006C7A4C" w:rsidRPr="00BF32CE" w:rsidRDefault="006C7A4C" w:rsidP="00120699">
            <w:pPr>
              <w:jc w:val="center"/>
              <w:rPr>
                <w:rFonts w:ascii="Arial Narrow" w:hAnsi="Arial Narrow" w:cs="Arial"/>
                <w:color w:val="000000"/>
                <w:sz w:val="20"/>
                <w:szCs w:val="20"/>
              </w:rPr>
            </w:pPr>
            <w:r>
              <w:rPr>
                <w:rFonts w:ascii="Arial Narrow" w:hAnsi="Arial Narrow" w:cs="Arial"/>
                <w:color w:val="000000"/>
                <w:sz w:val="20"/>
                <w:szCs w:val="20"/>
              </w:rPr>
              <w:t>49.06</w:t>
            </w:r>
          </w:p>
        </w:tc>
        <w:tc>
          <w:tcPr>
            <w:tcW w:w="1410" w:type="dxa"/>
            <w:tcBorders>
              <w:top w:val="single" w:sz="6" w:space="0" w:color="auto"/>
              <w:left w:val="single" w:sz="6" w:space="0" w:color="auto"/>
              <w:bottom w:val="single" w:sz="6" w:space="0" w:color="auto"/>
              <w:right w:val="single" w:sz="6" w:space="0" w:color="auto"/>
            </w:tcBorders>
            <w:vAlign w:val="center"/>
          </w:tcPr>
          <w:p w14:paraId="07404525" w14:textId="02F82662" w:rsidR="006C7A4C" w:rsidRPr="00BF32CE" w:rsidRDefault="006C7A4C" w:rsidP="00120699">
            <w:pPr>
              <w:jc w:val="center"/>
              <w:rPr>
                <w:rFonts w:ascii="Arial Narrow" w:hAnsi="Arial Narrow" w:cs="Arial"/>
                <w:color w:val="000000"/>
                <w:sz w:val="20"/>
                <w:szCs w:val="20"/>
              </w:rPr>
            </w:pPr>
            <w:r>
              <w:rPr>
                <w:rFonts w:ascii="Arial Narrow" w:hAnsi="Arial Narrow" w:cs="Arial"/>
                <w:color w:val="000000"/>
                <w:sz w:val="20"/>
                <w:szCs w:val="20"/>
              </w:rPr>
              <w:t>55.03</w:t>
            </w:r>
          </w:p>
        </w:tc>
        <w:tc>
          <w:tcPr>
            <w:tcW w:w="1410" w:type="dxa"/>
            <w:tcBorders>
              <w:top w:val="single" w:sz="6" w:space="0" w:color="auto"/>
              <w:left w:val="single" w:sz="6" w:space="0" w:color="auto"/>
              <w:bottom w:val="single" w:sz="6" w:space="0" w:color="auto"/>
              <w:right w:val="single" w:sz="6" w:space="0" w:color="auto"/>
            </w:tcBorders>
            <w:vAlign w:val="center"/>
          </w:tcPr>
          <w:p w14:paraId="7BA593E5" w14:textId="09C5151D" w:rsidR="006C7A4C" w:rsidRPr="00BF32CE" w:rsidRDefault="006C7A4C" w:rsidP="00120699">
            <w:pPr>
              <w:jc w:val="center"/>
              <w:rPr>
                <w:rFonts w:ascii="Arial Narrow" w:hAnsi="Arial Narrow" w:cs="Arial"/>
                <w:color w:val="000000"/>
                <w:sz w:val="20"/>
                <w:szCs w:val="20"/>
              </w:rPr>
            </w:pPr>
            <w:r>
              <w:rPr>
                <w:rFonts w:ascii="Arial Narrow" w:hAnsi="Arial Narrow" w:cs="Arial"/>
                <w:color w:val="000000"/>
                <w:sz w:val="20"/>
                <w:szCs w:val="20"/>
              </w:rPr>
              <w:t>59.20</w:t>
            </w:r>
          </w:p>
        </w:tc>
        <w:tc>
          <w:tcPr>
            <w:tcW w:w="1410" w:type="dxa"/>
            <w:tcBorders>
              <w:top w:val="single" w:sz="6" w:space="0" w:color="auto"/>
              <w:left w:val="single" w:sz="6" w:space="0" w:color="auto"/>
              <w:bottom w:val="single" w:sz="6" w:space="0" w:color="auto"/>
              <w:right w:val="single" w:sz="6" w:space="0" w:color="auto"/>
            </w:tcBorders>
            <w:vAlign w:val="center"/>
          </w:tcPr>
          <w:p w14:paraId="0FCA0A59" w14:textId="02A86BCE" w:rsidR="006C7A4C" w:rsidRPr="00BF32CE" w:rsidRDefault="006C7A4C" w:rsidP="00120699">
            <w:pPr>
              <w:jc w:val="center"/>
              <w:rPr>
                <w:rFonts w:ascii="Arial Narrow" w:hAnsi="Arial Narrow" w:cs="Calibri"/>
                <w:color w:val="000000"/>
                <w:sz w:val="20"/>
                <w:szCs w:val="20"/>
              </w:rPr>
            </w:pPr>
            <w:r>
              <w:rPr>
                <w:rFonts w:ascii="Arial Narrow" w:hAnsi="Arial Narrow" w:cs="Arial"/>
                <w:color w:val="000000"/>
                <w:sz w:val="20"/>
                <w:szCs w:val="20"/>
              </w:rPr>
              <w:t>53.82</w:t>
            </w:r>
          </w:p>
        </w:tc>
      </w:tr>
      <w:tr w:rsidR="006C7A4C" w:rsidRPr="004D732D" w14:paraId="64E55B67" w14:textId="77777777" w:rsidTr="00120699">
        <w:trPr>
          <w:trHeight w:val="247"/>
        </w:trPr>
        <w:tc>
          <w:tcPr>
            <w:tcW w:w="1084" w:type="dxa"/>
            <w:tcBorders>
              <w:top w:val="single" w:sz="6" w:space="0" w:color="auto"/>
              <w:left w:val="single" w:sz="6" w:space="0" w:color="auto"/>
              <w:bottom w:val="single" w:sz="6" w:space="0" w:color="auto"/>
              <w:right w:val="single" w:sz="6" w:space="0" w:color="auto"/>
            </w:tcBorders>
            <w:vAlign w:val="center"/>
          </w:tcPr>
          <w:p w14:paraId="58877883" w14:textId="73C12085" w:rsidR="006C7A4C" w:rsidRPr="00BF32CE" w:rsidRDefault="006C7A4C" w:rsidP="00120699">
            <w:pPr>
              <w:jc w:val="center"/>
              <w:rPr>
                <w:rFonts w:ascii="Arial Narrow" w:hAnsi="Arial Narrow"/>
                <w:sz w:val="20"/>
                <w:szCs w:val="20"/>
              </w:rPr>
            </w:pPr>
            <w:r>
              <w:rPr>
                <w:rFonts w:ascii="Arial Narrow" w:hAnsi="Arial Narrow" w:cs="Arial"/>
                <w:color w:val="000000"/>
                <w:sz w:val="20"/>
                <w:szCs w:val="20"/>
              </w:rPr>
              <w:t>5/10/23</w:t>
            </w:r>
          </w:p>
        </w:tc>
        <w:tc>
          <w:tcPr>
            <w:tcW w:w="1350" w:type="dxa"/>
            <w:tcBorders>
              <w:top w:val="single" w:sz="6" w:space="0" w:color="auto"/>
              <w:left w:val="single" w:sz="6" w:space="0" w:color="auto"/>
              <w:bottom w:val="single" w:sz="6" w:space="0" w:color="auto"/>
              <w:right w:val="single" w:sz="6" w:space="0" w:color="auto"/>
            </w:tcBorders>
            <w:vAlign w:val="center"/>
          </w:tcPr>
          <w:p w14:paraId="60272A94" w14:textId="03161DD3" w:rsidR="006C7A4C" w:rsidRPr="00BF32CE" w:rsidRDefault="006C7A4C" w:rsidP="00120699">
            <w:pPr>
              <w:jc w:val="center"/>
              <w:rPr>
                <w:rFonts w:ascii="Arial Narrow" w:hAnsi="Arial Narrow"/>
                <w:sz w:val="20"/>
                <w:szCs w:val="20"/>
              </w:rPr>
            </w:pPr>
            <w:r>
              <w:rPr>
                <w:rFonts w:ascii="Arial Narrow" w:hAnsi="Arial Narrow" w:cs="Arial"/>
                <w:color w:val="000000"/>
                <w:sz w:val="20"/>
                <w:szCs w:val="20"/>
              </w:rPr>
              <w:t>54.94</w:t>
            </w:r>
          </w:p>
        </w:tc>
        <w:tc>
          <w:tcPr>
            <w:tcW w:w="1350" w:type="dxa"/>
            <w:tcBorders>
              <w:top w:val="single" w:sz="6" w:space="0" w:color="auto"/>
              <w:left w:val="single" w:sz="6" w:space="0" w:color="auto"/>
              <w:bottom w:val="single" w:sz="6" w:space="0" w:color="auto"/>
              <w:right w:val="single" w:sz="6" w:space="0" w:color="auto"/>
            </w:tcBorders>
            <w:vAlign w:val="center"/>
          </w:tcPr>
          <w:p w14:paraId="59996CAB" w14:textId="47B22B90" w:rsidR="006C7A4C" w:rsidRPr="00BF32CE" w:rsidRDefault="006C7A4C" w:rsidP="00120699">
            <w:pPr>
              <w:jc w:val="center"/>
              <w:rPr>
                <w:rFonts w:ascii="Arial Narrow" w:hAnsi="Arial Narrow"/>
                <w:sz w:val="20"/>
                <w:szCs w:val="20"/>
              </w:rPr>
            </w:pPr>
            <w:r>
              <w:rPr>
                <w:rFonts w:ascii="Arial Narrow" w:hAnsi="Arial Narrow" w:cs="Arial"/>
                <w:color w:val="000000"/>
                <w:sz w:val="20"/>
                <w:szCs w:val="20"/>
              </w:rPr>
              <w:t>45.13</w:t>
            </w:r>
          </w:p>
        </w:tc>
        <w:tc>
          <w:tcPr>
            <w:tcW w:w="1350" w:type="dxa"/>
            <w:tcBorders>
              <w:top w:val="single" w:sz="6" w:space="0" w:color="auto"/>
              <w:left w:val="single" w:sz="6" w:space="0" w:color="auto"/>
              <w:bottom w:val="single" w:sz="6" w:space="0" w:color="auto"/>
              <w:right w:val="single" w:sz="6" w:space="0" w:color="auto"/>
            </w:tcBorders>
            <w:vAlign w:val="center"/>
          </w:tcPr>
          <w:p w14:paraId="09835B59" w14:textId="120E43B2" w:rsidR="006C7A4C" w:rsidRPr="00BF32CE" w:rsidRDefault="006C7A4C" w:rsidP="00120699">
            <w:pPr>
              <w:jc w:val="center"/>
              <w:rPr>
                <w:rFonts w:ascii="Arial Narrow" w:hAnsi="Arial Narrow" w:cs="Arial"/>
                <w:color w:val="000000"/>
                <w:sz w:val="20"/>
                <w:szCs w:val="20"/>
              </w:rPr>
            </w:pPr>
            <w:r>
              <w:rPr>
                <w:rFonts w:ascii="Arial Narrow" w:hAnsi="Arial Narrow" w:cs="Arial"/>
                <w:color w:val="000000"/>
                <w:sz w:val="20"/>
                <w:szCs w:val="20"/>
              </w:rPr>
              <w:t>54.92</w:t>
            </w:r>
          </w:p>
        </w:tc>
        <w:tc>
          <w:tcPr>
            <w:tcW w:w="1410" w:type="dxa"/>
            <w:tcBorders>
              <w:top w:val="single" w:sz="6" w:space="0" w:color="auto"/>
              <w:left w:val="single" w:sz="6" w:space="0" w:color="auto"/>
              <w:bottom w:val="single" w:sz="6" w:space="0" w:color="auto"/>
              <w:right w:val="single" w:sz="6" w:space="0" w:color="auto"/>
            </w:tcBorders>
            <w:vAlign w:val="center"/>
          </w:tcPr>
          <w:p w14:paraId="45B0B8F0" w14:textId="42AEAF60" w:rsidR="006C7A4C" w:rsidRPr="00BF32CE" w:rsidRDefault="006C7A4C" w:rsidP="00120699">
            <w:pPr>
              <w:jc w:val="center"/>
              <w:rPr>
                <w:rFonts w:ascii="Arial Narrow" w:hAnsi="Arial Narrow" w:cs="Arial"/>
                <w:color w:val="000000"/>
                <w:sz w:val="20"/>
                <w:szCs w:val="20"/>
              </w:rPr>
            </w:pPr>
            <w:r>
              <w:rPr>
                <w:rFonts w:ascii="Arial Narrow" w:hAnsi="Arial Narrow" w:cs="Arial"/>
                <w:color w:val="000000"/>
                <w:sz w:val="20"/>
                <w:szCs w:val="20"/>
              </w:rPr>
              <w:t>61.55</w:t>
            </w:r>
          </w:p>
        </w:tc>
        <w:tc>
          <w:tcPr>
            <w:tcW w:w="1410" w:type="dxa"/>
            <w:tcBorders>
              <w:top w:val="single" w:sz="6" w:space="0" w:color="auto"/>
              <w:left w:val="single" w:sz="6" w:space="0" w:color="auto"/>
              <w:bottom w:val="single" w:sz="6" w:space="0" w:color="auto"/>
              <w:right w:val="single" w:sz="6" w:space="0" w:color="auto"/>
            </w:tcBorders>
            <w:vAlign w:val="center"/>
          </w:tcPr>
          <w:p w14:paraId="7F80DBF4" w14:textId="28F71EA6" w:rsidR="006C7A4C" w:rsidRPr="00BF32CE" w:rsidRDefault="006C7A4C" w:rsidP="00120699">
            <w:pPr>
              <w:jc w:val="center"/>
              <w:rPr>
                <w:rFonts w:ascii="Arial Narrow" w:hAnsi="Arial Narrow" w:cs="Arial"/>
                <w:color w:val="000000"/>
                <w:sz w:val="20"/>
                <w:szCs w:val="20"/>
              </w:rPr>
            </w:pPr>
            <w:r>
              <w:rPr>
                <w:rFonts w:ascii="Arial Narrow" w:hAnsi="Arial Narrow" w:cs="Arial"/>
                <w:color w:val="000000"/>
                <w:sz w:val="20"/>
                <w:szCs w:val="20"/>
              </w:rPr>
              <w:t>55.53</w:t>
            </w:r>
          </w:p>
        </w:tc>
        <w:tc>
          <w:tcPr>
            <w:tcW w:w="1410" w:type="dxa"/>
            <w:tcBorders>
              <w:top w:val="single" w:sz="6" w:space="0" w:color="auto"/>
              <w:left w:val="single" w:sz="6" w:space="0" w:color="auto"/>
              <w:bottom w:val="single" w:sz="6" w:space="0" w:color="auto"/>
              <w:right w:val="single" w:sz="6" w:space="0" w:color="auto"/>
            </w:tcBorders>
            <w:vAlign w:val="center"/>
          </w:tcPr>
          <w:p w14:paraId="6DEAD474" w14:textId="4537041B" w:rsidR="006C7A4C" w:rsidRPr="00BF32CE" w:rsidRDefault="006C7A4C" w:rsidP="00120699">
            <w:pPr>
              <w:jc w:val="center"/>
              <w:rPr>
                <w:rFonts w:ascii="Arial Narrow" w:hAnsi="Arial Narrow"/>
                <w:sz w:val="20"/>
                <w:szCs w:val="20"/>
              </w:rPr>
            </w:pPr>
            <w:r>
              <w:rPr>
                <w:rFonts w:ascii="Arial Narrow" w:hAnsi="Arial Narrow" w:cs="Arial"/>
                <w:color w:val="000000"/>
                <w:sz w:val="20"/>
                <w:szCs w:val="20"/>
              </w:rPr>
              <w:t>62.23</w:t>
            </w:r>
          </w:p>
        </w:tc>
      </w:tr>
      <w:tr w:rsidR="00D44977" w:rsidRPr="00120699" w14:paraId="76554AE4" w14:textId="77777777" w:rsidTr="00120699">
        <w:trPr>
          <w:trHeight w:val="247"/>
        </w:trPr>
        <w:tc>
          <w:tcPr>
            <w:tcW w:w="1084" w:type="dxa"/>
            <w:tcBorders>
              <w:top w:val="single" w:sz="6" w:space="0" w:color="auto"/>
              <w:left w:val="single" w:sz="6" w:space="0" w:color="auto"/>
              <w:bottom w:val="single" w:sz="6" w:space="0" w:color="auto"/>
              <w:right w:val="single" w:sz="6" w:space="0" w:color="auto"/>
            </w:tcBorders>
            <w:vAlign w:val="center"/>
          </w:tcPr>
          <w:p w14:paraId="2440FC48" w14:textId="55E38042" w:rsidR="00D44977" w:rsidRPr="00120699" w:rsidRDefault="00D44977" w:rsidP="00120699">
            <w:pPr>
              <w:jc w:val="center"/>
              <w:rPr>
                <w:rFonts w:ascii="Arial Narrow" w:hAnsi="Arial Narrow" w:cs="Arial"/>
                <w:b/>
                <w:color w:val="000000"/>
                <w:sz w:val="20"/>
                <w:szCs w:val="20"/>
              </w:rPr>
            </w:pPr>
            <w:r w:rsidRPr="00120699">
              <w:rPr>
                <w:rFonts w:ascii="Arial Narrow" w:hAnsi="Arial Narrow" w:cs="Arial"/>
                <w:b/>
                <w:color w:val="000000"/>
                <w:sz w:val="20"/>
                <w:szCs w:val="20"/>
              </w:rPr>
              <w:t>Average</w:t>
            </w:r>
          </w:p>
        </w:tc>
        <w:tc>
          <w:tcPr>
            <w:tcW w:w="1350" w:type="dxa"/>
            <w:tcBorders>
              <w:top w:val="single" w:sz="6" w:space="0" w:color="auto"/>
              <w:left w:val="single" w:sz="6" w:space="0" w:color="auto"/>
              <w:bottom w:val="single" w:sz="6" w:space="0" w:color="auto"/>
              <w:right w:val="single" w:sz="6" w:space="0" w:color="auto"/>
            </w:tcBorders>
            <w:vAlign w:val="center"/>
          </w:tcPr>
          <w:p w14:paraId="6C1B0B21" w14:textId="5D8CD68E" w:rsidR="00D44977" w:rsidRPr="00120699" w:rsidRDefault="00D44977" w:rsidP="00120699">
            <w:pPr>
              <w:jc w:val="center"/>
              <w:rPr>
                <w:rFonts w:ascii="Arial Narrow" w:hAnsi="Arial Narrow" w:cs="Arial"/>
                <w:b/>
                <w:color w:val="000000"/>
                <w:sz w:val="20"/>
                <w:szCs w:val="20"/>
              </w:rPr>
            </w:pPr>
            <w:r w:rsidRPr="00120699">
              <w:rPr>
                <w:rFonts w:ascii="Arial Narrow" w:hAnsi="Arial Narrow"/>
                <w:b/>
                <w:color w:val="000000"/>
                <w:sz w:val="20"/>
                <w:szCs w:val="20"/>
              </w:rPr>
              <w:t>54.02</w:t>
            </w:r>
          </w:p>
        </w:tc>
        <w:tc>
          <w:tcPr>
            <w:tcW w:w="1350" w:type="dxa"/>
            <w:tcBorders>
              <w:top w:val="single" w:sz="6" w:space="0" w:color="auto"/>
              <w:left w:val="single" w:sz="6" w:space="0" w:color="auto"/>
              <w:bottom w:val="single" w:sz="6" w:space="0" w:color="auto"/>
              <w:right w:val="single" w:sz="6" w:space="0" w:color="auto"/>
            </w:tcBorders>
            <w:vAlign w:val="center"/>
          </w:tcPr>
          <w:p w14:paraId="6486DAEF" w14:textId="65168BB4" w:rsidR="00D44977" w:rsidRPr="00120699" w:rsidRDefault="00D44977" w:rsidP="00120699">
            <w:pPr>
              <w:jc w:val="center"/>
              <w:rPr>
                <w:rFonts w:ascii="Arial Narrow" w:hAnsi="Arial Narrow" w:cs="Arial"/>
                <w:b/>
                <w:color w:val="000000"/>
                <w:sz w:val="20"/>
                <w:szCs w:val="20"/>
              </w:rPr>
            </w:pPr>
            <w:r w:rsidRPr="00120699">
              <w:rPr>
                <w:rFonts w:ascii="Arial Narrow" w:hAnsi="Arial Narrow"/>
                <w:b/>
                <w:color w:val="000000"/>
                <w:sz w:val="20"/>
                <w:szCs w:val="20"/>
              </w:rPr>
              <w:t>45.95</w:t>
            </w:r>
          </w:p>
        </w:tc>
        <w:tc>
          <w:tcPr>
            <w:tcW w:w="1350" w:type="dxa"/>
            <w:tcBorders>
              <w:top w:val="single" w:sz="6" w:space="0" w:color="auto"/>
              <w:left w:val="single" w:sz="6" w:space="0" w:color="auto"/>
              <w:bottom w:val="single" w:sz="6" w:space="0" w:color="auto"/>
              <w:right w:val="single" w:sz="6" w:space="0" w:color="auto"/>
            </w:tcBorders>
            <w:vAlign w:val="center"/>
          </w:tcPr>
          <w:p w14:paraId="2489FD09" w14:textId="0694B85E" w:rsidR="00D44977" w:rsidRPr="00120699" w:rsidRDefault="00D44977" w:rsidP="00120699">
            <w:pPr>
              <w:jc w:val="center"/>
              <w:rPr>
                <w:rFonts w:ascii="Arial Narrow" w:hAnsi="Arial Narrow" w:cs="Arial"/>
                <w:b/>
                <w:color w:val="000000"/>
                <w:sz w:val="20"/>
                <w:szCs w:val="20"/>
              </w:rPr>
            </w:pPr>
            <w:r w:rsidRPr="00120699">
              <w:rPr>
                <w:rFonts w:ascii="Arial Narrow" w:hAnsi="Arial Narrow"/>
                <w:b/>
                <w:color w:val="000000"/>
                <w:sz w:val="20"/>
                <w:szCs w:val="20"/>
              </w:rPr>
              <w:t>52.01</w:t>
            </w:r>
          </w:p>
        </w:tc>
        <w:tc>
          <w:tcPr>
            <w:tcW w:w="1410" w:type="dxa"/>
            <w:tcBorders>
              <w:top w:val="single" w:sz="6" w:space="0" w:color="auto"/>
              <w:left w:val="single" w:sz="6" w:space="0" w:color="auto"/>
              <w:bottom w:val="single" w:sz="6" w:space="0" w:color="auto"/>
              <w:right w:val="single" w:sz="6" w:space="0" w:color="auto"/>
            </w:tcBorders>
            <w:vAlign w:val="center"/>
          </w:tcPr>
          <w:p w14:paraId="5CBCFF8F" w14:textId="2EA54E07" w:rsidR="00D44977" w:rsidRPr="00120699" w:rsidRDefault="00D44977" w:rsidP="00120699">
            <w:pPr>
              <w:jc w:val="center"/>
              <w:rPr>
                <w:rFonts w:ascii="Arial Narrow" w:hAnsi="Arial Narrow" w:cs="Arial"/>
                <w:b/>
                <w:color w:val="000000"/>
                <w:sz w:val="20"/>
                <w:szCs w:val="20"/>
              </w:rPr>
            </w:pPr>
            <w:r w:rsidRPr="00120699">
              <w:rPr>
                <w:rFonts w:ascii="Arial Narrow" w:hAnsi="Arial Narrow"/>
                <w:b/>
                <w:color w:val="000000"/>
                <w:sz w:val="20"/>
                <w:szCs w:val="20"/>
              </w:rPr>
              <w:t>53.84</w:t>
            </w:r>
          </w:p>
        </w:tc>
        <w:tc>
          <w:tcPr>
            <w:tcW w:w="1410" w:type="dxa"/>
            <w:tcBorders>
              <w:top w:val="single" w:sz="6" w:space="0" w:color="auto"/>
              <w:left w:val="single" w:sz="6" w:space="0" w:color="auto"/>
              <w:bottom w:val="single" w:sz="6" w:space="0" w:color="auto"/>
              <w:right w:val="single" w:sz="6" w:space="0" w:color="auto"/>
            </w:tcBorders>
            <w:vAlign w:val="center"/>
          </w:tcPr>
          <w:p w14:paraId="59A5011E" w14:textId="68B02FC3" w:rsidR="00D44977" w:rsidRPr="00120699" w:rsidRDefault="00D44977" w:rsidP="00120699">
            <w:pPr>
              <w:jc w:val="center"/>
              <w:rPr>
                <w:rFonts w:ascii="Arial Narrow" w:hAnsi="Arial Narrow" w:cs="Arial"/>
                <w:b/>
                <w:color w:val="000000"/>
                <w:sz w:val="20"/>
                <w:szCs w:val="20"/>
              </w:rPr>
            </w:pPr>
            <w:r w:rsidRPr="00120699">
              <w:rPr>
                <w:rFonts w:ascii="Arial Narrow" w:hAnsi="Arial Narrow"/>
                <w:b/>
                <w:color w:val="000000"/>
                <w:sz w:val="20"/>
                <w:szCs w:val="20"/>
              </w:rPr>
              <w:t>59.13</w:t>
            </w:r>
          </w:p>
        </w:tc>
        <w:tc>
          <w:tcPr>
            <w:tcW w:w="1410" w:type="dxa"/>
            <w:tcBorders>
              <w:top w:val="single" w:sz="6" w:space="0" w:color="auto"/>
              <w:left w:val="single" w:sz="6" w:space="0" w:color="auto"/>
              <w:bottom w:val="single" w:sz="6" w:space="0" w:color="auto"/>
              <w:right w:val="single" w:sz="6" w:space="0" w:color="auto"/>
            </w:tcBorders>
            <w:vAlign w:val="center"/>
          </w:tcPr>
          <w:p w14:paraId="2A28B284" w14:textId="702B9635" w:rsidR="00D44977" w:rsidRPr="00120699" w:rsidRDefault="00D44977" w:rsidP="00120699">
            <w:pPr>
              <w:jc w:val="center"/>
              <w:rPr>
                <w:rFonts w:ascii="Arial Narrow" w:hAnsi="Arial Narrow" w:cs="Arial"/>
                <w:b/>
                <w:color w:val="000000"/>
                <w:sz w:val="20"/>
                <w:szCs w:val="20"/>
              </w:rPr>
            </w:pPr>
            <w:r w:rsidRPr="00120699">
              <w:rPr>
                <w:rFonts w:ascii="Arial Narrow" w:hAnsi="Arial Narrow"/>
                <w:b/>
                <w:color w:val="000000"/>
                <w:sz w:val="20"/>
                <w:szCs w:val="20"/>
              </w:rPr>
              <w:t>59.18</w:t>
            </w:r>
          </w:p>
        </w:tc>
      </w:tr>
    </w:tbl>
    <w:p w14:paraId="44B0B5BB" w14:textId="4586B008" w:rsidR="006C7A4C" w:rsidRDefault="006C7A4C" w:rsidP="00C80905">
      <w:pPr>
        <w:spacing w:before="120" w:after="120" w:line="360" w:lineRule="auto"/>
      </w:pPr>
    </w:p>
    <w:p w14:paraId="3137DB45" w14:textId="7B690062" w:rsidR="0093755C" w:rsidRDefault="00120699" w:rsidP="00C80905">
      <w:pPr>
        <w:spacing w:before="120" w:after="120" w:line="360" w:lineRule="auto"/>
      </w:pPr>
      <w:r>
        <w:t xml:space="preserve">BMI also conducted a visual benthic habitat assessment using the methods of Barbour </w:t>
      </w:r>
      <w:r w:rsidRPr="00120699">
        <w:rPr>
          <w:i/>
        </w:rPr>
        <w:t>et al.</w:t>
      </w:r>
      <w:r>
        <w:t xml:space="preserve"> (1999). Habitat scores reported by BMI for the three impaired stations </w:t>
      </w:r>
      <w:r w:rsidR="00363B6A">
        <w:t>(</w:t>
      </w:r>
      <w:r w:rsidR="00363B6A">
        <w:fldChar w:fldCharType="begin"/>
      </w:r>
      <w:r w:rsidR="00363B6A">
        <w:instrText xml:space="preserve"> REF _Ref158108069 \h </w:instrText>
      </w:r>
      <w:r w:rsidR="00363B6A">
        <w:fldChar w:fldCharType="separate"/>
      </w:r>
      <w:r w:rsidR="004A78BF">
        <w:t xml:space="preserve">Table </w:t>
      </w:r>
      <w:r w:rsidR="004A78BF">
        <w:rPr>
          <w:noProof/>
        </w:rPr>
        <w:t>23</w:t>
      </w:r>
      <w:r w:rsidR="00363B6A">
        <w:fldChar w:fldCharType="end"/>
      </w:r>
      <w:r w:rsidR="00363B6A">
        <w:t xml:space="preserve">) </w:t>
      </w:r>
      <w:r>
        <w:t xml:space="preserve">were consistent with habitat scores reported by VDEQ. </w:t>
      </w:r>
      <w:r w:rsidR="004B610D">
        <w:t>Both datasets placed e</w:t>
      </w:r>
      <w:r>
        <w:t>ach station</w:t>
      </w:r>
      <w:r w:rsidR="004B610D">
        <w:t xml:space="preserve"> within the same risk threshold for stressor effects. Station 4AROA198.08 was in the no probability range for stressor effects averaging 169 in the BMI dataset and 173 in VDEQ dataset. Tinker Creek was in the medium probability range for stressor effects averaging 124 in the BMI dataset and 100 in the VDEQ dataset. Station 4AROA202.20 was in the low probability range for stressor effects averaging 149 in the BMI dataset and 137 in the VDEQ dataset. </w:t>
      </w:r>
    </w:p>
    <w:p w14:paraId="5B1C0E94" w14:textId="4E8DCE80" w:rsidR="00410655" w:rsidRDefault="00120699" w:rsidP="00C80905">
      <w:pPr>
        <w:spacing w:before="120" w:after="120" w:line="360" w:lineRule="auto"/>
      </w:pPr>
      <w:r>
        <w:t xml:space="preserve">   </w:t>
      </w:r>
    </w:p>
    <w:p w14:paraId="678D3167" w14:textId="090CF13D" w:rsidR="00120699" w:rsidRDefault="00120699" w:rsidP="00120699">
      <w:pPr>
        <w:pStyle w:val="Caption"/>
      </w:pPr>
      <w:bookmarkStart w:id="192" w:name="_Ref158108069"/>
      <w:bookmarkStart w:id="193" w:name="_Toc162948290"/>
      <w:r>
        <w:t xml:space="preserve">Table </w:t>
      </w:r>
      <w:r w:rsidR="00A9549B">
        <w:rPr>
          <w:noProof/>
        </w:rPr>
        <w:fldChar w:fldCharType="begin"/>
      </w:r>
      <w:r w:rsidR="00A9549B">
        <w:rPr>
          <w:noProof/>
        </w:rPr>
        <w:instrText xml:space="preserve"> SEQ Table \* ARABIC </w:instrText>
      </w:r>
      <w:r w:rsidR="00A9549B">
        <w:rPr>
          <w:noProof/>
        </w:rPr>
        <w:fldChar w:fldCharType="separate"/>
      </w:r>
      <w:r w:rsidR="004A78BF">
        <w:rPr>
          <w:noProof/>
        </w:rPr>
        <w:t>23</w:t>
      </w:r>
      <w:r w:rsidR="00A9549B">
        <w:rPr>
          <w:noProof/>
        </w:rPr>
        <w:fldChar w:fldCharType="end"/>
      </w:r>
      <w:bookmarkEnd w:id="192"/>
      <w:r>
        <w:t>. Habitat scores collected by Biological Monitoring Inc.</w:t>
      </w:r>
      <w:bookmarkEnd w:id="193"/>
    </w:p>
    <w:tbl>
      <w:tblPr>
        <w:tblW w:w="9364" w:type="dxa"/>
        <w:tblInd w:w="78" w:type="dxa"/>
        <w:tblLayout w:type="fixed"/>
        <w:tblLook w:val="0000" w:firstRow="0" w:lastRow="0" w:firstColumn="0" w:lastColumn="0" w:noHBand="0" w:noVBand="0"/>
      </w:tblPr>
      <w:tblGrid>
        <w:gridCol w:w="1084"/>
        <w:gridCol w:w="1350"/>
        <w:gridCol w:w="1350"/>
        <w:gridCol w:w="1350"/>
        <w:gridCol w:w="1410"/>
        <w:gridCol w:w="1410"/>
        <w:gridCol w:w="1410"/>
      </w:tblGrid>
      <w:tr w:rsidR="006F354D" w:rsidRPr="004D732D" w14:paraId="3AF0FE6E" w14:textId="77777777" w:rsidTr="00120699">
        <w:trPr>
          <w:trHeight w:val="247"/>
        </w:trPr>
        <w:tc>
          <w:tcPr>
            <w:tcW w:w="1084" w:type="dxa"/>
            <w:tcBorders>
              <w:top w:val="single" w:sz="6" w:space="0" w:color="auto"/>
              <w:left w:val="single" w:sz="6" w:space="0" w:color="auto"/>
              <w:bottom w:val="single" w:sz="6" w:space="0" w:color="auto"/>
              <w:right w:val="single" w:sz="6" w:space="0" w:color="auto"/>
            </w:tcBorders>
            <w:shd w:val="clear" w:color="auto" w:fill="E0E0E0"/>
            <w:vAlign w:val="center"/>
          </w:tcPr>
          <w:p w14:paraId="3919425A" w14:textId="77777777" w:rsidR="006F354D" w:rsidRPr="004D732D" w:rsidRDefault="006F354D" w:rsidP="00120699">
            <w:pPr>
              <w:jc w:val="center"/>
              <w:rPr>
                <w:rFonts w:ascii="Arial Narrow" w:hAnsi="Arial Narrow"/>
                <w:b/>
                <w:sz w:val="20"/>
                <w:szCs w:val="20"/>
              </w:rPr>
            </w:pPr>
            <w:r>
              <w:rPr>
                <w:rFonts w:ascii="Arial Narrow" w:hAnsi="Arial Narrow"/>
                <w:b/>
                <w:sz w:val="20"/>
                <w:szCs w:val="20"/>
              </w:rPr>
              <w:t>Date</w:t>
            </w:r>
          </w:p>
        </w:tc>
        <w:tc>
          <w:tcPr>
            <w:tcW w:w="1350" w:type="dxa"/>
            <w:tcBorders>
              <w:top w:val="single" w:sz="6" w:space="0" w:color="auto"/>
              <w:left w:val="single" w:sz="6" w:space="0" w:color="auto"/>
              <w:bottom w:val="single" w:sz="6" w:space="0" w:color="auto"/>
              <w:right w:val="single" w:sz="6" w:space="0" w:color="auto"/>
            </w:tcBorders>
            <w:shd w:val="clear" w:color="auto" w:fill="E0E0E0"/>
            <w:vAlign w:val="center"/>
          </w:tcPr>
          <w:p w14:paraId="191354CF" w14:textId="77777777" w:rsidR="006F354D" w:rsidRPr="004D732D" w:rsidRDefault="006F354D" w:rsidP="00120699">
            <w:pPr>
              <w:jc w:val="center"/>
              <w:rPr>
                <w:rFonts w:ascii="Arial Narrow" w:hAnsi="Arial Narrow"/>
                <w:b/>
                <w:sz w:val="20"/>
                <w:szCs w:val="20"/>
              </w:rPr>
            </w:pPr>
            <w:r>
              <w:rPr>
                <w:rFonts w:ascii="Arial Narrow" w:hAnsi="Arial Narrow"/>
                <w:b/>
                <w:sz w:val="20"/>
                <w:szCs w:val="20"/>
              </w:rPr>
              <w:t>4AROA198.08</w:t>
            </w:r>
          </w:p>
        </w:tc>
        <w:tc>
          <w:tcPr>
            <w:tcW w:w="1350" w:type="dxa"/>
            <w:tcBorders>
              <w:top w:val="single" w:sz="6" w:space="0" w:color="auto"/>
              <w:left w:val="single" w:sz="6" w:space="0" w:color="auto"/>
              <w:bottom w:val="single" w:sz="6" w:space="0" w:color="auto"/>
              <w:right w:val="single" w:sz="6" w:space="0" w:color="auto"/>
            </w:tcBorders>
            <w:shd w:val="clear" w:color="auto" w:fill="E0E0E0"/>
            <w:vAlign w:val="center"/>
          </w:tcPr>
          <w:p w14:paraId="15A94213" w14:textId="77777777" w:rsidR="006F354D" w:rsidRPr="004D732D" w:rsidRDefault="006F354D" w:rsidP="00120699">
            <w:pPr>
              <w:jc w:val="center"/>
              <w:rPr>
                <w:rFonts w:ascii="Arial Narrow" w:hAnsi="Arial Narrow"/>
                <w:b/>
                <w:sz w:val="20"/>
                <w:szCs w:val="20"/>
              </w:rPr>
            </w:pPr>
            <w:r>
              <w:rPr>
                <w:rFonts w:ascii="Arial Narrow" w:hAnsi="Arial Narrow"/>
                <w:b/>
                <w:sz w:val="20"/>
                <w:szCs w:val="20"/>
              </w:rPr>
              <w:t>4ATKR000.69</w:t>
            </w:r>
          </w:p>
        </w:tc>
        <w:tc>
          <w:tcPr>
            <w:tcW w:w="1350" w:type="dxa"/>
            <w:tcBorders>
              <w:top w:val="single" w:sz="6" w:space="0" w:color="auto"/>
              <w:left w:val="single" w:sz="6" w:space="0" w:color="auto"/>
              <w:bottom w:val="single" w:sz="6" w:space="0" w:color="auto"/>
              <w:right w:val="single" w:sz="6" w:space="0" w:color="auto"/>
            </w:tcBorders>
            <w:shd w:val="clear" w:color="auto" w:fill="E0E0E0"/>
            <w:vAlign w:val="center"/>
          </w:tcPr>
          <w:p w14:paraId="19588136" w14:textId="77777777" w:rsidR="006F354D" w:rsidRPr="004D732D" w:rsidRDefault="006F354D" w:rsidP="00120699">
            <w:pPr>
              <w:jc w:val="center"/>
              <w:rPr>
                <w:rFonts w:ascii="Arial Narrow" w:hAnsi="Arial Narrow"/>
                <w:b/>
                <w:sz w:val="20"/>
                <w:szCs w:val="20"/>
              </w:rPr>
            </w:pPr>
            <w:r>
              <w:rPr>
                <w:rFonts w:ascii="Arial Narrow" w:hAnsi="Arial Narrow"/>
                <w:b/>
                <w:sz w:val="20"/>
                <w:szCs w:val="20"/>
              </w:rPr>
              <w:t>4AROA202.20</w:t>
            </w:r>
          </w:p>
        </w:tc>
        <w:tc>
          <w:tcPr>
            <w:tcW w:w="1410" w:type="dxa"/>
            <w:tcBorders>
              <w:top w:val="single" w:sz="6" w:space="0" w:color="auto"/>
              <w:left w:val="single" w:sz="6" w:space="0" w:color="auto"/>
              <w:bottom w:val="single" w:sz="6" w:space="0" w:color="auto"/>
              <w:right w:val="single" w:sz="6" w:space="0" w:color="auto"/>
            </w:tcBorders>
            <w:shd w:val="clear" w:color="auto" w:fill="E0E0E0"/>
            <w:vAlign w:val="center"/>
          </w:tcPr>
          <w:p w14:paraId="7361B1D5" w14:textId="77777777" w:rsidR="006F354D" w:rsidRPr="004D732D" w:rsidRDefault="006F354D" w:rsidP="00120699">
            <w:pPr>
              <w:jc w:val="center"/>
              <w:rPr>
                <w:rFonts w:ascii="Arial Narrow" w:hAnsi="Arial Narrow"/>
                <w:b/>
                <w:sz w:val="20"/>
                <w:szCs w:val="20"/>
              </w:rPr>
            </w:pPr>
            <w:r>
              <w:rPr>
                <w:rFonts w:ascii="Arial Narrow" w:hAnsi="Arial Narrow"/>
                <w:b/>
                <w:sz w:val="20"/>
                <w:szCs w:val="20"/>
              </w:rPr>
              <w:t>WPD (near 4AROA206.27)</w:t>
            </w:r>
          </w:p>
        </w:tc>
        <w:tc>
          <w:tcPr>
            <w:tcW w:w="1410" w:type="dxa"/>
            <w:tcBorders>
              <w:top w:val="single" w:sz="6" w:space="0" w:color="auto"/>
              <w:left w:val="single" w:sz="6" w:space="0" w:color="auto"/>
              <w:bottom w:val="single" w:sz="6" w:space="0" w:color="auto"/>
              <w:right w:val="single" w:sz="6" w:space="0" w:color="auto"/>
            </w:tcBorders>
            <w:shd w:val="clear" w:color="auto" w:fill="E0E0E0"/>
            <w:vAlign w:val="center"/>
          </w:tcPr>
          <w:p w14:paraId="05F02195" w14:textId="77777777" w:rsidR="006F354D" w:rsidRPr="004D732D" w:rsidRDefault="006F354D" w:rsidP="00120699">
            <w:pPr>
              <w:jc w:val="center"/>
              <w:rPr>
                <w:rFonts w:ascii="Arial Narrow" w:hAnsi="Arial Narrow"/>
                <w:b/>
                <w:sz w:val="20"/>
                <w:szCs w:val="20"/>
              </w:rPr>
            </w:pPr>
            <w:r>
              <w:rPr>
                <w:rFonts w:ascii="Arial Narrow" w:hAnsi="Arial Narrow"/>
                <w:b/>
                <w:sz w:val="20"/>
                <w:szCs w:val="20"/>
              </w:rPr>
              <w:t>WPU (near 4AROA206.95)</w:t>
            </w:r>
          </w:p>
        </w:tc>
        <w:tc>
          <w:tcPr>
            <w:tcW w:w="1410" w:type="dxa"/>
            <w:tcBorders>
              <w:top w:val="single" w:sz="6" w:space="0" w:color="auto"/>
              <w:left w:val="single" w:sz="6" w:space="0" w:color="auto"/>
              <w:bottom w:val="single" w:sz="6" w:space="0" w:color="auto"/>
              <w:right w:val="single" w:sz="6" w:space="0" w:color="auto"/>
            </w:tcBorders>
            <w:shd w:val="clear" w:color="auto" w:fill="E0E0E0"/>
            <w:vAlign w:val="center"/>
          </w:tcPr>
          <w:p w14:paraId="68450580" w14:textId="77777777" w:rsidR="006F354D" w:rsidRPr="004D732D" w:rsidRDefault="006F354D" w:rsidP="00120699">
            <w:pPr>
              <w:jc w:val="center"/>
              <w:rPr>
                <w:rFonts w:ascii="Arial Narrow" w:hAnsi="Arial Narrow"/>
                <w:b/>
                <w:sz w:val="20"/>
                <w:szCs w:val="20"/>
              </w:rPr>
            </w:pPr>
            <w:r>
              <w:rPr>
                <w:rFonts w:ascii="Arial Narrow" w:hAnsi="Arial Narrow"/>
                <w:b/>
                <w:sz w:val="20"/>
                <w:szCs w:val="20"/>
              </w:rPr>
              <w:t>CD1 (near (4AROA210.56)</w:t>
            </w:r>
          </w:p>
        </w:tc>
      </w:tr>
      <w:tr w:rsidR="00120699" w:rsidRPr="004D732D" w14:paraId="5F486050" w14:textId="77777777" w:rsidTr="00120699">
        <w:trPr>
          <w:trHeight w:val="247"/>
        </w:trPr>
        <w:tc>
          <w:tcPr>
            <w:tcW w:w="1084" w:type="dxa"/>
            <w:tcBorders>
              <w:top w:val="single" w:sz="6" w:space="0" w:color="auto"/>
              <w:left w:val="single" w:sz="6" w:space="0" w:color="auto"/>
              <w:bottom w:val="single" w:sz="6" w:space="0" w:color="auto"/>
              <w:right w:val="single" w:sz="6" w:space="0" w:color="auto"/>
            </w:tcBorders>
            <w:vAlign w:val="center"/>
          </w:tcPr>
          <w:p w14:paraId="4A5D9043" w14:textId="77777777" w:rsidR="00120699" w:rsidRPr="00BF32CE" w:rsidRDefault="00120699" w:rsidP="00120699">
            <w:pPr>
              <w:jc w:val="center"/>
              <w:rPr>
                <w:rFonts w:ascii="Arial Narrow" w:hAnsi="Arial Narrow"/>
                <w:sz w:val="20"/>
                <w:szCs w:val="20"/>
              </w:rPr>
            </w:pPr>
            <w:r>
              <w:rPr>
                <w:rFonts w:ascii="Arial Narrow" w:hAnsi="Arial Narrow" w:cs="Arial"/>
                <w:color w:val="000000"/>
                <w:sz w:val="20"/>
                <w:szCs w:val="20"/>
              </w:rPr>
              <w:t>10/24/22 &amp; 11/07/22</w:t>
            </w:r>
          </w:p>
        </w:tc>
        <w:tc>
          <w:tcPr>
            <w:tcW w:w="1350" w:type="dxa"/>
            <w:tcBorders>
              <w:top w:val="single" w:sz="6" w:space="0" w:color="auto"/>
              <w:left w:val="single" w:sz="6" w:space="0" w:color="auto"/>
              <w:bottom w:val="single" w:sz="6" w:space="0" w:color="auto"/>
              <w:right w:val="single" w:sz="6" w:space="0" w:color="auto"/>
            </w:tcBorders>
            <w:vAlign w:val="center"/>
          </w:tcPr>
          <w:p w14:paraId="02742D11" w14:textId="1B317F3D" w:rsidR="00120699" w:rsidRPr="00120699" w:rsidRDefault="00120699" w:rsidP="00120699">
            <w:pPr>
              <w:jc w:val="center"/>
              <w:rPr>
                <w:rFonts w:ascii="Arial Narrow" w:hAnsi="Arial Narrow"/>
                <w:sz w:val="20"/>
                <w:szCs w:val="20"/>
              </w:rPr>
            </w:pPr>
            <w:r w:rsidRPr="00120699">
              <w:rPr>
                <w:rFonts w:ascii="Arial Narrow" w:hAnsi="Arial Narrow"/>
                <w:color w:val="000000"/>
                <w:sz w:val="20"/>
                <w:szCs w:val="20"/>
              </w:rPr>
              <w:t>173</w:t>
            </w:r>
          </w:p>
        </w:tc>
        <w:tc>
          <w:tcPr>
            <w:tcW w:w="1350" w:type="dxa"/>
            <w:tcBorders>
              <w:top w:val="single" w:sz="6" w:space="0" w:color="auto"/>
              <w:left w:val="single" w:sz="6" w:space="0" w:color="auto"/>
              <w:bottom w:val="single" w:sz="6" w:space="0" w:color="auto"/>
              <w:right w:val="single" w:sz="6" w:space="0" w:color="auto"/>
            </w:tcBorders>
            <w:vAlign w:val="center"/>
          </w:tcPr>
          <w:p w14:paraId="3DF186AB" w14:textId="5672C751" w:rsidR="00120699" w:rsidRPr="00120699" w:rsidRDefault="00120699" w:rsidP="00120699">
            <w:pPr>
              <w:jc w:val="center"/>
              <w:rPr>
                <w:rFonts w:ascii="Arial Narrow" w:hAnsi="Arial Narrow"/>
                <w:sz w:val="20"/>
                <w:szCs w:val="20"/>
              </w:rPr>
            </w:pPr>
            <w:r w:rsidRPr="00120699">
              <w:rPr>
                <w:rFonts w:ascii="Arial Narrow" w:hAnsi="Arial Narrow"/>
                <w:color w:val="000000"/>
                <w:sz w:val="20"/>
                <w:szCs w:val="20"/>
              </w:rPr>
              <w:t>125</w:t>
            </w:r>
          </w:p>
        </w:tc>
        <w:tc>
          <w:tcPr>
            <w:tcW w:w="1350" w:type="dxa"/>
            <w:tcBorders>
              <w:top w:val="single" w:sz="6" w:space="0" w:color="auto"/>
              <w:left w:val="single" w:sz="6" w:space="0" w:color="auto"/>
              <w:bottom w:val="single" w:sz="6" w:space="0" w:color="auto"/>
              <w:right w:val="single" w:sz="6" w:space="0" w:color="auto"/>
            </w:tcBorders>
            <w:vAlign w:val="center"/>
          </w:tcPr>
          <w:p w14:paraId="75C82F61" w14:textId="3EFBA7CA" w:rsidR="00120699" w:rsidRPr="00120699" w:rsidRDefault="00120699" w:rsidP="00120699">
            <w:pPr>
              <w:jc w:val="center"/>
              <w:rPr>
                <w:rFonts w:ascii="Arial Narrow" w:hAnsi="Arial Narrow" w:cs="Arial"/>
                <w:color w:val="000000"/>
                <w:sz w:val="20"/>
                <w:szCs w:val="20"/>
              </w:rPr>
            </w:pPr>
            <w:r w:rsidRPr="00120699">
              <w:rPr>
                <w:rFonts w:ascii="Arial Narrow" w:hAnsi="Arial Narrow"/>
                <w:color w:val="000000"/>
                <w:sz w:val="20"/>
                <w:szCs w:val="20"/>
              </w:rPr>
              <w:t>155</w:t>
            </w:r>
          </w:p>
        </w:tc>
        <w:tc>
          <w:tcPr>
            <w:tcW w:w="1410" w:type="dxa"/>
            <w:tcBorders>
              <w:top w:val="single" w:sz="6" w:space="0" w:color="auto"/>
              <w:left w:val="single" w:sz="6" w:space="0" w:color="auto"/>
              <w:bottom w:val="single" w:sz="6" w:space="0" w:color="auto"/>
              <w:right w:val="single" w:sz="6" w:space="0" w:color="auto"/>
            </w:tcBorders>
            <w:vAlign w:val="center"/>
          </w:tcPr>
          <w:p w14:paraId="1BCE843E" w14:textId="364F08FC" w:rsidR="00120699" w:rsidRPr="00120699" w:rsidRDefault="00120699" w:rsidP="00120699">
            <w:pPr>
              <w:jc w:val="center"/>
              <w:rPr>
                <w:rFonts w:ascii="Arial Narrow" w:hAnsi="Arial Narrow" w:cs="Arial"/>
                <w:color w:val="000000"/>
                <w:sz w:val="20"/>
                <w:szCs w:val="20"/>
              </w:rPr>
            </w:pPr>
            <w:r w:rsidRPr="00120699">
              <w:rPr>
                <w:rFonts w:ascii="Arial Narrow" w:hAnsi="Arial Narrow"/>
                <w:color w:val="000000"/>
                <w:sz w:val="20"/>
                <w:szCs w:val="20"/>
              </w:rPr>
              <w:t>138</w:t>
            </w:r>
          </w:p>
        </w:tc>
        <w:tc>
          <w:tcPr>
            <w:tcW w:w="1410" w:type="dxa"/>
            <w:tcBorders>
              <w:top w:val="single" w:sz="6" w:space="0" w:color="auto"/>
              <w:left w:val="single" w:sz="6" w:space="0" w:color="auto"/>
              <w:bottom w:val="single" w:sz="6" w:space="0" w:color="auto"/>
              <w:right w:val="single" w:sz="6" w:space="0" w:color="auto"/>
            </w:tcBorders>
            <w:vAlign w:val="center"/>
          </w:tcPr>
          <w:p w14:paraId="5CB3F67E" w14:textId="73970615" w:rsidR="00120699" w:rsidRPr="00120699" w:rsidRDefault="00120699" w:rsidP="00120699">
            <w:pPr>
              <w:jc w:val="center"/>
              <w:rPr>
                <w:rFonts w:ascii="Arial Narrow" w:hAnsi="Arial Narrow" w:cs="Arial"/>
                <w:color w:val="000000"/>
                <w:sz w:val="20"/>
                <w:szCs w:val="20"/>
              </w:rPr>
            </w:pPr>
            <w:r w:rsidRPr="00120699">
              <w:rPr>
                <w:rFonts w:ascii="Arial Narrow" w:hAnsi="Arial Narrow"/>
                <w:color w:val="000000"/>
                <w:sz w:val="20"/>
                <w:szCs w:val="20"/>
              </w:rPr>
              <w:t>143</w:t>
            </w:r>
          </w:p>
        </w:tc>
        <w:tc>
          <w:tcPr>
            <w:tcW w:w="1410" w:type="dxa"/>
            <w:tcBorders>
              <w:top w:val="single" w:sz="6" w:space="0" w:color="auto"/>
              <w:left w:val="single" w:sz="6" w:space="0" w:color="auto"/>
              <w:bottom w:val="single" w:sz="6" w:space="0" w:color="auto"/>
              <w:right w:val="single" w:sz="6" w:space="0" w:color="auto"/>
            </w:tcBorders>
            <w:vAlign w:val="center"/>
          </w:tcPr>
          <w:p w14:paraId="7F0433E9" w14:textId="11759986" w:rsidR="00120699" w:rsidRPr="00120699" w:rsidRDefault="00120699" w:rsidP="00120699">
            <w:pPr>
              <w:jc w:val="center"/>
              <w:rPr>
                <w:rFonts w:ascii="Arial Narrow" w:hAnsi="Arial Narrow"/>
                <w:sz w:val="20"/>
                <w:szCs w:val="20"/>
              </w:rPr>
            </w:pPr>
            <w:r w:rsidRPr="00120699">
              <w:rPr>
                <w:rFonts w:ascii="Arial Narrow" w:hAnsi="Arial Narrow"/>
                <w:color w:val="000000"/>
                <w:sz w:val="20"/>
                <w:szCs w:val="20"/>
              </w:rPr>
              <w:t>139</w:t>
            </w:r>
          </w:p>
        </w:tc>
      </w:tr>
      <w:tr w:rsidR="00120699" w:rsidRPr="004D732D" w14:paraId="50C44460" w14:textId="77777777" w:rsidTr="00120699">
        <w:trPr>
          <w:trHeight w:val="247"/>
        </w:trPr>
        <w:tc>
          <w:tcPr>
            <w:tcW w:w="1084" w:type="dxa"/>
            <w:tcBorders>
              <w:top w:val="single" w:sz="6" w:space="0" w:color="auto"/>
              <w:left w:val="single" w:sz="6" w:space="0" w:color="auto"/>
              <w:bottom w:val="single" w:sz="6" w:space="0" w:color="auto"/>
              <w:right w:val="single" w:sz="6" w:space="0" w:color="auto"/>
            </w:tcBorders>
            <w:vAlign w:val="center"/>
          </w:tcPr>
          <w:p w14:paraId="76A3C1D7" w14:textId="77777777" w:rsidR="00120699" w:rsidRPr="00BF32CE" w:rsidRDefault="00120699" w:rsidP="00120699">
            <w:pPr>
              <w:jc w:val="center"/>
              <w:rPr>
                <w:rFonts w:ascii="Arial Narrow" w:hAnsi="Arial Narrow"/>
                <w:sz w:val="20"/>
                <w:szCs w:val="20"/>
              </w:rPr>
            </w:pPr>
            <w:r>
              <w:rPr>
                <w:rFonts w:ascii="Arial Narrow" w:hAnsi="Arial Narrow" w:cs="Arial"/>
                <w:color w:val="000000"/>
                <w:sz w:val="20"/>
                <w:szCs w:val="20"/>
              </w:rPr>
              <w:t>11/28/22</w:t>
            </w:r>
          </w:p>
        </w:tc>
        <w:tc>
          <w:tcPr>
            <w:tcW w:w="1350" w:type="dxa"/>
            <w:tcBorders>
              <w:top w:val="single" w:sz="6" w:space="0" w:color="auto"/>
              <w:left w:val="single" w:sz="6" w:space="0" w:color="auto"/>
              <w:bottom w:val="single" w:sz="6" w:space="0" w:color="auto"/>
              <w:right w:val="single" w:sz="6" w:space="0" w:color="auto"/>
            </w:tcBorders>
            <w:vAlign w:val="center"/>
          </w:tcPr>
          <w:p w14:paraId="03503AB6" w14:textId="04096148" w:rsidR="00120699" w:rsidRPr="00120699" w:rsidRDefault="00120699" w:rsidP="00120699">
            <w:pPr>
              <w:jc w:val="center"/>
              <w:rPr>
                <w:rFonts w:ascii="Arial Narrow" w:hAnsi="Arial Narrow"/>
                <w:sz w:val="20"/>
                <w:szCs w:val="20"/>
              </w:rPr>
            </w:pPr>
            <w:r w:rsidRPr="00120699">
              <w:rPr>
                <w:rFonts w:ascii="Arial Narrow" w:hAnsi="Arial Narrow"/>
                <w:color w:val="000000"/>
                <w:sz w:val="20"/>
                <w:szCs w:val="20"/>
              </w:rPr>
              <w:t>170</w:t>
            </w:r>
          </w:p>
        </w:tc>
        <w:tc>
          <w:tcPr>
            <w:tcW w:w="1350" w:type="dxa"/>
            <w:tcBorders>
              <w:top w:val="single" w:sz="6" w:space="0" w:color="auto"/>
              <w:left w:val="single" w:sz="6" w:space="0" w:color="auto"/>
              <w:bottom w:val="single" w:sz="6" w:space="0" w:color="auto"/>
              <w:right w:val="single" w:sz="6" w:space="0" w:color="auto"/>
            </w:tcBorders>
            <w:vAlign w:val="center"/>
          </w:tcPr>
          <w:p w14:paraId="37E91748" w14:textId="66DF42E4" w:rsidR="00120699" w:rsidRPr="00120699" w:rsidRDefault="00120699" w:rsidP="00120699">
            <w:pPr>
              <w:jc w:val="center"/>
              <w:rPr>
                <w:rFonts w:ascii="Arial Narrow" w:hAnsi="Arial Narrow"/>
                <w:sz w:val="20"/>
                <w:szCs w:val="20"/>
              </w:rPr>
            </w:pPr>
            <w:r w:rsidRPr="00120699">
              <w:rPr>
                <w:rFonts w:ascii="Arial Narrow" w:hAnsi="Arial Narrow"/>
                <w:color w:val="000000"/>
                <w:sz w:val="20"/>
                <w:szCs w:val="20"/>
              </w:rPr>
              <w:t>113</w:t>
            </w:r>
          </w:p>
        </w:tc>
        <w:tc>
          <w:tcPr>
            <w:tcW w:w="1350" w:type="dxa"/>
            <w:tcBorders>
              <w:top w:val="single" w:sz="6" w:space="0" w:color="auto"/>
              <w:left w:val="single" w:sz="6" w:space="0" w:color="auto"/>
              <w:bottom w:val="single" w:sz="6" w:space="0" w:color="auto"/>
              <w:right w:val="single" w:sz="6" w:space="0" w:color="auto"/>
            </w:tcBorders>
            <w:vAlign w:val="center"/>
          </w:tcPr>
          <w:p w14:paraId="042F03B9" w14:textId="5097CC99" w:rsidR="00120699" w:rsidRPr="00120699" w:rsidRDefault="00120699" w:rsidP="00120699">
            <w:pPr>
              <w:jc w:val="center"/>
              <w:rPr>
                <w:rFonts w:ascii="Arial Narrow" w:hAnsi="Arial Narrow" w:cs="Arial"/>
                <w:color w:val="000000"/>
                <w:sz w:val="20"/>
                <w:szCs w:val="20"/>
              </w:rPr>
            </w:pPr>
            <w:r w:rsidRPr="00120699">
              <w:rPr>
                <w:rFonts w:ascii="Arial Narrow" w:hAnsi="Arial Narrow"/>
                <w:color w:val="000000"/>
                <w:sz w:val="20"/>
                <w:szCs w:val="20"/>
              </w:rPr>
              <w:t>150</w:t>
            </w:r>
          </w:p>
        </w:tc>
        <w:tc>
          <w:tcPr>
            <w:tcW w:w="1410" w:type="dxa"/>
            <w:tcBorders>
              <w:top w:val="single" w:sz="6" w:space="0" w:color="auto"/>
              <w:left w:val="single" w:sz="6" w:space="0" w:color="auto"/>
              <w:bottom w:val="single" w:sz="6" w:space="0" w:color="auto"/>
              <w:right w:val="single" w:sz="6" w:space="0" w:color="auto"/>
            </w:tcBorders>
            <w:vAlign w:val="center"/>
          </w:tcPr>
          <w:p w14:paraId="1AAE7D2B" w14:textId="541270AA" w:rsidR="00120699" w:rsidRPr="00120699" w:rsidRDefault="00120699" w:rsidP="00120699">
            <w:pPr>
              <w:jc w:val="center"/>
              <w:rPr>
                <w:rFonts w:ascii="Arial Narrow" w:hAnsi="Arial Narrow" w:cs="Arial"/>
                <w:color w:val="000000"/>
                <w:sz w:val="20"/>
                <w:szCs w:val="20"/>
              </w:rPr>
            </w:pPr>
            <w:r w:rsidRPr="00120699">
              <w:rPr>
                <w:rFonts w:ascii="Arial Narrow" w:hAnsi="Arial Narrow"/>
                <w:color w:val="000000"/>
                <w:sz w:val="20"/>
                <w:szCs w:val="20"/>
              </w:rPr>
              <w:t>137</w:t>
            </w:r>
          </w:p>
        </w:tc>
        <w:tc>
          <w:tcPr>
            <w:tcW w:w="1410" w:type="dxa"/>
            <w:tcBorders>
              <w:top w:val="single" w:sz="6" w:space="0" w:color="auto"/>
              <w:left w:val="single" w:sz="6" w:space="0" w:color="auto"/>
              <w:bottom w:val="single" w:sz="6" w:space="0" w:color="auto"/>
              <w:right w:val="single" w:sz="6" w:space="0" w:color="auto"/>
            </w:tcBorders>
            <w:vAlign w:val="center"/>
          </w:tcPr>
          <w:p w14:paraId="33048D80" w14:textId="57639810" w:rsidR="00120699" w:rsidRPr="00120699" w:rsidRDefault="00120699" w:rsidP="00120699">
            <w:pPr>
              <w:jc w:val="center"/>
              <w:rPr>
                <w:rFonts w:ascii="Arial Narrow" w:hAnsi="Arial Narrow" w:cs="Arial"/>
                <w:color w:val="000000"/>
                <w:sz w:val="20"/>
                <w:szCs w:val="20"/>
              </w:rPr>
            </w:pPr>
            <w:r w:rsidRPr="00120699">
              <w:rPr>
                <w:rFonts w:ascii="Arial Narrow" w:hAnsi="Arial Narrow"/>
                <w:color w:val="000000"/>
                <w:sz w:val="20"/>
                <w:szCs w:val="20"/>
              </w:rPr>
              <w:t>144</w:t>
            </w:r>
          </w:p>
        </w:tc>
        <w:tc>
          <w:tcPr>
            <w:tcW w:w="1410" w:type="dxa"/>
            <w:tcBorders>
              <w:top w:val="single" w:sz="6" w:space="0" w:color="auto"/>
              <w:left w:val="single" w:sz="6" w:space="0" w:color="auto"/>
              <w:bottom w:val="single" w:sz="6" w:space="0" w:color="auto"/>
              <w:right w:val="single" w:sz="6" w:space="0" w:color="auto"/>
            </w:tcBorders>
            <w:vAlign w:val="center"/>
          </w:tcPr>
          <w:p w14:paraId="50B527CA" w14:textId="424872C0" w:rsidR="00120699" w:rsidRPr="00120699" w:rsidRDefault="00120699" w:rsidP="00120699">
            <w:pPr>
              <w:jc w:val="center"/>
              <w:rPr>
                <w:rFonts w:ascii="Arial Narrow" w:hAnsi="Arial Narrow"/>
                <w:sz w:val="20"/>
                <w:szCs w:val="20"/>
              </w:rPr>
            </w:pPr>
            <w:r w:rsidRPr="00120699">
              <w:rPr>
                <w:rFonts w:ascii="Arial Narrow" w:hAnsi="Arial Narrow"/>
                <w:color w:val="000000"/>
                <w:sz w:val="20"/>
                <w:szCs w:val="20"/>
              </w:rPr>
              <w:t>142</w:t>
            </w:r>
          </w:p>
        </w:tc>
      </w:tr>
      <w:tr w:rsidR="00120699" w:rsidRPr="004D732D" w14:paraId="20A0860B" w14:textId="77777777" w:rsidTr="00120699">
        <w:trPr>
          <w:trHeight w:val="247"/>
        </w:trPr>
        <w:tc>
          <w:tcPr>
            <w:tcW w:w="1084" w:type="dxa"/>
            <w:tcBorders>
              <w:top w:val="single" w:sz="6" w:space="0" w:color="auto"/>
              <w:left w:val="single" w:sz="6" w:space="0" w:color="auto"/>
              <w:bottom w:val="single" w:sz="6" w:space="0" w:color="auto"/>
              <w:right w:val="single" w:sz="6" w:space="0" w:color="auto"/>
            </w:tcBorders>
            <w:vAlign w:val="center"/>
          </w:tcPr>
          <w:p w14:paraId="14800878" w14:textId="77777777" w:rsidR="00120699" w:rsidRPr="00BF32CE" w:rsidRDefault="00120699" w:rsidP="00120699">
            <w:pPr>
              <w:jc w:val="center"/>
              <w:rPr>
                <w:rFonts w:ascii="Arial Narrow" w:hAnsi="Arial Narrow" w:cs="Calibri"/>
                <w:color w:val="000000"/>
                <w:sz w:val="20"/>
                <w:szCs w:val="20"/>
              </w:rPr>
            </w:pPr>
            <w:r>
              <w:rPr>
                <w:rFonts w:ascii="Arial Narrow" w:hAnsi="Arial Narrow" w:cs="Arial"/>
                <w:color w:val="000000"/>
                <w:sz w:val="20"/>
                <w:szCs w:val="20"/>
              </w:rPr>
              <w:t>3/21/23</w:t>
            </w:r>
          </w:p>
        </w:tc>
        <w:tc>
          <w:tcPr>
            <w:tcW w:w="1350" w:type="dxa"/>
            <w:tcBorders>
              <w:top w:val="single" w:sz="6" w:space="0" w:color="auto"/>
              <w:left w:val="single" w:sz="6" w:space="0" w:color="auto"/>
              <w:bottom w:val="single" w:sz="6" w:space="0" w:color="auto"/>
              <w:right w:val="single" w:sz="6" w:space="0" w:color="auto"/>
            </w:tcBorders>
            <w:vAlign w:val="center"/>
          </w:tcPr>
          <w:p w14:paraId="0ED1A529" w14:textId="3B6EFCF6" w:rsidR="00120699" w:rsidRPr="00120699" w:rsidRDefault="00120699" w:rsidP="00120699">
            <w:pPr>
              <w:jc w:val="center"/>
              <w:rPr>
                <w:rFonts w:ascii="Arial Narrow" w:hAnsi="Arial Narrow" w:cs="Calibri"/>
                <w:color w:val="000000"/>
                <w:sz w:val="20"/>
                <w:szCs w:val="20"/>
              </w:rPr>
            </w:pPr>
            <w:r w:rsidRPr="00120699">
              <w:rPr>
                <w:rFonts w:ascii="Arial Narrow" w:hAnsi="Arial Narrow"/>
                <w:color w:val="000000"/>
                <w:sz w:val="20"/>
                <w:szCs w:val="20"/>
              </w:rPr>
              <w:t>167</w:t>
            </w:r>
          </w:p>
        </w:tc>
        <w:tc>
          <w:tcPr>
            <w:tcW w:w="1350" w:type="dxa"/>
            <w:tcBorders>
              <w:top w:val="single" w:sz="6" w:space="0" w:color="auto"/>
              <w:left w:val="single" w:sz="6" w:space="0" w:color="auto"/>
              <w:bottom w:val="single" w:sz="6" w:space="0" w:color="auto"/>
              <w:right w:val="single" w:sz="6" w:space="0" w:color="auto"/>
            </w:tcBorders>
            <w:vAlign w:val="center"/>
          </w:tcPr>
          <w:p w14:paraId="1BB9C6E6" w14:textId="789E3B08" w:rsidR="00120699" w:rsidRPr="00120699" w:rsidRDefault="00120699" w:rsidP="00120699">
            <w:pPr>
              <w:jc w:val="center"/>
              <w:rPr>
                <w:rFonts w:ascii="Arial Narrow" w:hAnsi="Arial Narrow" w:cs="Calibri"/>
                <w:color w:val="000000"/>
                <w:sz w:val="20"/>
                <w:szCs w:val="20"/>
              </w:rPr>
            </w:pPr>
            <w:r w:rsidRPr="00120699">
              <w:rPr>
                <w:rFonts w:ascii="Arial Narrow" w:hAnsi="Arial Narrow"/>
                <w:color w:val="000000"/>
                <w:sz w:val="20"/>
                <w:szCs w:val="20"/>
              </w:rPr>
              <w:t>128</w:t>
            </w:r>
          </w:p>
        </w:tc>
        <w:tc>
          <w:tcPr>
            <w:tcW w:w="1350" w:type="dxa"/>
            <w:tcBorders>
              <w:top w:val="single" w:sz="6" w:space="0" w:color="auto"/>
              <w:left w:val="single" w:sz="6" w:space="0" w:color="auto"/>
              <w:bottom w:val="single" w:sz="6" w:space="0" w:color="auto"/>
              <w:right w:val="single" w:sz="6" w:space="0" w:color="auto"/>
            </w:tcBorders>
            <w:vAlign w:val="center"/>
          </w:tcPr>
          <w:p w14:paraId="41103774" w14:textId="12A5BFCE" w:rsidR="00120699" w:rsidRPr="00120699" w:rsidRDefault="00120699" w:rsidP="00120699">
            <w:pPr>
              <w:jc w:val="center"/>
              <w:rPr>
                <w:rFonts w:ascii="Arial Narrow" w:hAnsi="Arial Narrow" w:cs="Arial"/>
                <w:color w:val="000000"/>
                <w:sz w:val="20"/>
                <w:szCs w:val="20"/>
              </w:rPr>
            </w:pPr>
            <w:r w:rsidRPr="00120699">
              <w:rPr>
                <w:rFonts w:ascii="Arial Narrow" w:hAnsi="Arial Narrow"/>
                <w:color w:val="000000"/>
                <w:sz w:val="20"/>
                <w:szCs w:val="20"/>
              </w:rPr>
              <w:t>142</w:t>
            </w:r>
          </w:p>
        </w:tc>
        <w:tc>
          <w:tcPr>
            <w:tcW w:w="1410" w:type="dxa"/>
            <w:tcBorders>
              <w:top w:val="single" w:sz="6" w:space="0" w:color="auto"/>
              <w:left w:val="single" w:sz="6" w:space="0" w:color="auto"/>
              <w:bottom w:val="single" w:sz="6" w:space="0" w:color="auto"/>
              <w:right w:val="single" w:sz="6" w:space="0" w:color="auto"/>
            </w:tcBorders>
            <w:vAlign w:val="center"/>
          </w:tcPr>
          <w:p w14:paraId="262C2513" w14:textId="768D9AE9" w:rsidR="00120699" w:rsidRPr="00120699" w:rsidRDefault="00120699" w:rsidP="00120699">
            <w:pPr>
              <w:jc w:val="center"/>
              <w:rPr>
                <w:rFonts w:ascii="Arial Narrow" w:hAnsi="Arial Narrow" w:cs="Arial"/>
                <w:color w:val="000000"/>
                <w:sz w:val="20"/>
                <w:szCs w:val="20"/>
              </w:rPr>
            </w:pPr>
            <w:r w:rsidRPr="00120699">
              <w:rPr>
                <w:rFonts w:ascii="Arial Narrow" w:hAnsi="Arial Narrow"/>
                <w:color w:val="000000"/>
                <w:sz w:val="20"/>
                <w:szCs w:val="20"/>
              </w:rPr>
              <w:t>139</w:t>
            </w:r>
          </w:p>
        </w:tc>
        <w:tc>
          <w:tcPr>
            <w:tcW w:w="1410" w:type="dxa"/>
            <w:tcBorders>
              <w:top w:val="single" w:sz="6" w:space="0" w:color="auto"/>
              <w:left w:val="single" w:sz="6" w:space="0" w:color="auto"/>
              <w:bottom w:val="single" w:sz="6" w:space="0" w:color="auto"/>
              <w:right w:val="single" w:sz="6" w:space="0" w:color="auto"/>
            </w:tcBorders>
            <w:vAlign w:val="center"/>
          </w:tcPr>
          <w:p w14:paraId="06970BC5" w14:textId="1C70D6C2" w:rsidR="00120699" w:rsidRPr="00120699" w:rsidRDefault="00120699" w:rsidP="00120699">
            <w:pPr>
              <w:jc w:val="center"/>
              <w:rPr>
                <w:rFonts w:ascii="Arial Narrow" w:hAnsi="Arial Narrow" w:cs="Arial"/>
                <w:color w:val="000000"/>
                <w:sz w:val="20"/>
                <w:szCs w:val="20"/>
              </w:rPr>
            </w:pPr>
            <w:r w:rsidRPr="00120699">
              <w:rPr>
                <w:rFonts w:ascii="Arial Narrow" w:hAnsi="Arial Narrow"/>
                <w:color w:val="000000"/>
                <w:sz w:val="20"/>
                <w:szCs w:val="20"/>
              </w:rPr>
              <w:t>137</w:t>
            </w:r>
          </w:p>
        </w:tc>
        <w:tc>
          <w:tcPr>
            <w:tcW w:w="1410" w:type="dxa"/>
            <w:tcBorders>
              <w:top w:val="single" w:sz="6" w:space="0" w:color="auto"/>
              <w:left w:val="single" w:sz="6" w:space="0" w:color="auto"/>
              <w:bottom w:val="single" w:sz="6" w:space="0" w:color="auto"/>
              <w:right w:val="single" w:sz="6" w:space="0" w:color="auto"/>
            </w:tcBorders>
            <w:vAlign w:val="center"/>
          </w:tcPr>
          <w:p w14:paraId="6BAB2B14" w14:textId="78C79E18" w:rsidR="00120699" w:rsidRPr="00120699" w:rsidRDefault="00120699" w:rsidP="00120699">
            <w:pPr>
              <w:jc w:val="center"/>
              <w:rPr>
                <w:rFonts w:ascii="Arial Narrow" w:hAnsi="Arial Narrow" w:cs="Calibri"/>
                <w:color w:val="000000"/>
                <w:sz w:val="20"/>
                <w:szCs w:val="20"/>
              </w:rPr>
            </w:pPr>
            <w:r w:rsidRPr="00120699">
              <w:rPr>
                <w:rFonts w:ascii="Arial Narrow" w:hAnsi="Arial Narrow"/>
                <w:color w:val="000000"/>
                <w:sz w:val="20"/>
                <w:szCs w:val="20"/>
              </w:rPr>
              <w:t>130</w:t>
            </w:r>
          </w:p>
        </w:tc>
      </w:tr>
      <w:tr w:rsidR="00120699" w:rsidRPr="004D732D" w14:paraId="63D75921" w14:textId="77777777" w:rsidTr="00120699">
        <w:trPr>
          <w:trHeight w:val="247"/>
        </w:trPr>
        <w:tc>
          <w:tcPr>
            <w:tcW w:w="1084" w:type="dxa"/>
            <w:tcBorders>
              <w:top w:val="single" w:sz="6" w:space="0" w:color="auto"/>
              <w:left w:val="single" w:sz="6" w:space="0" w:color="auto"/>
              <w:bottom w:val="single" w:sz="6" w:space="0" w:color="auto"/>
              <w:right w:val="single" w:sz="6" w:space="0" w:color="auto"/>
            </w:tcBorders>
            <w:vAlign w:val="center"/>
          </w:tcPr>
          <w:p w14:paraId="49431D80" w14:textId="77777777" w:rsidR="00120699" w:rsidRPr="00BF32CE" w:rsidRDefault="00120699" w:rsidP="00120699">
            <w:pPr>
              <w:jc w:val="center"/>
              <w:rPr>
                <w:rFonts w:ascii="Arial Narrow" w:hAnsi="Arial Narrow"/>
                <w:sz w:val="20"/>
                <w:szCs w:val="20"/>
              </w:rPr>
            </w:pPr>
            <w:r>
              <w:rPr>
                <w:rFonts w:ascii="Arial Narrow" w:hAnsi="Arial Narrow" w:cs="Arial"/>
                <w:color w:val="000000"/>
                <w:sz w:val="20"/>
                <w:szCs w:val="20"/>
              </w:rPr>
              <w:t>5/10/23</w:t>
            </w:r>
          </w:p>
        </w:tc>
        <w:tc>
          <w:tcPr>
            <w:tcW w:w="1350" w:type="dxa"/>
            <w:tcBorders>
              <w:top w:val="single" w:sz="6" w:space="0" w:color="auto"/>
              <w:left w:val="single" w:sz="6" w:space="0" w:color="auto"/>
              <w:bottom w:val="single" w:sz="6" w:space="0" w:color="auto"/>
              <w:right w:val="single" w:sz="6" w:space="0" w:color="auto"/>
            </w:tcBorders>
            <w:vAlign w:val="center"/>
          </w:tcPr>
          <w:p w14:paraId="2ECF989C" w14:textId="7CF1D7DC" w:rsidR="00120699" w:rsidRPr="00120699" w:rsidRDefault="00120699" w:rsidP="00120699">
            <w:pPr>
              <w:jc w:val="center"/>
              <w:rPr>
                <w:rFonts w:ascii="Arial Narrow" w:hAnsi="Arial Narrow"/>
                <w:sz w:val="20"/>
                <w:szCs w:val="20"/>
              </w:rPr>
            </w:pPr>
            <w:r w:rsidRPr="00120699">
              <w:rPr>
                <w:rFonts w:ascii="Arial Narrow" w:hAnsi="Arial Narrow"/>
                <w:color w:val="000000"/>
                <w:sz w:val="20"/>
                <w:szCs w:val="20"/>
              </w:rPr>
              <w:t>166</w:t>
            </w:r>
          </w:p>
        </w:tc>
        <w:tc>
          <w:tcPr>
            <w:tcW w:w="1350" w:type="dxa"/>
            <w:tcBorders>
              <w:top w:val="single" w:sz="6" w:space="0" w:color="auto"/>
              <w:left w:val="single" w:sz="6" w:space="0" w:color="auto"/>
              <w:bottom w:val="single" w:sz="6" w:space="0" w:color="auto"/>
              <w:right w:val="single" w:sz="6" w:space="0" w:color="auto"/>
            </w:tcBorders>
            <w:vAlign w:val="center"/>
          </w:tcPr>
          <w:p w14:paraId="6D1E5BBB" w14:textId="5C5CA281" w:rsidR="00120699" w:rsidRPr="00120699" w:rsidRDefault="00120699" w:rsidP="00120699">
            <w:pPr>
              <w:jc w:val="center"/>
              <w:rPr>
                <w:rFonts w:ascii="Arial Narrow" w:hAnsi="Arial Narrow"/>
                <w:sz w:val="20"/>
                <w:szCs w:val="20"/>
              </w:rPr>
            </w:pPr>
            <w:r w:rsidRPr="00120699">
              <w:rPr>
                <w:rFonts w:ascii="Arial Narrow" w:hAnsi="Arial Narrow"/>
                <w:color w:val="000000"/>
                <w:sz w:val="20"/>
                <w:szCs w:val="20"/>
              </w:rPr>
              <w:t>128</w:t>
            </w:r>
          </w:p>
        </w:tc>
        <w:tc>
          <w:tcPr>
            <w:tcW w:w="1350" w:type="dxa"/>
            <w:tcBorders>
              <w:top w:val="single" w:sz="6" w:space="0" w:color="auto"/>
              <w:left w:val="single" w:sz="6" w:space="0" w:color="auto"/>
              <w:bottom w:val="single" w:sz="6" w:space="0" w:color="auto"/>
              <w:right w:val="single" w:sz="6" w:space="0" w:color="auto"/>
            </w:tcBorders>
            <w:vAlign w:val="center"/>
          </w:tcPr>
          <w:p w14:paraId="40B20494" w14:textId="0743220D" w:rsidR="00120699" w:rsidRPr="00120699" w:rsidRDefault="00120699" w:rsidP="00120699">
            <w:pPr>
              <w:jc w:val="center"/>
              <w:rPr>
                <w:rFonts w:ascii="Arial Narrow" w:hAnsi="Arial Narrow" w:cs="Arial"/>
                <w:color w:val="000000"/>
                <w:sz w:val="20"/>
                <w:szCs w:val="20"/>
              </w:rPr>
            </w:pPr>
            <w:r w:rsidRPr="00120699">
              <w:rPr>
                <w:rFonts w:ascii="Arial Narrow" w:hAnsi="Arial Narrow"/>
                <w:color w:val="000000"/>
                <w:sz w:val="20"/>
                <w:szCs w:val="20"/>
              </w:rPr>
              <w:t>147</w:t>
            </w:r>
          </w:p>
        </w:tc>
        <w:tc>
          <w:tcPr>
            <w:tcW w:w="1410" w:type="dxa"/>
            <w:tcBorders>
              <w:top w:val="single" w:sz="6" w:space="0" w:color="auto"/>
              <w:left w:val="single" w:sz="6" w:space="0" w:color="auto"/>
              <w:bottom w:val="single" w:sz="6" w:space="0" w:color="auto"/>
              <w:right w:val="single" w:sz="6" w:space="0" w:color="auto"/>
            </w:tcBorders>
            <w:vAlign w:val="center"/>
          </w:tcPr>
          <w:p w14:paraId="08666E1F" w14:textId="3F6FC3F7" w:rsidR="00120699" w:rsidRPr="00120699" w:rsidRDefault="00120699" w:rsidP="00120699">
            <w:pPr>
              <w:jc w:val="center"/>
              <w:rPr>
                <w:rFonts w:ascii="Arial Narrow" w:hAnsi="Arial Narrow" w:cs="Arial"/>
                <w:color w:val="000000"/>
                <w:sz w:val="20"/>
                <w:szCs w:val="20"/>
              </w:rPr>
            </w:pPr>
            <w:r w:rsidRPr="00120699">
              <w:rPr>
                <w:rFonts w:ascii="Arial Narrow" w:hAnsi="Arial Narrow"/>
                <w:color w:val="000000"/>
                <w:sz w:val="20"/>
                <w:szCs w:val="20"/>
              </w:rPr>
              <w:t>136</w:t>
            </w:r>
          </w:p>
        </w:tc>
        <w:tc>
          <w:tcPr>
            <w:tcW w:w="1410" w:type="dxa"/>
            <w:tcBorders>
              <w:top w:val="single" w:sz="6" w:space="0" w:color="auto"/>
              <w:left w:val="single" w:sz="6" w:space="0" w:color="auto"/>
              <w:bottom w:val="single" w:sz="6" w:space="0" w:color="auto"/>
              <w:right w:val="single" w:sz="6" w:space="0" w:color="auto"/>
            </w:tcBorders>
            <w:vAlign w:val="center"/>
          </w:tcPr>
          <w:p w14:paraId="5C9B5242" w14:textId="30DC4130" w:rsidR="00120699" w:rsidRPr="00120699" w:rsidRDefault="00120699" w:rsidP="00120699">
            <w:pPr>
              <w:jc w:val="center"/>
              <w:rPr>
                <w:rFonts w:ascii="Arial Narrow" w:hAnsi="Arial Narrow" w:cs="Arial"/>
                <w:color w:val="000000"/>
                <w:sz w:val="20"/>
                <w:szCs w:val="20"/>
              </w:rPr>
            </w:pPr>
            <w:r w:rsidRPr="00120699">
              <w:rPr>
                <w:rFonts w:ascii="Arial Narrow" w:hAnsi="Arial Narrow"/>
                <w:color w:val="000000"/>
                <w:sz w:val="20"/>
                <w:szCs w:val="20"/>
              </w:rPr>
              <w:t>141</w:t>
            </w:r>
          </w:p>
        </w:tc>
        <w:tc>
          <w:tcPr>
            <w:tcW w:w="1410" w:type="dxa"/>
            <w:tcBorders>
              <w:top w:val="single" w:sz="6" w:space="0" w:color="auto"/>
              <w:left w:val="single" w:sz="6" w:space="0" w:color="auto"/>
              <w:bottom w:val="single" w:sz="6" w:space="0" w:color="auto"/>
              <w:right w:val="single" w:sz="6" w:space="0" w:color="auto"/>
            </w:tcBorders>
            <w:vAlign w:val="center"/>
          </w:tcPr>
          <w:p w14:paraId="4DAF9441" w14:textId="61247207" w:rsidR="00120699" w:rsidRPr="00120699" w:rsidRDefault="00120699" w:rsidP="00120699">
            <w:pPr>
              <w:jc w:val="center"/>
              <w:rPr>
                <w:rFonts w:ascii="Arial Narrow" w:hAnsi="Arial Narrow"/>
                <w:sz w:val="20"/>
                <w:szCs w:val="20"/>
              </w:rPr>
            </w:pPr>
            <w:r w:rsidRPr="00120699">
              <w:rPr>
                <w:rFonts w:ascii="Arial Narrow" w:hAnsi="Arial Narrow"/>
                <w:color w:val="000000"/>
                <w:sz w:val="20"/>
                <w:szCs w:val="20"/>
              </w:rPr>
              <w:t>142</w:t>
            </w:r>
          </w:p>
        </w:tc>
      </w:tr>
      <w:tr w:rsidR="00120699" w:rsidRPr="00120699" w14:paraId="51B954B8" w14:textId="77777777" w:rsidTr="00120699">
        <w:trPr>
          <w:trHeight w:val="247"/>
        </w:trPr>
        <w:tc>
          <w:tcPr>
            <w:tcW w:w="1084" w:type="dxa"/>
            <w:tcBorders>
              <w:top w:val="single" w:sz="6" w:space="0" w:color="auto"/>
              <w:left w:val="single" w:sz="6" w:space="0" w:color="auto"/>
              <w:bottom w:val="single" w:sz="6" w:space="0" w:color="auto"/>
              <w:right w:val="single" w:sz="6" w:space="0" w:color="auto"/>
            </w:tcBorders>
            <w:vAlign w:val="center"/>
          </w:tcPr>
          <w:p w14:paraId="578326D2" w14:textId="77777777" w:rsidR="00120699" w:rsidRPr="00120699" w:rsidRDefault="00120699" w:rsidP="00120699">
            <w:pPr>
              <w:jc w:val="center"/>
              <w:rPr>
                <w:rFonts w:ascii="Arial Narrow" w:hAnsi="Arial Narrow" w:cs="Arial"/>
                <w:b/>
                <w:color w:val="000000"/>
                <w:sz w:val="20"/>
                <w:szCs w:val="20"/>
              </w:rPr>
            </w:pPr>
            <w:r w:rsidRPr="00120699">
              <w:rPr>
                <w:rFonts w:ascii="Arial Narrow" w:hAnsi="Arial Narrow" w:cs="Arial"/>
                <w:b/>
                <w:color w:val="000000"/>
                <w:sz w:val="20"/>
                <w:szCs w:val="20"/>
              </w:rPr>
              <w:t>Average</w:t>
            </w:r>
          </w:p>
        </w:tc>
        <w:tc>
          <w:tcPr>
            <w:tcW w:w="1350" w:type="dxa"/>
            <w:tcBorders>
              <w:top w:val="single" w:sz="6" w:space="0" w:color="auto"/>
              <w:left w:val="single" w:sz="6" w:space="0" w:color="auto"/>
              <w:bottom w:val="single" w:sz="6" w:space="0" w:color="auto"/>
              <w:right w:val="single" w:sz="6" w:space="0" w:color="auto"/>
            </w:tcBorders>
            <w:vAlign w:val="center"/>
          </w:tcPr>
          <w:p w14:paraId="5D752C57" w14:textId="3B782CBF" w:rsidR="00120699" w:rsidRPr="00120699" w:rsidRDefault="00120699" w:rsidP="00120699">
            <w:pPr>
              <w:jc w:val="center"/>
              <w:rPr>
                <w:rFonts w:ascii="Arial Narrow" w:hAnsi="Arial Narrow" w:cs="Arial"/>
                <w:b/>
                <w:color w:val="000000"/>
                <w:sz w:val="20"/>
                <w:szCs w:val="20"/>
              </w:rPr>
            </w:pPr>
            <w:r w:rsidRPr="00120699">
              <w:rPr>
                <w:rFonts w:ascii="Arial Narrow" w:hAnsi="Arial Narrow"/>
                <w:b/>
                <w:color w:val="000000"/>
                <w:sz w:val="20"/>
                <w:szCs w:val="20"/>
              </w:rPr>
              <w:t>169</w:t>
            </w:r>
          </w:p>
        </w:tc>
        <w:tc>
          <w:tcPr>
            <w:tcW w:w="1350" w:type="dxa"/>
            <w:tcBorders>
              <w:top w:val="single" w:sz="6" w:space="0" w:color="auto"/>
              <w:left w:val="single" w:sz="6" w:space="0" w:color="auto"/>
              <w:bottom w:val="single" w:sz="6" w:space="0" w:color="auto"/>
              <w:right w:val="single" w:sz="6" w:space="0" w:color="auto"/>
            </w:tcBorders>
            <w:vAlign w:val="center"/>
          </w:tcPr>
          <w:p w14:paraId="7332EE94" w14:textId="0F2FA3AE" w:rsidR="00120699" w:rsidRPr="00120699" w:rsidRDefault="00120699" w:rsidP="00120699">
            <w:pPr>
              <w:jc w:val="center"/>
              <w:rPr>
                <w:rFonts w:ascii="Arial Narrow" w:hAnsi="Arial Narrow" w:cs="Arial"/>
                <w:b/>
                <w:color w:val="000000"/>
                <w:sz w:val="20"/>
                <w:szCs w:val="20"/>
              </w:rPr>
            </w:pPr>
            <w:r w:rsidRPr="00120699">
              <w:rPr>
                <w:rFonts w:ascii="Arial Narrow" w:hAnsi="Arial Narrow"/>
                <w:b/>
                <w:color w:val="000000"/>
                <w:sz w:val="20"/>
                <w:szCs w:val="20"/>
              </w:rPr>
              <w:t>124</w:t>
            </w:r>
          </w:p>
        </w:tc>
        <w:tc>
          <w:tcPr>
            <w:tcW w:w="1350" w:type="dxa"/>
            <w:tcBorders>
              <w:top w:val="single" w:sz="6" w:space="0" w:color="auto"/>
              <w:left w:val="single" w:sz="6" w:space="0" w:color="auto"/>
              <w:bottom w:val="single" w:sz="6" w:space="0" w:color="auto"/>
              <w:right w:val="single" w:sz="6" w:space="0" w:color="auto"/>
            </w:tcBorders>
            <w:vAlign w:val="center"/>
          </w:tcPr>
          <w:p w14:paraId="03F78FF7" w14:textId="006E86B2" w:rsidR="00120699" w:rsidRPr="00120699" w:rsidRDefault="00120699" w:rsidP="00120699">
            <w:pPr>
              <w:jc w:val="center"/>
              <w:rPr>
                <w:rFonts w:ascii="Arial Narrow" w:hAnsi="Arial Narrow" w:cs="Arial"/>
                <w:b/>
                <w:color w:val="000000"/>
                <w:sz w:val="20"/>
                <w:szCs w:val="20"/>
              </w:rPr>
            </w:pPr>
            <w:r w:rsidRPr="00120699">
              <w:rPr>
                <w:rFonts w:ascii="Arial Narrow" w:hAnsi="Arial Narrow"/>
                <w:b/>
                <w:color w:val="000000"/>
                <w:sz w:val="20"/>
                <w:szCs w:val="20"/>
              </w:rPr>
              <w:t>149</w:t>
            </w:r>
          </w:p>
        </w:tc>
        <w:tc>
          <w:tcPr>
            <w:tcW w:w="1410" w:type="dxa"/>
            <w:tcBorders>
              <w:top w:val="single" w:sz="6" w:space="0" w:color="auto"/>
              <w:left w:val="single" w:sz="6" w:space="0" w:color="auto"/>
              <w:bottom w:val="single" w:sz="6" w:space="0" w:color="auto"/>
              <w:right w:val="single" w:sz="6" w:space="0" w:color="auto"/>
            </w:tcBorders>
            <w:vAlign w:val="center"/>
          </w:tcPr>
          <w:p w14:paraId="4B5AB54C" w14:textId="5B4A69D8" w:rsidR="00120699" w:rsidRPr="00120699" w:rsidRDefault="00120699" w:rsidP="00120699">
            <w:pPr>
              <w:jc w:val="center"/>
              <w:rPr>
                <w:rFonts w:ascii="Arial Narrow" w:hAnsi="Arial Narrow" w:cs="Arial"/>
                <w:b/>
                <w:color w:val="000000"/>
                <w:sz w:val="20"/>
                <w:szCs w:val="20"/>
              </w:rPr>
            </w:pPr>
            <w:r w:rsidRPr="00120699">
              <w:rPr>
                <w:rFonts w:ascii="Arial Narrow" w:hAnsi="Arial Narrow"/>
                <w:b/>
                <w:color w:val="000000"/>
                <w:sz w:val="20"/>
                <w:szCs w:val="20"/>
              </w:rPr>
              <w:t>138</w:t>
            </w:r>
          </w:p>
        </w:tc>
        <w:tc>
          <w:tcPr>
            <w:tcW w:w="1410" w:type="dxa"/>
            <w:tcBorders>
              <w:top w:val="single" w:sz="6" w:space="0" w:color="auto"/>
              <w:left w:val="single" w:sz="6" w:space="0" w:color="auto"/>
              <w:bottom w:val="single" w:sz="6" w:space="0" w:color="auto"/>
              <w:right w:val="single" w:sz="6" w:space="0" w:color="auto"/>
            </w:tcBorders>
            <w:vAlign w:val="center"/>
          </w:tcPr>
          <w:p w14:paraId="71E9F1C8" w14:textId="3F88FDA7" w:rsidR="00120699" w:rsidRPr="00120699" w:rsidRDefault="00120699" w:rsidP="00120699">
            <w:pPr>
              <w:jc w:val="center"/>
              <w:rPr>
                <w:rFonts w:ascii="Arial Narrow" w:hAnsi="Arial Narrow" w:cs="Arial"/>
                <w:b/>
                <w:color w:val="000000"/>
                <w:sz w:val="20"/>
                <w:szCs w:val="20"/>
              </w:rPr>
            </w:pPr>
            <w:r w:rsidRPr="00120699">
              <w:rPr>
                <w:rFonts w:ascii="Arial Narrow" w:hAnsi="Arial Narrow"/>
                <w:b/>
                <w:color w:val="000000"/>
                <w:sz w:val="20"/>
                <w:szCs w:val="20"/>
              </w:rPr>
              <w:t>141</w:t>
            </w:r>
          </w:p>
        </w:tc>
        <w:tc>
          <w:tcPr>
            <w:tcW w:w="1410" w:type="dxa"/>
            <w:tcBorders>
              <w:top w:val="single" w:sz="6" w:space="0" w:color="auto"/>
              <w:left w:val="single" w:sz="6" w:space="0" w:color="auto"/>
              <w:bottom w:val="single" w:sz="6" w:space="0" w:color="auto"/>
              <w:right w:val="single" w:sz="6" w:space="0" w:color="auto"/>
            </w:tcBorders>
            <w:vAlign w:val="center"/>
          </w:tcPr>
          <w:p w14:paraId="36ED894E" w14:textId="1005E6A7" w:rsidR="00120699" w:rsidRPr="00120699" w:rsidRDefault="00120699" w:rsidP="00120699">
            <w:pPr>
              <w:jc w:val="center"/>
              <w:rPr>
                <w:rFonts w:ascii="Arial Narrow" w:hAnsi="Arial Narrow" w:cs="Arial"/>
                <w:b/>
                <w:color w:val="000000"/>
                <w:sz w:val="20"/>
                <w:szCs w:val="20"/>
              </w:rPr>
            </w:pPr>
            <w:r w:rsidRPr="00120699">
              <w:rPr>
                <w:rFonts w:ascii="Arial Narrow" w:hAnsi="Arial Narrow"/>
                <w:b/>
                <w:color w:val="000000"/>
                <w:sz w:val="20"/>
                <w:szCs w:val="20"/>
              </w:rPr>
              <w:t>138</w:t>
            </w:r>
          </w:p>
        </w:tc>
      </w:tr>
    </w:tbl>
    <w:p w14:paraId="6B5D8DA6" w14:textId="75C8E625" w:rsidR="006F354D" w:rsidRDefault="006F354D" w:rsidP="00C80905">
      <w:pPr>
        <w:spacing w:before="120" w:after="120" w:line="360" w:lineRule="auto"/>
      </w:pPr>
    </w:p>
    <w:p w14:paraId="37320F01" w14:textId="13BC994A" w:rsidR="004B610D" w:rsidRDefault="00EF7789" w:rsidP="00C80905">
      <w:pPr>
        <w:spacing w:before="120" w:after="120" w:line="360" w:lineRule="auto"/>
      </w:pPr>
      <w:r>
        <w:t xml:space="preserve">On each sampling date, BMI measured the water quality parameters of conductivity, pH, and temperature at each location. </w:t>
      </w:r>
      <w:r w:rsidR="00616876">
        <w:t xml:space="preserve">Temperatures ranged from 8.7 to 20.7 </w:t>
      </w:r>
      <w:r w:rsidR="00616876" w:rsidRPr="00DF1AB9">
        <w:t>⁰C</w:t>
      </w:r>
      <w:r w:rsidR="00616876">
        <w:t xml:space="preserve"> at 4AROA198.08, 8.4 to 22.1 </w:t>
      </w:r>
      <w:r w:rsidR="00616876" w:rsidRPr="00DF1AB9">
        <w:t>⁰C</w:t>
      </w:r>
      <w:r w:rsidR="00616876">
        <w:t xml:space="preserve"> in Tinker Creek, and 8.2 to 23.0 </w:t>
      </w:r>
      <w:r w:rsidR="00616876" w:rsidRPr="00DF1AB9">
        <w:t>⁰C</w:t>
      </w:r>
      <w:r w:rsidR="00616876">
        <w:t xml:space="preserve"> at 4AROA202.20. Conductivity ranged from 406 to 510 </w:t>
      </w:r>
      <w:proofErr w:type="spellStart"/>
      <w:r w:rsidR="00616876">
        <w:rPr>
          <w:rFonts w:ascii="Calibri" w:hAnsi="Calibri" w:cs="Calibri"/>
        </w:rPr>
        <w:t>μ</w:t>
      </w:r>
      <w:r w:rsidR="00616876">
        <w:t>S</w:t>
      </w:r>
      <w:proofErr w:type="spellEnd"/>
      <w:r w:rsidR="00616876">
        <w:t xml:space="preserve">/cm at 4AROA198.08, 433 to 741 </w:t>
      </w:r>
      <w:proofErr w:type="spellStart"/>
      <w:r w:rsidR="00616876">
        <w:rPr>
          <w:rFonts w:ascii="Calibri" w:hAnsi="Calibri" w:cs="Calibri"/>
        </w:rPr>
        <w:t>μ</w:t>
      </w:r>
      <w:r w:rsidR="00616876">
        <w:t>S</w:t>
      </w:r>
      <w:proofErr w:type="spellEnd"/>
      <w:r w:rsidR="00616876">
        <w:t xml:space="preserve">/cm in Tinker Creek, and 369 to 510 </w:t>
      </w:r>
      <w:proofErr w:type="spellStart"/>
      <w:r w:rsidR="00616876">
        <w:rPr>
          <w:rFonts w:ascii="Calibri" w:hAnsi="Calibri" w:cs="Calibri"/>
        </w:rPr>
        <w:t>μ</w:t>
      </w:r>
      <w:r w:rsidR="00616876">
        <w:t>S</w:t>
      </w:r>
      <w:proofErr w:type="spellEnd"/>
      <w:r w:rsidR="00616876">
        <w:t xml:space="preserve">/cm at 4AROA202.20. pH ranged from 7.45 to 8.45 at 4AROA198.08, 7.95 to 8.88 in Tinker Creek, and 7.79 to 8.89 at 4AROA202.20. </w:t>
      </w:r>
      <w:r>
        <w:t xml:space="preserve">These data were consistent with the water quality data collected by VDEQ. </w:t>
      </w:r>
      <w:r w:rsidR="00616876">
        <w:t>These ranges were within the ranges observed in VDEQ data at the same or nearby stations.</w:t>
      </w:r>
    </w:p>
    <w:p w14:paraId="27D1E06C" w14:textId="592E260A" w:rsidR="006F354D" w:rsidRDefault="00616876" w:rsidP="00C80905">
      <w:pPr>
        <w:spacing w:before="120" w:after="120" w:line="360" w:lineRule="auto"/>
      </w:pPr>
      <w:r>
        <w:t xml:space="preserve">Lastly, BMI submitted whole effluent toxicity testing data from </w:t>
      </w:r>
      <w:r w:rsidR="00AC292E">
        <w:t>the Roanoke River</w:t>
      </w:r>
      <w:r>
        <w:t xml:space="preserve">. These data are discussed in Section </w:t>
      </w:r>
      <w:r>
        <w:fldChar w:fldCharType="begin"/>
      </w:r>
      <w:r>
        <w:instrText xml:space="preserve"> REF _Ref158039094 \n \h </w:instrText>
      </w:r>
      <w:r>
        <w:fldChar w:fldCharType="separate"/>
      </w:r>
      <w:r w:rsidR="004A78BF">
        <w:t>2.4.11</w:t>
      </w:r>
      <w:r>
        <w:fldChar w:fldCharType="end"/>
      </w:r>
      <w:r>
        <w:t xml:space="preserve"> of the stressor analysis.</w:t>
      </w:r>
    </w:p>
    <w:p w14:paraId="3146D901" w14:textId="5965F5FE" w:rsidR="00616876" w:rsidRDefault="00AF1F20" w:rsidP="00616876">
      <w:pPr>
        <w:pStyle w:val="Heading3"/>
        <w:numPr>
          <w:ilvl w:val="2"/>
          <w:numId w:val="43"/>
        </w:numPr>
      </w:pPr>
      <w:bookmarkStart w:id="194" w:name="_Toc162948185"/>
      <w:r>
        <w:t>Nutrient Model</w:t>
      </w:r>
      <w:bookmarkEnd w:id="194"/>
    </w:p>
    <w:p w14:paraId="3047606A" w14:textId="77777777" w:rsidR="000B5A27" w:rsidRDefault="00616876" w:rsidP="00616876">
      <w:pPr>
        <w:spacing w:before="120" w:after="120" w:line="360" w:lineRule="auto"/>
      </w:pPr>
      <w:r>
        <w:t xml:space="preserve">The Western Virginia Water Authority submitted </w:t>
      </w:r>
      <w:r w:rsidR="00120EE8">
        <w:t xml:space="preserve">the results of a screening level nutrient model developed for the Roanoke River. Bell (2023) developed a </w:t>
      </w:r>
      <w:r w:rsidR="00120EE8" w:rsidRPr="00120EE8">
        <w:t xml:space="preserve">QUAL2K screening level model </w:t>
      </w:r>
      <w:r w:rsidR="00120EE8">
        <w:t xml:space="preserve">including 15 segments from roughly station 4AROA202.20 to station 4AROA198.08. </w:t>
      </w:r>
      <w:r w:rsidR="00120EE8" w:rsidRPr="00120EE8">
        <w:t xml:space="preserve">Modeling results showed </w:t>
      </w:r>
      <w:r w:rsidR="000B5A27">
        <w:t>that dissolved oxygen is not expected to decrease below 5 mg/L as a result of nutrient enrichment. This is consistent with dissolved oxygen monitoring data collected by VDEQ, which also showed no violations of the 5 mg/L DO standard.</w:t>
      </w:r>
    </w:p>
    <w:p w14:paraId="2350EBA8" w14:textId="290A6ACA" w:rsidR="00EB202C" w:rsidRDefault="000B5A27" w:rsidP="00616876">
      <w:pPr>
        <w:spacing w:before="120" w:after="120" w:line="360" w:lineRule="auto"/>
      </w:pPr>
      <w:r>
        <w:t xml:space="preserve">Nutrient modeling did show, however, that </w:t>
      </w:r>
      <w:r w:rsidR="00120EE8" w:rsidRPr="00120EE8">
        <w:t>bottom algae can accumulate to relatively high levels</w:t>
      </w:r>
      <w:r>
        <w:t xml:space="preserve"> (&gt;25 g AFDW/m</w:t>
      </w:r>
      <w:r w:rsidRPr="000B5A27">
        <w:rPr>
          <w:vertAlign w:val="superscript"/>
        </w:rPr>
        <w:t>2</w:t>
      </w:r>
      <w:r>
        <w:t>).</w:t>
      </w:r>
      <w:r w:rsidR="00120EE8" w:rsidRPr="00120EE8">
        <w:t xml:space="preserve"> This is consistent with </w:t>
      </w:r>
      <w:r w:rsidR="00EB202C">
        <w:t>V</w:t>
      </w:r>
      <w:r w:rsidR="00120EE8" w:rsidRPr="00120EE8">
        <w:t xml:space="preserve">DEQ algae sampling and other lines of evidence that indicate nutrient enrichment in the Roanoke River. </w:t>
      </w:r>
      <w:r w:rsidR="00EB202C">
        <w:t>VDEQ algae sampling in 2023 revealed 34 g AFDW/m</w:t>
      </w:r>
      <w:r w:rsidR="00EB202C" w:rsidRPr="006C1939">
        <w:rPr>
          <w:vertAlign w:val="superscript"/>
        </w:rPr>
        <w:t>2</w:t>
      </w:r>
      <w:r w:rsidR="00EB202C">
        <w:t xml:space="preserve"> at 4AROA202.67, and 49 g AFDW/m</w:t>
      </w:r>
      <w:r w:rsidR="00EB202C" w:rsidRPr="006C1939">
        <w:rPr>
          <w:vertAlign w:val="superscript"/>
        </w:rPr>
        <w:t>2</w:t>
      </w:r>
      <w:r w:rsidR="00EB202C">
        <w:t xml:space="preserve"> at 4AROA198.08</w:t>
      </w:r>
      <w:r w:rsidR="00DD0A74">
        <w:t>, well above the elevated values predicted by modeling</w:t>
      </w:r>
      <w:r w:rsidR="00EB202C">
        <w:t xml:space="preserve">. </w:t>
      </w:r>
    </w:p>
    <w:p w14:paraId="691DD6DD" w14:textId="4F02F904" w:rsidR="00EB202C" w:rsidRDefault="00120EE8" w:rsidP="00616876">
      <w:pPr>
        <w:spacing w:before="120" w:after="120" w:line="360" w:lineRule="auto"/>
      </w:pPr>
      <w:r w:rsidRPr="00120EE8">
        <w:t xml:space="preserve">Modeling also concluded that algae levels were similar upstream and downstream of the </w:t>
      </w:r>
      <w:r w:rsidR="00143C1C">
        <w:t>Western Virginia Water Authority Water Pollution Control Plant</w:t>
      </w:r>
      <w:r w:rsidRPr="00120EE8">
        <w:t xml:space="preserve"> discharge</w:t>
      </w:r>
      <w:r w:rsidR="00DD0A74">
        <w:t>. V</w:t>
      </w:r>
      <w:r w:rsidRPr="00120EE8">
        <w:t xml:space="preserve">DEQ </w:t>
      </w:r>
      <w:r w:rsidR="00DD0A74">
        <w:t xml:space="preserve">algae monitoring shows relatively high levels of variability from season to season, so confirming or disputing this claim is difficult. In the most comprehensive algae monitoring effort in 2023, algae levels consistently increased from the upstream unimpaired station to station 4AROA202.20 to the downstream impaired station, 4AROA198.08. </w:t>
      </w:r>
      <w:r w:rsidRPr="00120EE8">
        <w:t xml:space="preserve"> </w:t>
      </w:r>
    </w:p>
    <w:p w14:paraId="3ABD2E1C" w14:textId="62EC158E" w:rsidR="00616876" w:rsidRDefault="00120EE8" w:rsidP="00616876">
      <w:pPr>
        <w:spacing w:before="120" w:after="120" w:line="360" w:lineRule="auto"/>
      </w:pPr>
      <w:r w:rsidRPr="00120EE8">
        <w:t xml:space="preserve">Lastly, modeling demonstrated that algae growth was light and phosphorus-limited rather than </w:t>
      </w:r>
      <w:r w:rsidR="00DD0A74">
        <w:t xml:space="preserve">temperature, </w:t>
      </w:r>
      <w:r w:rsidRPr="00120EE8">
        <w:t>nitrogen</w:t>
      </w:r>
      <w:r w:rsidR="00DD0A74">
        <w:t xml:space="preserve">, or carbon </w:t>
      </w:r>
      <w:r w:rsidRPr="00120EE8">
        <w:t xml:space="preserve">limited. This </w:t>
      </w:r>
      <w:r w:rsidR="00DD0A74">
        <w:t xml:space="preserve">finding is consistent with Redfield ratios, showing phosphorus limitation. </w:t>
      </w:r>
    </w:p>
    <w:p w14:paraId="1E1E8CF9" w14:textId="628C4E5F" w:rsidR="00A9549B" w:rsidRDefault="00A9549B" w:rsidP="00A9549B">
      <w:pPr>
        <w:pStyle w:val="Heading3"/>
        <w:numPr>
          <w:ilvl w:val="2"/>
          <w:numId w:val="6"/>
        </w:numPr>
      </w:pPr>
      <w:bookmarkStart w:id="195" w:name="_Toc162948186"/>
      <w:r>
        <w:t>FERC Report</w:t>
      </w:r>
      <w:bookmarkEnd w:id="195"/>
    </w:p>
    <w:p w14:paraId="1603DE60" w14:textId="6959FE29" w:rsidR="00DD0A74" w:rsidRDefault="00A9549B" w:rsidP="00A9549B">
      <w:pPr>
        <w:spacing w:before="120" w:after="120" w:line="360" w:lineRule="auto"/>
      </w:pPr>
      <w:r>
        <w:t xml:space="preserve">In 2021, Appalachian Power Company prepared a study report for reauthorization of the Niagara </w:t>
      </w:r>
      <w:r w:rsidR="002F5B0A">
        <w:t>Hydroelectric Project through the Federal Energy Regulatory Commission (FERC). The study included water quality analysis (HDR, 2021) and benthic macroinvertebrate analysis (Edge Engineering and Science, 2021) in addition to the investigation of other impacts.</w:t>
      </w:r>
    </w:p>
    <w:p w14:paraId="3C78494E" w14:textId="2086B8DF" w:rsidR="00062978" w:rsidRDefault="00CC64A9" w:rsidP="00A9549B">
      <w:pPr>
        <w:spacing w:before="120" w:after="120" w:line="360" w:lineRule="auto"/>
      </w:pPr>
      <w:r>
        <w:t xml:space="preserve">During water quality monitoring in 2020 and 2021, temperature and pH met water quality standards at all monitoring stations. Dissolved oxygen conditions violated the 4.0 mg/L instantaneous water quality standard at two location. In Fall 2020, DO at the bottom of the forebay (above the dam) fell below 4.0 mg/L during a power outage. When water is not flowing through the powerhouse, the forebay area above the dam can stratify and DO at the bottom can drop below water quality standards. In addition, summertime monitoring in 2021 at the upstream end of the bypass reach violated the 4.0 mg/L instantaneous water quality standard on numerous occasions from July to August. This was during low flow conditions when the minimum downstream flow of 8 </w:t>
      </w:r>
      <w:proofErr w:type="spellStart"/>
      <w:r>
        <w:t>cfs</w:t>
      </w:r>
      <w:proofErr w:type="spellEnd"/>
      <w:r>
        <w:t xml:space="preserve"> was being released through the dam. Once the minimum flow was increased to 20 </w:t>
      </w:r>
      <w:proofErr w:type="spellStart"/>
      <w:r>
        <w:t>cfs</w:t>
      </w:r>
      <w:proofErr w:type="spellEnd"/>
      <w:r>
        <w:t xml:space="preserve">, DO violations ceased. </w:t>
      </w:r>
      <w:r w:rsidR="00D17E69">
        <w:t>During this time period of DO violations at the upstream end of the bypass reach, DO conditions at the downstream end of the bypass reach were above 6.0 mg/L.</w:t>
      </w:r>
    </w:p>
    <w:p w14:paraId="6B6EF3B6" w14:textId="4BE81A87" w:rsidR="00D17E69" w:rsidRDefault="00D17E69" w:rsidP="00A9549B">
      <w:pPr>
        <w:spacing w:before="120" w:after="120" w:line="360" w:lineRule="auto"/>
      </w:pPr>
      <w:r>
        <w:t xml:space="preserve">Supplemental data from the FERC study indicates that low dissolved oxygen may be a stressor for a short distance within the bypass reach, but this condition does not continue downstream. Natural reaeration throughout the bypass reach increased DO levels to healthy levels by the end of this reach. No DO violations were observed at VDEQ station 4AROA199.20, which is just downstream from the confluence of the bypass reach and the tailrace. For this reason, DO is not likely a stressor at the downstream benthic monitoring station. </w:t>
      </w:r>
    </w:p>
    <w:p w14:paraId="0119B153" w14:textId="5786F6B1" w:rsidR="00DD0A74" w:rsidRDefault="00D17E69" w:rsidP="00616876">
      <w:pPr>
        <w:spacing w:before="120" w:after="120" w:line="360" w:lineRule="auto"/>
      </w:pPr>
      <w:r>
        <w:t xml:space="preserve">The FERC study included </w:t>
      </w:r>
      <w:r w:rsidR="006148FD">
        <w:t>benthic macroinvertebrate sampling from five quantitative stations</w:t>
      </w:r>
      <w:r w:rsidR="00B2617E">
        <w:t xml:space="preserve"> in Fall 2020 and Spring 2021</w:t>
      </w:r>
      <w:r w:rsidR="000854C4">
        <w:t xml:space="preserve"> (</w:t>
      </w:r>
      <w:r w:rsidR="000854C4">
        <w:fldChar w:fldCharType="begin"/>
      </w:r>
      <w:r w:rsidR="000854C4">
        <w:instrText xml:space="preserve"> REF _Ref158107437 \h </w:instrText>
      </w:r>
      <w:r w:rsidR="000854C4">
        <w:fldChar w:fldCharType="separate"/>
      </w:r>
      <w:r w:rsidR="004A78BF">
        <w:t xml:space="preserve">Table </w:t>
      </w:r>
      <w:r w:rsidR="004A78BF">
        <w:rPr>
          <w:noProof/>
        </w:rPr>
        <w:t>24</w:t>
      </w:r>
      <w:r w:rsidR="000854C4">
        <w:fldChar w:fldCharType="end"/>
      </w:r>
      <w:r w:rsidR="000854C4">
        <w:t>)</w:t>
      </w:r>
      <w:r w:rsidR="00B2617E">
        <w:t>.</w:t>
      </w:r>
      <w:r w:rsidR="000854C4">
        <w:t xml:space="preserve"> In general, results from this study were consistent with VDEQ benthic monitoring within the same reach. Tinker Creek and all Roanoke River stations from 4AROA202.20 to 4AROA198.08 were impaired.</w:t>
      </w:r>
      <w:r w:rsidR="00B2617E">
        <w:t xml:space="preserve"> </w:t>
      </w:r>
      <w:r w:rsidR="00363B6A">
        <w:t>SCI scores ranged from 21.49 to 59.04. The lowest SCI scores were at the two stations just downstream from the Niagara Dam, indicating additional impairment from the dam.</w:t>
      </w:r>
    </w:p>
    <w:p w14:paraId="7B510ABD" w14:textId="6F15FCA7" w:rsidR="00B2617E" w:rsidRDefault="00B2617E" w:rsidP="00616876">
      <w:pPr>
        <w:spacing w:before="120" w:after="120" w:line="360" w:lineRule="auto"/>
      </w:pPr>
    </w:p>
    <w:p w14:paraId="6003A67F" w14:textId="58748361" w:rsidR="000854C4" w:rsidRDefault="000854C4" w:rsidP="000854C4">
      <w:pPr>
        <w:pStyle w:val="Caption"/>
      </w:pPr>
      <w:bookmarkStart w:id="196" w:name="_Ref158107437"/>
      <w:bookmarkStart w:id="197" w:name="_Toc162948291"/>
      <w:r>
        <w:t xml:space="preserve">Table </w:t>
      </w:r>
      <w:r>
        <w:fldChar w:fldCharType="begin"/>
      </w:r>
      <w:r>
        <w:instrText>SEQ Table \* ARABIC</w:instrText>
      </w:r>
      <w:r>
        <w:fldChar w:fldCharType="separate"/>
      </w:r>
      <w:r w:rsidR="004A78BF">
        <w:rPr>
          <w:noProof/>
        </w:rPr>
        <w:t>24</w:t>
      </w:r>
      <w:r>
        <w:fldChar w:fldCharType="end"/>
      </w:r>
      <w:bookmarkEnd w:id="196"/>
      <w:r>
        <w:t>. Benthic macroinvertebrate stream condition index (SCI) scores from FERC study.</w:t>
      </w:r>
      <w:bookmarkEnd w:id="197"/>
    </w:p>
    <w:tbl>
      <w:tblPr>
        <w:tblW w:w="9274" w:type="dxa"/>
        <w:tblInd w:w="78" w:type="dxa"/>
        <w:tblLayout w:type="fixed"/>
        <w:tblLook w:val="0000" w:firstRow="0" w:lastRow="0" w:firstColumn="0" w:lastColumn="0" w:noHBand="0" w:noVBand="0"/>
      </w:tblPr>
      <w:tblGrid>
        <w:gridCol w:w="2318"/>
        <w:gridCol w:w="2319"/>
        <w:gridCol w:w="2318"/>
        <w:gridCol w:w="2319"/>
      </w:tblGrid>
      <w:tr w:rsidR="00B2617E" w:rsidRPr="004D732D" w14:paraId="3E3D0EE2" w14:textId="77777777" w:rsidTr="00B2617E">
        <w:trPr>
          <w:trHeight w:val="247"/>
        </w:trPr>
        <w:tc>
          <w:tcPr>
            <w:tcW w:w="2318" w:type="dxa"/>
            <w:tcBorders>
              <w:top w:val="single" w:sz="6" w:space="0" w:color="auto"/>
              <w:left w:val="single" w:sz="6" w:space="0" w:color="auto"/>
              <w:bottom w:val="single" w:sz="6" w:space="0" w:color="auto"/>
              <w:right w:val="single" w:sz="6" w:space="0" w:color="auto"/>
            </w:tcBorders>
            <w:shd w:val="clear" w:color="auto" w:fill="E0E0E0"/>
            <w:vAlign w:val="center"/>
          </w:tcPr>
          <w:p w14:paraId="612B039D" w14:textId="5AFA7B2E" w:rsidR="00B2617E" w:rsidRPr="004D732D" w:rsidRDefault="00B2617E" w:rsidP="00A2382A">
            <w:pPr>
              <w:jc w:val="center"/>
              <w:rPr>
                <w:rFonts w:ascii="Arial Narrow" w:hAnsi="Arial Narrow"/>
                <w:b/>
                <w:sz w:val="20"/>
                <w:szCs w:val="20"/>
              </w:rPr>
            </w:pPr>
            <w:r>
              <w:rPr>
                <w:rFonts w:ascii="Arial Narrow" w:hAnsi="Arial Narrow"/>
                <w:b/>
                <w:sz w:val="20"/>
                <w:szCs w:val="20"/>
              </w:rPr>
              <w:t>Station</w:t>
            </w:r>
          </w:p>
        </w:tc>
        <w:tc>
          <w:tcPr>
            <w:tcW w:w="2319" w:type="dxa"/>
            <w:tcBorders>
              <w:top w:val="single" w:sz="6" w:space="0" w:color="auto"/>
              <w:left w:val="single" w:sz="6" w:space="0" w:color="auto"/>
              <w:bottom w:val="single" w:sz="6" w:space="0" w:color="auto"/>
              <w:right w:val="single" w:sz="6" w:space="0" w:color="auto"/>
            </w:tcBorders>
            <w:shd w:val="clear" w:color="auto" w:fill="E0E0E0"/>
            <w:vAlign w:val="center"/>
          </w:tcPr>
          <w:p w14:paraId="4A36807E" w14:textId="3CCFFEBF" w:rsidR="00B2617E" w:rsidRPr="004D732D" w:rsidRDefault="00B2617E" w:rsidP="00A2382A">
            <w:pPr>
              <w:jc w:val="center"/>
              <w:rPr>
                <w:rFonts w:ascii="Arial Narrow" w:hAnsi="Arial Narrow"/>
                <w:b/>
                <w:sz w:val="20"/>
                <w:szCs w:val="20"/>
              </w:rPr>
            </w:pPr>
            <w:r>
              <w:rPr>
                <w:rFonts w:ascii="Arial Narrow" w:hAnsi="Arial Narrow"/>
                <w:b/>
                <w:sz w:val="20"/>
                <w:szCs w:val="20"/>
              </w:rPr>
              <w:t>Description</w:t>
            </w:r>
          </w:p>
        </w:tc>
        <w:tc>
          <w:tcPr>
            <w:tcW w:w="2318" w:type="dxa"/>
            <w:tcBorders>
              <w:top w:val="single" w:sz="6" w:space="0" w:color="auto"/>
              <w:left w:val="single" w:sz="6" w:space="0" w:color="auto"/>
              <w:bottom w:val="single" w:sz="6" w:space="0" w:color="auto"/>
              <w:right w:val="single" w:sz="6" w:space="0" w:color="auto"/>
            </w:tcBorders>
            <w:shd w:val="clear" w:color="auto" w:fill="E0E0E0"/>
            <w:vAlign w:val="center"/>
          </w:tcPr>
          <w:p w14:paraId="27EC2F2D" w14:textId="0C95BBD8" w:rsidR="00B2617E" w:rsidRPr="004D732D" w:rsidRDefault="00B2617E" w:rsidP="00A2382A">
            <w:pPr>
              <w:jc w:val="center"/>
              <w:rPr>
                <w:rFonts w:ascii="Arial Narrow" w:hAnsi="Arial Narrow"/>
                <w:b/>
                <w:sz w:val="20"/>
                <w:szCs w:val="20"/>
              </w:rPr>
            </w:pPr>
            <w:r>
              <w:rPr>
                <w:rFonts w:ascii="Arial Narrow" w:hAnsi="Arial Narrow"/>
                <w:b/>
                <w:sz w:val="20"/>
                <w:szCs w:val="20"/>
              </w:rPr>
              <w:t>Fall 2020 SCI</w:t>
            </w:r>
          </w:p>
        </w:tc>
        <w:tc>
          <w:tcPr>
            <w:tcW w:w="2319" w:type="dxa"/>
            <w:tcBorders>
              <w:top w:val="single" w:sz="6" w:space="0" w:color="auto"/>
              <w:left w:val="single" w:sz="6" w:space="0" w:color="auto"/>
              <w:bottom w:val="single" w:sz="6" w:space="0" w:color="auto"/>
              <w:right w:val="single" w:sz="6" w:space="0" w:color="auto"/>
            </w:tcBorders>
            <w:shd w:val="clear" w:color="auto" w:fill="E0E0E0"/>
            <w:vAlign w:val="center"/>
          </w:tcPr>
          <w:p w14:paraId="2ADA9D2D" w14:textId="5D99D684" w:rsidR="00B2617E" w:rsidRPr="004D732D" w:rsidRDefault="00B2617E" w:rsidP="00A2382A">
            <w:pPr>
              <w:jc w:val="center"/>
              <w:rPr>
                <w:rFonts w:ascii="Arial Narrow" w:hAnsi="Arial Narrow"/>
                <w:b/>
                <w:sz w:val="20"/>
                <w:szCs w:val="20"/>
              </w:rPr>
            </w:pPr>
            <w:r>
              <w:rPr>
                <w:rFonts w:ascii="Arial Narrow" w:hAnsi="Arial Narrow"/>
                <w:b/>
                <w:sz w:val="20"/>
                <w:szCs w:val="20"/>
              </w:rPr>
              <w:t>Spring 2021 SCI</w:t>
            </w:r>
          </w:p>
        </w:tc>
      </w:tr>
      <w:tr w:rsidR="00B2617E" w:rsidRPr="004D732D" w14:paraId="51B17619" w14:textId="77777777" w:rsidTr="00B2617E">
        <w:trPr>
          <w:trHeight w:val="247"/>
        </w:trPr>
        <w:tc>
          <w:tcPr>
            <w:tcW w:w="2318" w:type="dxa"/>
            <w:tcBorders>
              <w:top w:val="single" w:sz="6" w:space="0" w:color="auto"/>
              <w:left w:val="single" w:sz="6" w:space="0" w:color="auto"/>
              <w:bottom w:val="single" w:sz="6" w:space="0" w:color="auto"/>
              <w:right w:val="single" w:sz="6" w:space="0" w:color="auto"/>
            </w:tcBorders>
            <w:vAlign w:val="center"/>
          </w:tcPr>
          <w:p w14:paraId="4770D0F0" w14:textId="273ED60B" w:rsidR="00B2617E" w:rsidRPr="00BF32CE" w:rsidRDefault="00B2617E" w:rsidP="00A2382A">
            <w:pPr>
              <w:jc w:val="center"/>
              <w:rPr>
                <w:rFonts w:ascii="Arial Narrow" w:hAnsi="Arial Narrow"/>
                <w:sz w:val="20"/>
                <w:szCs w:val="20"/>
              </w:rPr>
            </w:pPr>
            <w:r>
              <w:rPr>
                <w:rFonts w:ascii="Arial Narrow" w:hAnsi="Arial Narrow" w:cs="Arial"/>
                <w:color w:val="000000"/>
                <w:sz w:val="20"/>
                <w:szCs w:val="20"/>
              </w:rPr>
              <w:t>NFQT1</w:t>
            </w:r>
          </w:p>
        </w:tc>
        <w:tc>
          <w:tcPr>
            <w:tcW w:w="2319" w:type="dxa"/>
            <w:tcBorders>
              <w:top w:val="single" w:sz="6" w:space="0" w:color="auto"/>
              <w:left w:val="single" w:sz="6" w:space="0" w:color="auto"/>
              <w:bottom w:val="single" w:sz="6" w:space="0" w:color="auto"/>
              <w:right w:val="single" w:sz="6" w:space="0" w:color="auto"/>
            </w:tcBorders>
            <w:vAlign w:val="center"/>
          </w:tcPr>
          <w:p w14:paraId="4E0C630D" w14:textId="6867F107" w:rsidR="00B2617E" w:rsidRPr="00120699" w:rsidRDefault="000854C4" w:rsidP="00A2382A">
            <w:pPr>
              <w:jc w:val="center"/>
              <w:rPr>
                <w:rFonts w:ascii="Arial Narrow" w:hAnsi="Arial Narrow"/>
                <w:sz w:val="20"/>
                <w:szCs w:val="20"/>
              </w:rPr>
            </w:pPr>
            <w:r>
              <w:rPr>
                <w:rFonts w:ascii="Arial Narrow" w:hAnsi="Arial Narrow"/>
                <w:color w:val="000000"/>
                <w:sz w:val="20"/>
                <w:szCs w:val="20"/>
              </w:rPr>
              <w:t>Tinker Creek near 4ATKR000.69</w:t>
            </w:r>
          </w:p>
        </w:tc>
        <w:tc>
          <w:tcPr>
            <w:tcW w:w="2318" w:type="dxa"/>
            <w:tcBorders>
              <w:top w:val="single" w:sz="6" w:space="0" w:color="auto"/>
              <w:left w:val="single" w:sz="6" w:space="0" w:color="auto"/>
              <w:bottom w:val="single" w:sz="6" w:space="0" w:color="auto"/>
              <w:right w:val="single" w:sz="6" w:space="0" w:color="auto"/>
            </w:tcBorders>
            <w:vAlign w:val="center"/>
          </w:tcPr>
          <w:p w14:paraId="4C40B7B9" w14:textId="0F0C37A3" w:rsidR="00B2617E" w:rsidRPr="00120699" w:rsidRDefault="000854C4" w:rsidP="00A2382A">
            <w:pPr>
              <w:jc w:val="center"/>
              <w:rPr>
                <w:rFonts w:ascii="Arial Narrow" w:hAnsi="Arial Narrow"/>
                <w:sz w:val="20"/>
                <w:szCs w:val="20"/>
              </w:rPr>
            </w:pPr>
            <w:r>
              <w:rPr>
                <w:rFonts w:ascii="Arial Narrow" w:hAnsi="Arial Narrow"/>
                <w:color w:val="000000"/>
                <w:sz w:val="20"/>
                <w:szCs w:val="20"/>
              </w:rPr>
              <w:t>41.40</w:t>
            </w:r>
          </w:p>
        </w:tc>
        <w:tc>
          <w:tcPr>
            <w:tcW w:w="2319" w:type="dxa"/>
            <w:tcBorders>
              <w:top w:val="single" w:sz="6" w:space="0" w:color="auto"/>
              <w:left w:val="single" w:sz="6" w:space="0" w:color="auto"/>
              <w:bottom w:val="single" w:sz="6" w:space="0" w:color="auto"/>
              <w:right w:val="single" w:sz="6" w:space="0" w:color="auto"/>
            </w:tcBorders>
            <w:vAlign w:val="center"/>
          </w:tcPr>
          <w:p w14:paraId="69D5116A" w14:textId="3E8A2C3C" w:rsidR="00B2617E" w:rsidRPr="00120699" w:rsidRDefault="000854C4" w:rsidP="00A2382A">
            <w:pPr>
              <w:jc w:val="center"/>
              <w:rPr>
                <w:rFonts w:ascii="Arial Narrow" w:hAnsi="Arial Narrow" w:cs="Arial"/>
                <w:color w:val="000000"/>
                <w:sz w:val="20"/>
                <w:szCs w:val="20"/>
              </w:rPr>
            </w:pPr>
            <w:r>
              <w:rPr>
                <w:rFonts w:ascii="Arial Narrow" w:hAnsi="Arial Narrow"/>
                <w:color w:val="000000"/>
                <w:sz w:val="20"/>
                <w:szCs w:val="20"/>
              </w:rPr>
              <w:t>36.19</w:t>
            </w:r>
          </w:p>
        </w:tc>
      </w:tr>
      <w:tr w:rsidR="00B2617E" w:rsidRPr="004D732D" w14:paraId="7460A00C" w14:textId="77777777" w:rsidTr="00B2617E">
        <w:trPr>
          <w:trHeight w:val="247"/>
        </w:trPr>
        <w:tc>
          <w:tcPr>
            <w:tcW w:w="2318" w:type="dxa"/>
            <w:tcBorders>
              <w:top w:val="single" w:sz="6" w:space="0" w:color="auto"/>
              <w:left w:val="single" w:sz="6" w:space="0" w:color="auto"/>
              <w:bottom w:val="single" w:sz="6" w:space="0" w:color="auto"/>
              <w:right w:val="single" w:sz="6" w:space="0" w:color="auto"/>
            </w:tcBorders>
            <w:vAlign w:val="center"/>
          </w:tcPr>
          <w:p w14:paraId="200C88E8" w14:textId="2E1D0949" w:rsidR="00B2617E" w:rsidRPr="00BF32CE" w:rsidRDefault="00B2617E" w:rsidP="00A2382A">
            <w:pPr>
              <w:jc w:val="center"/>
              <w:rPr>
                <w:rFonts w:ascii="Arial Narrow" w:hAnsi="Arial Narrow"/>
                <w:sz w:val="20"/>
                <w:szCs w:val="20"/>
              </w:rPr>
            </w:pPr>
            <w:r>
              <w:rPr>
                <w:rFonts w:ascii="Arial Narrow" w:hAnsi="Arial Narrow" w:cs="Arial"/>
                <w:color w:val="000000"/>
                <w:sz w:val="20"/>
                <w:szCs w:val="20"/>
              </w:rPr>
              <w:t>NFQT2</w:t>
            </w:r>
          </w:p>
        </w:tc>
        <w:tc>
          <w:tcPr>
            <w:tcW w:w="2319" w:type="dxa"/>
            <w:tcBorders>
              <w:top w:val="single" w:sz="6" w:space="0" w:color="auto"/>
              <w:left w:val="single" w:sz="6" w:space="0" w:color="auto"/>
              <w:bottom w:val="single" w:sz="6" w:space="0" w:color="auto"/>
              <w:right w:val="single" w:sz="6" w:space="0" w:color="auto"/>
            </w:tcBorders>
            <w:vAlign w:val="center"/>
          </w:tcPr>
          <w:p w14:paraId="1BECEE5F" w14:textId="3E890EFC" w:rsidR="00B2617E" w:rsidRPr="00120699" w:rsidRDefault="000854C4" w:rsidP="00A2382A">
            <w:pPr>
              <w:jc w:val="center"/>
              <w:rPr>
                <w:rFonts w:ascii="Arial Narrow" w:hAnsi="Arial Narrow"/>
                <w:sz w:val="20"/>
                <w:szCs w:val="20"/>
              </w:rPr>
            </w:pPr>
            <w:r>
              <w:rPr>
                <w:rFonts w:ascii="Arial Narrow" w:hAnsi="Arial Narrow"/>
                <w:color w:val="000000"/>
                <w:sz w:val="20"/>
                <w:szCs w:val="20"/>
              </w:rPr>
              <w:t>Roanoke River near 4AROA202.20</w:t>
            </w:r>
          </w:p>
        </w:tc>
        <w:tc>
          <w:tcPr>
            <w:tcW w:w="2318" w:type="dxa"/>
            <w:tcBorders>
              <w:top w:val="single" w:sz="6" w:space="0" w:color="auto"/>
              <w:left w:val="single" w:sz="6" w:space="0" w:color="auto"/>
              <w:bottom w:val="single" w:sz="6" w:space="0" w:color="auto"/>
              <w:right w:val="single" w:sz="6" w:space="0" w:color="auto"/>
            </w:tcBorders>
            <w:vAlign w:val="center"/>
          </w:tcPr>
          <w:p w14:paraId="6B816DED" w14:textId="398F540B" w:rsidR="00B2617E" w:rsidRPr="00120699" w:rsidRDefault="000854C4" w:rsidP="00A2382A">
            <w:pPr>
              <w:jc w:val="center"/>
              <w:rPr>
                <w:rFonts w:ascii="Arial Narrow" w:hAnsi="Arial Narrow"/>
                <w:sz w:val="20"/>
                <w:szCs w:val="20"/>
              </w:rPr>
            </w:pPr>
            <w:r>
              <w:rPr>
                <w:rFonts w:ascii="Arial Narrow" w:hAnsi="Arial Narrow"/>
                <w:color w:val="000000"/>
                <w:sz w:val="20"/>
                <w:szCs w:val="20"/>
              </w:rPr>
              <w:t>54.72</w:t>
            </w:r>
          </w:p>
        </w:tc>
        <w:tc>
          <w:tcPr>
            <w:tcW w:w="2319" w:type="dxa"/>
            <w:tcBorders>
              <w:top w:val="single" w:sz="6" w:space="0" w:color="auto"/>
              <w:left w:val="single" w:sz="6" w:space="0" w:color="auto"/>
              <w:bottom w:val="single" w:sz="6" w:space="0" w:color="auto"/>
              <w:right w:val="single" w:sz="6" w:space="0" w:color="auto"/>
            </w:tcBorders>
            <w:vAlign w:val="center"/>
          </w:tcPr>
          <w:p w14:paraId="5F631EDF" w14:textId="3A7D5A66" w:rsidR="00B2617E" w:rsidRPr="00120699" w:rsidRDefault="000854C4" w:rsidP="00A2382A">
            <w:pPr>
              <w:jc w:val="center"/>
              <w:rPr>
                <w:rFonts w:ascii="Arial Narrow" w:hAnsi="Arial Narrow" w:cs="Arial"/>
                <w:color w:val="000000"/>
                <w:sz w:val="20"/>
                <w:szCs w:val="20"/>
              </w:rPr>
            </w:pPr>
            <w:r>
              <w:rPr>
                <w:rFonts w:ascii="Arial Narrow" w:hAnsi="Arial Narrow"/>
                <w:color w:val="000000"/>
                <w:sz w:val="20"/>
                <w:szCs w:val="20"/>
              </w:rPr>
              <w:t>52.04</w:t>
            </w:r>
          </w:p>
        </w:tc>
      </w:tr>
      <w:tr w:rsidR="00B2617E" w:rsidRPr="004D732D" w14:paraId="03F511E4" w14:textId="77777777" w:rsidTr="00B2617E">
        <w:trPr>
          <w:trHeight w:val="247"/>
        </w:trPr>
        <w:tc>
          <w:tcPr>
            <w:tcW w:w="2318" w:type="dxa"/>
            <w:tcBorders>
              <w:top w:val="single" w:sz="6" w:space="0" w:color="auto"/>
              <w:left w:val="single" w:sz="6" w:space="0" w:color="auto"/>
              <w:bottom w:val="single" w:sz="6" w:space="0" w:color="auto"/>
              <w:right w:val="single" w:sz="6" w:space="0" w:color="auto"/>
            </w:tcBorders>
            <w:vAlign w:val="center"/>
          </w:tcPr>
          <w:p w14:paraId="39E8F21B" w14:textId="277842FE" w:rsidR="00B2617E" w:rsidRPr="00BF32CE" w:rsidRDefault="00B2617E" w:rsidP="00A2382A">
            <w:pPr>
              <w:jc w:val="center"/>
              <w:rPr>
                <w:rFonts w:ascii="Arial Narrow" w:hAnsi="Arial Narrow" w:cs="Calibri"/>
                <w:color w:val="000000"/>
                <w:sz w:val="20"/>
                <w:szCs w:val="20"/>
              </w:rPr>
            </w:pPr>
            <w:r>
              <w:rPr>
                <w:rFonts w:ascii="Arial Narrow" w:hAnsi="Arial Narrow" w:cs="Arial"/>
                <w:color w:val="000000"/>
                <w:sz w:val="20"/>
                <w:szCs w:val="20"/>
              </w:rPr>
              <w:t>NFQT6</w:t>
            </w:r>
          </w:p>
        </w:tc>
        <w:tc>
          <w:tcPr>
            <w:tcW w:w="2319" w:type="dxa"/>
            <w:tcBorders>
              <w:top w:val="single" w:sz="6" w:space="0" w:color="auto"/>
              <w:left w:val="single" w:sz="6" w:space="0" w:color="auto"/>
              <w:bottom w:val="single" w:sz="6" w:space="0" w:color="auto"/>
              <w:right w:val="single" w:sz="6" w:space="0" w:color="auto"/>
            </w:tcBorders>
            <w:vAlign w:val="center"/>
          </w:tcPr>
          <w:p w14:paraId="389CD87D" w14:textId="292838D0" w:rsidR="00B2617E" w:rsidRPr="00120699" w:rsidRDefault="000854C4" w:rsidP="00A2382A">
            <w:pPr>
              <w:jc w:val="center"/>
              <w:rPr>
                <w:rFonts w:ascii="Arial Narrow" w:hAnsi="Arial Narrow" w:cs="Calibri"/>
                <w:color w:val="000000"/>
                <w:sz w:val="20"/>
                <w:szCs w:val="20"/>
              </w:rPr>
            </w:pPr>
            <w:r>
              <w:rPr>
                <w:rFonts w:ascii="Arial Narrow" w:hAnsi="Arial Narrow"/>
                <w:color w:val="000000"/>
                <w:sz w:val="20"/>
                <w:szCs w:val="20"/>
              </w:rPr>
              <w:t>Roanoke River near 4AROA199.20</w:t>
            </w:r>
          </w:p>
        </w:tc>
        <w:tc>
          <w:tcPr>
            <w:tcW w:w="2318" w:type="dxa"/>
            <w:tcBorders>
              <w:top w:val="single" w:sz="6" w:space="0" w:color="auto"/>
              <w:left w:val="single" w:sz="6" w:space="0" w:color="auto"/>
              <w:bottom w:val="single" w:sz="6" w:space="0" w:color="auto"/>
              <w:right w:val="single" w:sz="6" w:space="0" w:color="auto"/>
            </w:tcBorders>
            <w:vAlign w:val="center"/>
          </w:tcPr>
          <w:p w14:paraId="742A15B7" w14:textId="585F7011" w:rsidR="00B2617E" w:rsidRPr="00120699" w:rsidRDefault="000854C4" w:rsidP="00A2382A">
            <w:pPr>
              <w:jc w:val="center"/>
              <w:rPr>
                <w:rFonts w:ascii="Arial Narrow" w:hAnsi="Arial Narrow" w:cs="Calibri"/>
                <w:color w:val="000000"/>
                <w:sz w:val="20"/>
                <w:szCs w:val="20"/>
              </w:rPr>
            </w:pPr>
            <w:r>
              <w:rPr>
                <w:rFonts w:ascii="Arial Narrow" w:hAnsi="Arial Narrow"/>
                <w:color w:val="000000"/>
                <w:sz w:val="20"/>
                <w:szCs w:val="20"/>
              </w:rPr>
              <w:t>43.24</w:t>
            </w:r>
          </w:p>
        </w:tc>
        <w:tc>
          <w:tcPr>
            <w:tcW w:w="2319" w:type="dxa"/>
            <w:tcBorders>
              <w:top w:val="single" w:sz="6" w:space="0" w:color="auto"/>
              <w:left w:val="single" w:sz="6" w:space="0" w:color="auto"/>
              <w:bottom w:val="single" w:sz="6" w:space="0" w:color="auto"/>
              <w:right w:val="single" w:sz="6" w:space="0" w:color="auto"/>
            </w:tcBorders>
            <w:vAlign w:val="center"/>
          </w:tcPr>
          <w:p w14:paraId="0D8FF350" w14:textId="011652A2" w:rsidR="00B2617E" w:rsidRPr="00120699" w:rsidRDefault="000854C4" w:rsidP="00A2382A">
            <w:pPr>
              <w:jc w:val="center"/>
              <w:rPr>
                <w:rFonts w:ascii="Arial Narrow" w:hAnsi="Arial Narrow" w:cs="Arial"/>
                <w:color w:val="000000"/>
                <w:sz w:val="20"/>
                <w:szCs w:val="20"/>
              </w:rPr>
            </w:pPr>
            <w:r>
              <w:rPr>
                <w:rFonts w:ascii="Arial Narrow" w:hAnsi="Arial Narrow"/>
                <w:color w:val="000000"/>
                <w:sz w:val="20"/>
                <w:szCs w:val="20"/>
              </w:rPr>
              <w:t>28.61</w:t>
            </w:r>
          </w:p>
        </w:tc>
      </w:tr>
      <w:tr w:rsidR="00B2617E" w:rsidRPr="004D732D" w14:paraId="496799FF" w14:textId="77777777" w:rsidTr="00B2617E">
        <w:trPr>
          <w:trHeight w:val="247"/>
        </w:trPr>
        <w:tc>
          <w:tcPr>
            <w:tcW w:w="2318" w:type="dxa"/>
            <w:tcBorders>
              <w:top w:val="single" w:sz="6" w:space="0" w:color="auto"/>
              <w:left w:val="single" w:sz="6" w:space="0" w:color="auto"/>
              <w:bottom w:val="single" w:sz="6" w:space="0" w:color="auto"/>
              <w:right w:val="single" w:sz="6" w:space="0" w:color="auto"/>
            </w:tcBorders>
            <w:vAlign w:val="center"/>
          </w:tcPr>
          <w:p w14:paraId="6BBBFC51" w14:textId="33804248" w:rsidR="00B2617E" w:rsidRPr="00BF32CE" w:rsidRDefault="00B2617E" w:rsidP="00A2382A">
            <w:pPr>
              <w:jc w:val="center"/>
              <w:rPr>
                <w:rFonts w:ascii="Arial Narrow" w:hAnsi="Arial Narrow"/>
                <w:sz w:val="20"/>
                <w:szCs w:val="20"/>
              </w:rPr>
            </w:pPr>
            <w:r>
              <w:rPr>
                <w:rFonts w:ascii="Arial Narrow" w:hAnsi="Arial Narrow" w:cs="Arial"/>
                <w:color w:val="000000"/>
                <w:sz w:val="20"/>
                <w:szCs w:val="20"/>
              </w:rPr>
              <w:t>NFQT7</w:t>
            </w:r>
          </w:p>
        </w:tc>
        <w:tc>
          <w:tcPr>
            <w:tcW w:w="2319" w:type="dxa"/>
            <w:tcBorders>
              <w:top w:val="single" w:sz="6" w:space="0" w:color="auto"/>
              <w:left w:val="single" w:sz="6" w:space="0" w:color="auto"/>
              <w:bottom w:val="single" w:sz="6" w:space="0" w:color="auto"/>
              <w:right w:val="single" w:sz="6" w:space="0" w:color="auto"/>
            </w:tcBorders>
            <w:vAlign w:val="center"/>
          </w:tcPr>
          <w:p w14:paraId="25CB9AE0" w14:textId="6ECD0959" w:rsidR="00B2617E" w:rsidRPr="00120699" w:rsidRDefault="000854C4" w:rsidP="00A2382A">
            <w:pPr>
              <w:jc w:val="center"/>
              <w:rPr>
                <w:rFonts w:ascii="Arial Narrow" w:hAnsi="Arial Narrow"/>
                <w:sz w:val="20"/>
                <w:szCs w:val="20"/>
              </w:rPr>
            </w:pPr>
            <w:r>
              <w:rPr>
                <w:rFonts w:ascii="Arial Narrow" w:hAnsi="Arial Narrow"/>
                <w:color w:val="000000"/>
                <w:sz w:val="20"/>
                <w:szCs w:val="20"/>
              </w:rPr>
              <w:t>Roanoke River near Blue Ridge Parkway crossing</w:t>
            </w:r>
          </w:p>
        </w:tc>
        <w:tc>
          <w:tcPr>
            <w:tcW w:w="2318" w:type="dxa"/>
            <w:tcBorders>
              <w:top w:val="single" w:sz="6" w:space="0" w:color="auto"/>
              <w:left w:val="single" w:sz="6" w:space="0" w:color="auto"/>
              <w:bottom w:val="single" w:sz="6" w:space="0" w:color="auto"/>
              <w:right w:val="single" w:sz="6" w:space="0" w:color="auto"/>
            </w:tcBorders>
            <w:vAlign w:val="center"/>
          </w:tcPr>
          <w:p w14:paraId="0F014923" w14:textId="381328F6" w:rsidR="00B2617E" w:rsidRPr="00120699" w:rsidRDefault="000854C4" w:rsidP="00A2382A">
            <w:pPr>
              <w:jc w:val="center"/>
              <w:rPr>
                <w:rFonts w:ascii="Arial Narrow" w:hAnsi="Arial Narrow"/>
                <w:sz w:val="20"/>
                <w:szCs w:val="20"/>
              </w:rPr>
            </w:pPr>
            <w:r>
              <w:rPr>
                <w:rFonts w:ascii="Arial Narrow" w:hAnsi="Arial Narrow"/>
                <w:color w:val="000000"/>
                <w:sz w:val="20"/>
                <w:szCs w:val="20"/>
              </w:rPr>
              <w:t>31.03</w:t>
            </w:r>
          </w:p>
        </w:tc>
        <w:tc>
          <w:tcPr>
            <w:tcW w:w="2319" w:type="dxa"/>
            <w:tcBorders>
              <w:top w:val="single" w:sz="6" w:space="0" w:color="auto"/>
              <w:left w:val="single" w:sz="6" w:space="0" w:color="auto"/>
              <w:bottom w:val="single" w:sz="6" w:space="0" w:color="auto"/>
              <w:right w:val="single" w:sz="6" w:space="0" w:color="auto"/>
            </w:tcBorders>
            <w:vAlign w:val="center"/>
          </w:tcPr>
          <w:p w14:paraId="3F5F7B50" w14:textId="4709DB4A" w:rsidR="00B2617E" w:rsidRPr="00120699" w:rsidRDefault="000854C4" w:rsidP="00A2382A">
            <w:pPr>
              <w:jc w:val="center"/>
              <w:rPr>
                <w:rFonts w:ascii="Arial Narrow" w:hAnsi="Arial Narrow" w:cs="Arial"/>
                <w:color w:val="000000"/>
                <w:sz w:val="20"/>
                <w:szCs w:val="20"/>
              </w:rPr>
            </w:pPr>
            <w:r>
              <w:rPr>
                <w:rFonts w:ascii="Arial Narrow" w:hAnsi="Arial Narrow"/>
                <w:color w:val="000000"/>
                <w:sz w:val="20"/>
                <w:szCs w:val="20"/>
              </w:rPr>
              <w:t>21.49</w:t>
            </w:r>
          </w:p>
        </w:tc>
      </w:tr>
      <w:tr w:rsidR="000854C4" w:rsidRPr="004D732D" w14:paraId="1DBA87F5" w14:textId="77777777" w:rsidTr="00B2617E">
        <w:trPr>
          <w:trHeight w:val="247"/>
        </w:trPr>
        <w:tc>
          <w:tcPr>
            <w:tcW w:w="2318" w:type="dxa"/>
            <w:tcBorders>
              <w:top w:val="single" w:sz="6" w:space="0" w:color="auto"/>
              <w:left w:val="single" w:sz="6" w:space="0" w:color="auto"/>
              <w:bottom w:val="single" w:sz="6" w:space="0" w:color="auto"/>
              <w:right w:val="single" w:sz="6" w:space="0" w:color="auto"/>
            </w:tcBorders>
            <w:vAlign w:val="center"/>
          </w:tcPr>
          <w:p w14:paraId="054B4FA2" w14:textId="50AD13F4" w:rsidR="000854C4" w:rsidRDefault="000854C4" w:rsidP="00A2382A">
            <w:pPr>
              <w:jc w:val="center"/>
              <w:rPr>
                <w:rFonts w:ascii="Arial Narrow" w:hAnsi="Arial Narrow" w:cs="Arial"/>
                <w:color w:val="000000"/>
                <w:sz w:val="20"/>
                <w:szCs w:val="20"/>
              </w:rPr>
            </w:pPr>
            <w:r>
              <w:rPr>
                <w:rFonts w:ascii="Arial Narrow" w:hAnsi="Arial Narrow" w:cs="Arial"/>
                <w:color w:val="000000"/>
                <w:sz w:val="20"/>
                <w:szCs w:val="20"/>
              </w:rPr>
              <w:t>NFQT10</w:t>
            </w:r>
          </w:p>
        </w:tc>
        <w:tc>
          <w:tcPr>
            <w:tcW w:w="2319" w:type="dxa"/>
            <w:tcBorders>
              <w:top w:val="single" w:sz="6" w:space="0" w:color="auto"/>
              <w:left w:val="single" w:sz="6" w:space="0" w:color="auto"/>
              <w:bottom w:val="single" w:sz="6" w:space="0" w:color="auto"/>
              <w:right w:val="single" w:sz="6" w:space="0" w:color="auto"/>
            </w:tcBorders>
            <w:vAlign w:val="center"/>
          </w:tcPr>
          <w:p w14:paraId="353AAB01" w14:textId="7801E4AB" w:rsidR="000854C4" w:rsidRPr="00120699" w:rsidRDefault="000854C4" w:rsidP="00A2382A">
            <w:pPr>
              <w:jc w:val="center"/>
              <w:rPr>
                <w:rFonts w:ascii="Arial Narrow" w:hAnsi="Arial Narrow"/>
                <w:color w:val="000000"/>
                <w:sz w:val="20"/>
                <w:szCs w:val="20"/>
              </w:rPr>
            </w:pPr>
            <w:r>
              <w:rPr>
                <w:rFonts w:ascii="Arial Narrow" w:hAnsi="Arial Narrow"/>
                <w:color w:val="000000"/>
                <w:sz w:val="20"/>
                <w:szCs w:val="20"/>
              </w:rPr>
              <w:t>Roanoke River near 4AROA198.08</w:t>
            </w:r>
          </w:p>
        </w:tc>
        <w:tc>
          <w:tcPr>
            <w:tcW w:w="2318" w:type="dxa"/>
            <w:tcBorders>
              <w:top w:val="single" w:sz="6" w:space="0" w:color="auto"/>
              <w:left w:val="single" w:sz="6" w:space="0" w:color="auto"/>
              <w:bottom w:val="single" w:sz="6" w:space="0" w:color="auto"/>
              <w:right w:val="single" w:sz="6" w:space="0" w:color="auto"/>
            </w:tcBorders>
            <w:vAlign w:val="center"/>
          </w:tcPr>
          <w:p w14:paraId="26BF2533" w14:textId="3A440F01" w:rsidR="000854C4" w:rsidRPr="00120699" w:rsidRDefault="000854C4" w:rsidP="00A2382A">
            <w:pPr>
              <w:jc w:val="center"/>
              <w:rPr>
                <w:rFonts w:ascii="Arial Narrow" w:hAnsi="Arial Narrow"/>
                <w:color w:val="000000"/>
                <w:sz w:val="20"/>
                <w:szCs w:val="20"/>
              </w:rPr>
            </w:pPr>
            <w:r>
              <w:rPr>
                <w:rFonts w:ascii="Arial Narrow" w:hAnsi="Arial Narrow"/>
                <w:color w:val="000000"/>
                <w:sz w:val="20"/>
                <w:szCs w:val="20"/>
              </w:rPr>
              <w:t>35.57</w:t>
            </w:r>
          </w:p>
        </w:tc>
        <w:tc>
          <w:tcPr>
            <w:tcW w:w="2319" w:type="dxa"/>
            <w:tcBorders>
              <w:top w:val="single" w:sz="6" w:space="0" w:color="auto"/>
              <w:left w:val="single" w:sz="6" w:space="0" w:color="auto"/>
              <w:bottom w:val="single" w:sz="6" w:space="0" w:color="auto"/>
              <w:right w:val="single" w:sz="6" w:space="0" w:color="auto"/>
            </w:tcBorders>
            <w:vAlign w:val="center"/>
          </w:tcPr>
          <w:p w14:paraId="0E02D538" w14:textId="17814D44" w:rsidR="000854C4" w:rsidRPr="00120699" w:rsidRDefault="000854C4" w:rsidP="00A2382A">
            <w:pPr>
              <w:jc w:val="center"/>
              <w:rPr>
                <w:rFonts w:ascii="Arial Narrow" w:hAnsi="Arial Narrow"/>
                <w:color w:val="000000"/>
                <w:sz w:val="20"/>
                <w:szCs w:val="20"/>
              </w:rPr>
            </w:pPr>
            <w:r>
              <w:rPr>
                <w:rFonts w:ascii="Arial Narrow" w:hAnsi="Arial Narrow"/>
                <w:color w:val="000000"/>
                <w:sz w:val="20"/>
                <w:szCs w:val="20"/>
              </w:rPr>
              <w:t>59.04</w:t>
            </w:r>
          </w:p>
        </w:tc>
      </w:tr>
    </w:tbl>
    <w:p w14:paraId="398A8695" w14:textId="0BD05A99" w:rsidR="00B2617E" w:rsidRDefault="00B2617E" w:rsidP="00616876">
      <w:pPr>
        <w:spacing w:before="120" w:after="120" w:line="360" w:lineRule="auto"/>
      </w:pPr>
    </w:p>
    <w:p w14:paraId="53304771" w14:textId="77777777" w:rsidR="00B2617E" w:rsidRDefault="00B2617E" w:rsidP="00616876">
      <w:pPr>
        <w:spacing w:before="120" w:after="120" w:line="360" w:lineRule="auto"/>
      </w:pPr>
    </w:p>
    <w:p w14:paraId="334414F2" w14:textId="77777777" w:rsidR="008A1F50" w:rsidRPr="007E72F0" w:rsidRDefault="008A1F50" w:rsidP="008A1F50">
      <w:pPr>
        <w:pStyle w:val="Heading1"/>
      </w:pPr>
      <w:bookmarkStart w:id="198" w:name="_Toc162948187"/>
      <w:r w:rsidRPr="007E72F0">
        <w:t>Causal Analysis</w:t>
      </w:r>
      <w:bookmarkEnd w:id="198"/>
    </w:p>
    <w:p w14:paraId="55E45C49" w14:textId="51050127" w:rsidR="008A1F50" w:rsidRPr="007E72F0" w:rsidRDefault="008A1F50" w:rsidP="008A1F50">
      <w:pPr>
        <w:spacing w:before="120" w:after="120" w:line="360" w:lineRule="auto"/>
      </w:pPr>
      <w:r w:rsidRPr="007E72F0">
        <w:rPr>
          <w:noProof/>
        </w:rPr>
        <w:t xml:space="preserve">JMU conducted this stressor identification analysis according to EPA’s Stressor Identification Guidance Document (USEPA, 2000b) using the Causal Analysis/Diagnosis Decision Information System (CADDIS) (USEPA, 2018a). The CADDIS approach provides guidance on evaluating various lines of evidence to determine the cause of biological impairments. JMU used the available data collected from the site, published water quality standards and threshold values, and available literature from other cases to investigate the potential causes of impairment. </w:t>
      </w:r>
      <w:r w:rsidRPr="007E72F0">
        <w:rPr>
          <w:noProof/>
        </w:rPr>
        <w:fldChar w:fldCharType="begin"/>
      </w:r>
      <w:r w:rsidRPr="007E72F0">
        <w:rPr>
          <w:noProof/>
        </w:rPr>
        <w:instrText xml:space="preserve"> REF _Ref45805352 \h  \* MERGEFORMAT </w:instrText>
      </w:r>
      <w:r w:rsidRPr="007E72F0">
        <w:rPr>
          <w:noProof/>
        </w:rPr>
      </w:r>
      <w:r w:rsidRPr="007E72F0">
        <w:rPr>
          <w:noProof/>
        </w:rPr>
        <w:fldChar w:fldCharType="separate"/>
      </w:r>
      <w:r w:rsidR="004A78BF" w:rsidRPr="007E72F0">
        <w:t xml:space="preserve">Table </w:t>
      </w:r>
      <w:r w:rsidR="004A78BF">
        <w:rPr>
          <w:noProof/>
        </w:rPr>
        <w:t>25</w:t>
      </w:r>
      <w:r w:rsidRPr="007E72F0">
        <w:rPr>
          <w:noProof/>
        </w:rPr>
        <w:fldChar w:fldCharType="end"/>
      </w:r>
      <w:r w:rsidRPr="007E72F0">
        <w:rPr>
          <w:noProof/>
        </w:rPr>
        <w:t xml:space="preserve"> shows the lines of evidence suggested by the CADDIS approach, an explanation of the concept, and examples of how these lines of evidence were analyzed in this project. Some lines of evidence were not applicable, such as the analysis of biomarkers, field manipulations, or laboratory experiments. The majority of the lines of evidence, however, were investigated for this project.</w:t>
      </w:r>
    </w:p>
    <w:p w14:paraId="25F4D494" w14:textId="77777777" w:rsidR="008A1F50" w:rsidRPr="007E72F0" w:rsidRDefault="008A1F50" w:rsidP="005E4B50">
      <w:pPr>
        <w:spacing w:line="240" w:lineRule="auto"/>
      </w:pPr>
    </w:p>
    <w:p w14:paraId="3C8BFBB8" w14:textId="098C6CDC" w:rsidR="008A1F50" w:rsidRPr="007E72F0" w:rsidRDefault="008A1F50" w:rsidP="008A1F50">
      <w:pPr>
        <w:pStyle w:val="Caption"/>
      </w:pPr>
      <w:bookmarkStart w:id="199" w:name="_Ref45805352"/>
      <w:bookmarkStart w:id="200" w:name="_Toc162948292"/>
      <w:r w:rsidRPr="007E72F0">
        <w:t xml:space="preserve">Table </w:t>
      </w:r>
      <w:r w:rsidRPr="007E72F0">
        <w:rPr>
          <w:noProof/>
        </w:rPr>
        <w:fldChar w:fldCharType="begin"/>
      </w:r>
      <w:r w:rsidRPr="007E72F0">
        <w:rPr>
          <w:noProof/>
        </w:rPr>
        <w:instrText xml:space="preserve"> SEQ Table \* ARABIC </w:instrText>
      </w:r>
      <w:r w:rsidRPr="007E72F0">
        <w:rPr>
          <w:noProof/>
        </w:rPr>
        <w:fldChar w:fldCharType="separate"/>
      </w:r>
      <w:r w:rsidR="004A78BF">
        <w:rPr>
          <w:noProof/>
        </w:rPr>
        <w:t>25</w:t>
      </w:r>
      <w:r w:rsidRPr="007E72F0">
        <w:rPr>
          <w:noProof/>
        </w:rPr>
        <w:fldChar w:fldCharType="end"/>
      </w:r>
      <w:bookmarkEnd w:id="199"/>
      <w:r w:rsidRPr="007E72F0">
        <w:t>. Lines of evidence used in the causal analysis approach.</w:t>
      </w:r>
      <w:bookmarkEnd w:id="200"/>
    </w:p>
    <w:tbl>
      <w:tblPr>
        <w:tblW w:w="9364" w:type="dxa"/>
        <w:tblInd w:w="78" w:type="dxa"/>
        <w:tblLayout w:type="fixed"/>
        <w:tblLook w:val="0000" w:firstRow="0" w:lastRow="0" w:firstColumn="0" w:lastColumn="0" w:noHBand="0" w:noVBand="0"/>
      </w:tblPr>
      <w:tblGrid>
        <w:gridCol w:w="1804"/>
        <w:gridCol w:w="4950"/>
        <w:gridCol w:w="2610"/>
      </w:tblGrid>
      <w:tr w:rsidR="008A1F50" w:rsidRPr="007E72F0" w14:paraId="3302CB04" w14:textId="77777777" w:rsidTr="00153A61">
        <w:trPr>
          <w:trHeight w:val="247"/>
        </w:trPr>
        <w:tc>
          <w:tcPr>
            <w:tcW w:w="1804" w:type="dxa"/>
            <w:tcBorders>
              <w:top w:val="single" w:sz="6" w:space="0" w:color="auto"/>
              <w:left w:val="single" w:sz="6" w:space="0" w:color="auto"/>
              <w:bottom w:val="single" w:sz="6" w:space="0" w:color="auto"/>
              <w:right w:val="single" w:sz="6" w:space="0" w:color="auto"/>
            </w:tcBorders>
            <w:shd w:val="clear" w:color="auto" w:fill="E0E0E0"/>
          </w:tcPr>
          <w:p w14:paraId="6144A665" w14:textId="77777777" w:rsidR="008A1F50" w:rsidRPr="007E72F0" w:rsidRDefault="008A1F50" w:rsidP="00153A61">
            <w:pPr>
              <w:jc w:val="left"/>
              <w:rPr>
                <w:rFonts w:ascii="Arial Narrow" w:hAnsi="Arial Narrow"/>
                <w:b/>
                <w:sz w:val="20"/>
                <w:szCs w:val="20"/>
              </w:rPr>
            </w:pPr>
            <w:r w:rsidRPr="007E72F0">
              <w:rPr>
                <w:rFonts w:ascii="Arial Narrow" w:hAnsi="Arial Narrow"/>
                <w:b/>
                <w:sz w:val="20"/>
                <w:szCs w:val="20"/>
              </w:rPr>
              <w:t>Evidence</w:t>
            </w:r>
          </w:p>
        </w:tc>
        <w:tc>
          <w:tcPr>
            <w:tcW w:w="4950" w:type="dxa"/>
            <w:tcBorders>
              <w:top w:val="single" w:sz="6" w:space="0" w:color="auto"/>
              <w:left w:val="single" w:sz="6" w:space="0" w:color="auto"/>
              <w:bottom w:val="single" w:sz="6" w:space="0" w:color="auto"/>
              <w:right w:val="single" w:sz="6" w:space="0" w:color="auto"/>
            </w:tcBorders>
            <w:shd w:val="clear" w:color="auto" w:fill="E0E0E0"/>
          </w:tcPr>
          <w:p w14:paraId="21B067C1" w14:textId="77777777" w:rsidR="008A1F50" w:rsidRPr="007E72F0" w:rsidRDefault="008A1F50" w:rsidP="00153A61">
            <w:pPr>
              <w:rPr>
                <w:rFonts w:ascii="Arial Narrow" w:hAnsi="Arial Narrow"/>
                <w:b/>
                <w:sz w:val="20"/>
                <w:szCs w:val="20"/>
              </w:rPr>
            </w:pPr>
            <w:r w:rsidRPr="007E72F0">
              <w:rPr>
                <w:rFonts w:ascii="Arial Narrow" w:hAnsi="Arial Narrow"/>
                <w:b/>
                <w:sz w:val="20"/>
                <w:szCs w:val="20"/>
              </w:rPr>
              <w:t>The Concept</w:t>
            </w:r>
          </w:p>
        </w:tc>
        <w:tc>
          <w:tcPr>
            <w:tcW w:w="2610" w:type="dxa"/>
            <w:tcBorders>
              <w:top w:val="single" w:sz="6" w:space="0" w:color="auto"/>
              <w:left w:val="single" w:sz="6" w:space="0" w:color="auto"/>
              <w:bottom w:val="single" w:sz="6" w:space="0" w:color="auto"/>
              <w:right w:val="single" w:sz="6" w:space="0" w:color="auto"/>
            </w:tcBorders>
            <w:shd w:val="clear" w:color="auto" w:fill="E0E0E0"/>
          </w:tcPr>
          <w:p w14:paraId="078922A5" w14:textId="77777777" w:rsidR="008A1F50" w:rsidRPr="007E72F0" w:rsidRDefault="008A1F50" w:rsidP="00153A61">
            <w:pPr>
              <w:rPr>
                <w:rFonts w:ascii="Arial Narrow" w:hAnsi="Arial Narrow"/>
                <w:b/>
                <w:sz w:val="20"/>
                <w:szCs w:val="20"/>
              </w:rPr>
            </w:pPr>
            <w:r w:rsidRPr="007E72F0">
              <w:rPr>
                <w:rFonts w:ascii="Arial Narrow" w:hAnsi="Arial Narrow"/>
                <w:b/>
                <w:sz w:val="20"/>
                <w:szCs w:val="20"/>
              </w:rPr>
              <w:t>Examples from this Project</w:t>
            </w:r>
          </w:p>
        </w:tc>
      </w:tr>
      <w:tr w:rsidR="008A1F50" w:rsidRPr="007E72F0" w14:paraId="7D45F9A2" w14:textId="77777777" w:rsidTr="00153A61">
        <w:trPr>
          <w:trHeight w:val="247"/>
        </w:trPr>
        <w:tc>
          <w:tcPr>
            <w:tcW w:w="9364" w:type="dxa"/>
            <w:gridSpan w:val="3"/>
            <w:tcBorders>
              <w:top w:val="single" w:sz="6" w:space="0" w:color="auto"/>
              <w:left w:val="single" w:sz="6" w:space="0" w:color="auto"/>
              <w:bottom w:val="single" w:sz="6" w:space="0" w:color="auto"/>
              <w:right w:val="single" w:sz="6" w:space="0" w:color="auto"/>
            </w:tcBorders>
          </w:tcPr>
          <w:p w14:paraId="0D331F57" w14:textId="77777777" w:rsidR="008A1F50" w:rsidRPr="007E72F0" w:rsidRDefault="008A1F50" w:rsidP="00153A61">
            <w:pPr>
              <w:jc w:val="center"/>
              <w:rPr>
                <w:rFonts w:ascii="Arial Narrow" w:hAnsi="Arial Narrow"/>
                <w:b/>
                <w:sz w:val="20"/>
                <w:szCs w:val="20"/>
              </w:rPr>
            </w:pPr>
            <w:r w:rsidRPr="007E72F0">
              <w:rPr>
                <w:rFonts w:ascii="Arial Narrow" w:hAnsi="Arial Narrow"/>
                <w:b/>
                <w:sz w:val="20"/>
                <w:szCs w:val="20"/>
              </w:rPr>
              <w:t>Data from the Case</w:t>
            </w:r>
          </w:p>
        </w:tc>
      </w:tr>
      <w:tr w:rsidR="008A1F50" w:rsidRPr="007E72F0" w14:paraId="5B9A8492" w14:textId="77777777" w:rsidTr="00153A61">
        <w:trPr>
          <w:trHeight w:val="247"/>
        </w:trPr>
        <w:tc>
          <w:tcPr>
            <w:tcW w:w="1804" w:type="dxa"/>
            <w:tcBorders>
              <w:top w:val="single" w:sz="6" w:space="0" w:color="auto"/>
              <w:left w:val="single" w:sz="6" w:space="0" w:color="auto"/>
              <w:bottom w:val="single" w:sz="6" w:space="0" w:color="auto"/>
              <w:right w:val="single" w:sz="6" w:space="0" w:color="auto"/>
            </w:tcBorders>
          </w:tcPr>
          <w:p w14:paraId="0086C26D" w14:textId="77777777" w:rsidR="008A1F50" w:rsidRPr="007E72F0" w:rsidRDefault="008A1F50" w:rsidP="00153A61">
            <w:pPr>
              <w:jc w:val="left"/>
              <w:rPr>
                <w:rFonts w:ascii="Arial Narrow" w:hAnsi="Arial Narrow"/>
                <w:sz w:val="20"/>
                <w:szCs w:val="20"/>
              </w:rPr>
            </w:pPr>
            <w:r w:rsidRPr="007E72F0">
              <w:rPr>
                <w:rFonts w:ascii="Arial Narrow" w:hAnsi="Arial Narrow"/>
                <w:sz w:val="20"/>
                <w:szCs w:val="20"/>
              </w:rPr>
              <w:t>Spatial Co-occurrence</w:t>
            </w:r>
          </w:p>
        </w:tc>
        <w:tc>
          <w:tcPr>
            <w:tcW w:w="4950" w:type="dxa"/>
            <w:tcBorders>
              <w:top w:val="single" w:sz="6" w:space="0" w:color="auto"/>
              <w:left w:val="single" w:sz="6" w:space="0" w:color="auto"/>
              <w:bottom w:val="single" w:sz="6" w:space="0" w:color="auto"/>
              <w:right w:val="single" w:sz="6" w:space="0" w:color="auto"/>
            </w:tcBorders>
          </w:tcPr>
          <w:p w14:paraId="4CDD8BC4" w14:textId="77777777" w:rsidR="008A1F50" w:rsidRPr="007E72F0" w:rsidRDefault="008A1F50" w:rsidP="00153A61">
            <w:pPr>
              <w:rPr>
                <w:rFonts w:ascii="Arial Narrow" w:hAnsi="Arial Narrow"/>
                <w:sz w:val="20"/>
                <w:szCs w:val="20"/>
              </w:rPr>
            </w:pPr>
            <w:r w:rsidRPr="007E72F0">
              <w:rPr>
                <w:rFonts w:ascii="Arial Narrow" w:hAnsi="Arial Narrow"/>
                <w:sz w:val="20"/>
                <w:szCs w:val="20"/>
              </w:rPr>
              <w:t>The biological effect must be observed where the cause is observed, and must not be observed where the cause is absent.</w:t>
            </w:r>
          </w:p>
        </w:tc>
        <w:tc>
          <w:tcPr>
            <w:tcW w:w="2610" w:type="dxa"/>
            <w:tcBorders>
              <w:top w:val="single" w:sz="6" w:space="0" w:color="auto"/>
              <w:left w:val="single" w:sz="6" w:space="0" w:color="auto"/>
              <w:bottom w:val="single" w:sz="6" w:space="0" w:color="auto"/>
              <w:right w:val="single" w:sz="6" w:space="0" w:color="auto"/>
            </w:tcBorders>
          </w:tcPr>
          <w:p w14:paraId="6A47B292" w14:textId="77777777" w:rsidR="008A1F50" w:rsidRPr="007E72F0" w:rsidRDefault="008A1F50" w:rsidP="00153A61">
            <w:pPr>
              <w:rPr>
                <w:rFonts w:ascii="Arial Narrow" w:hAnsi="Arial Narrow"/>
                <w:sz w:val="20"/>
                <w:szCs w:val="20"/>
              </w:rPr>
            </w:pPr>
            <w:r w:rsidRPr="007E72F0">
              <w:rPr>
                <w:rFonts w:ascii="Arial Narrow" w:hAnsi="Arial Narrow"/>
                <w:sz w:val="20"/>
                <w:szCs w:val="20"/>
              </w:rPr>
              <w:t>Analysis of water quality and habitat data across stations</w:t>
            </w:r>
          </w:p>
        </w:tc>
      </w:tr>
      <w:tr w:rsidR="008A1F50" w:rsidRPr="007E72F0" w14:paraId="205B0E7A" w14:textId="77777777" w:rsidTr="00153A61">
        <w:trPr>
          <w:trHeight w:val="247"/>
        </w:trPr>
        <w:tc>
          <w:tcPr>
            <w:tcW w:w="1804" w:type="dxa"/>
            <w:tcBorders>
              <w:top w:val="single" w:sz="6" w:space="0" w:color="auto"/>
              <w:left w:val="single" w:sz="6" w:space="0" w:color="auto"/>
              <w:bottom w:val="single" w:sz="6" w:space="0" w:color="auto"/>
              <w:right w:val="single" w:sz="6" w:space="0" w:color="auto"/>
            </w:tcBorders>
          </w:tcPr>
          <w:p w14:paraId="51DCC6B4" w14:textId="77777777" w:rsidR="008A1F50" w:rsidRPr="007E72F0" w:rsidRDefault="008A1F50" w:rsidP="00153A61">
            <w:pPr>
              <w:jc w:val="left"/>
              <w:rPr>
                <w:rFonts w:ascii="Arial Narrow" w:hAnsi="Arial Narrow"/>
                <w:sz w:val="20"/>
                <w:szCs w:val="20"/>
              </w:rPr>
            </w:pPr>
            <w:r w:rsidRPr="007E72F0">
              <w:rPr>
                <w:rFonts w:ascii="Arial Narrow" w:hAnsi="Arial Narrow"/>
                <w:sz w:val="20"/>
                <w:szCs w:val="20"/>
              </w:rPr>
              <w:t>Temporal Co-occurrence</w:t>
            </w:r>
          </w:p>
        </w:tc>
        <w:tc>
          <w:tcPr>
            <w:tcW w:w="4950" w:type="dxa"/>
            <w:tcBorders>
              <w:top w:val="single" w:sz="6" w:space="0" w:color="auto"/>
              <w:left w:val="single" w:sz="6" w:space="0" w:color="auto"/>
              <w:bottom w:val="single" w:sz="6" w:space="0" w:color="auto"/>
              <w:right w:val="single" w:sz="6" w:space="0" w:color="auto"/>
            </w:tcBorders>
          </w:tcPr>
          <w:p w14:paraId="1DBFD649" w14:textId="77777777" w:rsidR="008A1F50" w:rsidRPr="007E72F0" w:rsidRDefault="008A1F50" w:rsidP="00153A61">
            <w:pPr>
              <w:rPr>
                <w:rFonts w:ascii="Arial Narrow" w:hAnsi="Arial Narrow"/>
                <w:sz w:val="20"/>
                <w:szCs w:val="20"/>
              </w:rPr>
            </w:pPr>
            <w:r w:rsidRPr="007E72F0">
              <w:rPr>
                <w:rFonts w:ascii="Arial Narrow" w:hAnsi="Arial Narrow"/>
                <w:sz w:val="20"/>
                <w:szCs w:val="20"/>
              </w:rPr>
              <w:t>The biological effect must be observed when the cause is observed, and must not be observed when the cause is absent.</w:t>
            </w:r>
          </w:p>
        </w:tc>
        <w:tc>
          <w:tcPr>
            <w:tcW w:w="2610" w:type="dxa"/>
            <w:tcBorders>
              <w:top w:val="single" w:sz="6" w:space="0" w:color="auto"/>
              <w:left w:val="single" w:sz="6" w:space="0" w:color="auto"/>
              <w:bottom w:val="single" w:sz="6" w:space="0" w:color="auto"/>
              <w:right w:val="single" w:sz="6" w:space="0" w:color="auto"/>
            </w:tcBorders>
          </w:tcPr>
          <w:p w14:paraId="638C81C3" w14:textId="77777777" w:rsidR="008A1F50" w:rsidRPr="007E72F0" w:rsidRDefault="008A1F50" w:rsidP="00153A61">
            <w:pPr>
              <w:rPr>
                <w:rFonts w:ascii="Arial Narrow" w:hAnsi="Arial Narrow"/>
                <w:sz w:val="20"/>
                <w:szCs w:val="20"/>
              </w:rPr>
            </w:pPr>
            <w:r w:rsidRPr="007E72F0">
              <w:rPr>
                <w:rFonts w:ascii="Arial Narrow" w:hAnsi="Arial Narrow"/>
                <w:sz w:val="20"/>
                <w:szCs w:val="20"/>
              </w:rPr>
              <w:t>Analysis of temporal trends in benthic data</w:t>
            </w:r>
          </w:p>
        </w:tc>
      </w:tr>
      <w:tr w:rsidR="008A1F50" w:rsidRPr="007E72F0" w14:paraId="61FAC268" w14:textId="77777777" w:rsidTr="00153A61">
        <w:trPr>
          <w:trHeight w:val="247"/>
        </w:trPr>
        <w:tc>
          <w:tcPr>
            <w:tcW w:w="1804" w:type="dxa"/>
            <w:tcBorders>
              <w:top w:val="single" w:sz="6" w:space="0" w:color="auto"/>
              <w:left w:val="single" w:sz="6" w:space="0" w:color="auto"/>
              <w:bottom w:val="single" w:sz="6" w:space="0" w:color="auto"/>
              <w:right w:val="single" w:sz="6" w:space="0" w:color="auto"/>
            </w:tcBorders>
          </w:tcPr>
          <w:p w14:paraId="604722BA" w14:textId="77777777" w:rsidR="008A1F50" w:rsidRPr="007E72F0" w:rsidRDefault="008A1F50" w:rsidP="00153A61">
            <w:pPr>
              <w:jc w:val="left"/>
              <w:rPr>
                <w:rFonts w:ascii="Arial Narrow" w:hAnsi="Arial Narrow"/>
                <w:sz w:val="20"/>
                <w:szCs w:val="20"/>
              </w:rPr>
            </w:pPr>
            <w:r w:rsidRPr="007E72F0">
              <w:rPr>
                <w:rFonts w:ascii="Arial Narrow" w:hAnsi="Arial Narrow"/>
                <w:sz w:val="20"/>
                <w:szCs w:val="20"/>
              </w:rPr>
              <w:t>Evidence of Exposure or Biological Mechanism</w:t>
            </w:r>
          </w:p>
        </w:tc>
        <w:tc>
          <w:tcPr>
            <w:tcW w:w="4950" w:type="dxa"/>
            <w:tcBorders>
              <w:top w:val="single" w:sz="6" w:space="0" w:color="auto"/>
              <w:left w:val="single" w:sz="6" w:space="0" w:color="auto"/>
              <w:bottom w:val="single" w:sz="6" w:space="0" w:color="auto"/>
              <w:right w:val="single" w:sz="6" w:space="0" w:color="auto"/>
            </w:tcBorders>
          </w:tcPr>
          <w:p w14:paraId="240C338E" w14:textId="77777777" w:rsidR="008A1F50" w:rsidRPr="007E72F0" w:rsidRDefault="008A1F50" w:rsidP="00153A61">
            <w:pPr>
              <w:rPr>
                <w:rFonts w:ascii="Arial Narrow" w:hAnsi="Arial Narrow"/>
                <w:sz w:val="20"/>
                <w:szCs w:val="20"/>
              </w:rPr>
            </w:pPr>
            <w:r w:rsidRPr="007E72F0">
              <w:rPr>
                <w:rFonts w:ascii="Arial Narrow" w:hAnsi="Arial Narrow"/>
                <w:sz w:val="20"/>
                <w:szCs w:val="20"/>
              </w:rPr>
              <w:t>Measurements of the biota show that relevant exposure to the cause has occurred, or that other biological mechanisms linking the cause to the effect have occurred.</w:t>
            </w:r>
          </w:p>
        </w:tc>
        <w:tc>
          <w:tcPr>
            <w:tcW w:w="2610" w:type="dxa"/>
            <w:tcBorders>
              <w:top w:val="single" w:sz="6" w:space="0" w:color="auto"/>
              <w:left w:val="single" w:sz="6" w:space="0" w:color="auto"/>
              <w:bottom w:val="single" w:sz="6" w:space="0" w:color="auto"/>
              <w:right w:val="single" w:sz="6" w:space="0" w:color="auto"/>
            </w:tcBorders>
          </w:tcPr>
          <w:p w14:paraId="03229D57" w14:textId="77777777" w:rsidR="008A1F50" w:rsidRPr="007E72F0" w:rsidRDefault="008A1F50" w:rsidP="00153A61">
            <w:pPr>
              <w:rPr>
                <w:rFonts w:ascii="Arial Narrow" w:hAnsi="Arial Narrow"/>
                <w:sz w:val="20"/>
                <w:szCs w:val="20"/>
              </w:rPr>
            </w:pPr>
            <w:r w:rsidRPr="007E72F0">
              <w:rPr>
                <w:rFonts w:ascii="Arial Narrow" w:hAnsi="Arial Narrow"/>
                <w:sz w:val="20"/>
                <w:szCs w:val="20"/>
              </w:rPr>
              <w:t>NA</w:t>
            </w:r>
          </w:p>
        </w:tc>
      </w:tr>
      <w:tr w:rsidR="008A1F50" w:rsidRPr="007E72F0" w14:paraId="428D1C24" w14:textId="77777777" w:rsidTr="00153A61">
        <w:trPr>
          <w:trHeight w:val="247"/>
        </w:trPr>
        <w:tc>
          <w:tcPr>
            <w:tcW w:w="1804" w:type="dxa"/>
            <w:tcBorders>
              <w:top w:val="single" w:sz="6" w:space="0" w:color="auto"/>
              <w:left w:val="single" w:sz="6" w:space="0" w:color="auto"/>
              <w:bottom w:val="single" w:sz="6" w:space="0" w:color="auto"/>
              <w:right w:val="single" w:sz="6" w:space="0" w:color="auto"/>
            </w:tcBorders>
          </w:tcPr>
          <w:p w14:paraId="6C010BA3" w14:textId="77777777" w:rsidR="008A1F50" w:rsidRPr="007E72F0" w:rsidRDefault="008A1F50" w:rsidP="00153A61">
            <w:pPr>
              <w:jc w:val="left"/>
              <w:rPr>
                <w:rFonts w:ascii="Arial Narrow" w:hAnsi="Arial Narrow"/>
                <w:sz w:val="20"/>
                <w:szCs w:val="20"/>
              </w:rPr>
            </w:pPr>
            <w:r w:rsidRPr="007E72F0">
              <w:rPr>
                <w:rFonts w:ascii="Arial Narrow" w:hAnsi="Arial Narrow"/>
                <w:sz w:val="20"/>
                <w:szCs w:val="20"/>
              </w:rPr>
              <w:t>Causal Pathway</w:t>
            </w:r>
          </w:p>
        </w:tc>
        <w:tc>
          <w:tcPr>
            <w:tcW w:w="4950" w:type="dxa"/>
            <w:tcBorders>
              <w:top w:val="single" w:sz="6" w:space="0" w:color="auto"/>
              <w:left w:val="single" w:sz="6" w:space="0" w:color="auto"/>
              <w:bottom w:val="single" w:sz="6" w:space="0" w:color="auto"/>
              <w:right w:val="single" w:sz="6" w:space="0" w:color="auto"/>
            </w:tcBorders>
          </w:tcPr>
          <w:p w14:paraId="7F2866B8" w14:textId="77777777" w:rsidR="008A1F50" w:rsidRPr="007E72F0" w:rsidRDefault="008A1F50" w:rsidP="00153A61">
            <w:pPr>
              <w:rPr>
                <w:rFonts w:ascii="Arial Narrow" w:hAnsi="Arial Narrow"/>
                <w:sz w:val="20"/>
                <w:szCs w:val="20"/>
              </w:rPr>
            </w:pPr>
            <w:r w:rsidRPr="007E72F0">
              <w:rPr>
                <w:rFonts w:ascii="Arial Narrow" w:hAnsi="Arial Narrow"/>
                <w:sz w:val="20"/>
                <w:szCs w:val="20"/>
              </w:rPr>
              <w:t>Steps in the pathways linking sources to the cause can serve as supplementary or surrogate indicators that the cause and the biological effect are likely to have co-occurred.</w:t>
            </w:r>
          </w:p>
        </w:tc>
        <w:tc>
          <w:tcPr>
            <w:tcW w:w="2610" w:type="dxa"/>
            <w:tcBorders>
              <w:top w:val="single" w:sz="6" w:space="0" w:color="auto"/>
              <w:left w:val="single" w:sz="6" w:space="0" w:color="auto"/>
              <w:bottom w:val="single" w:sz="6" w:space="0" w:color="auto"/>
              <w:right w:val="single" w:sz="6" w:space="0" w:color="auto"/>
            </w:tcBorders>
          </w:tcPr>
          <w:p w14:paraId="4BF9A072" w14:textId="77777777" w:rsidR="008A1F50" w:rsidRPr="007E72F0" w:rsidRDefault="008A1F50" w:rsidP="00153A61">
            <w:pPr>
              <w:rPr>
                <w:rFonts w:ascii="Arial Narrow" w:hAnsi="Arial Narrow"/>
                <w:sz w:val="20"/>
                <w:szCs w:val="20"/>
              </w:rPr>
            </w:pPr>
            <w:r w:rsidRPr="007E72F0">
              <w:rPr>
                <w:rFonts w:ascii="Arial Narrow" w:hAnsi="Arial Narrow"/>
                <w:sz w:val="20"/>
                <w:szCs w:val="20"/>
              </w:rPr>
              <w:t>Development and analysis of causal pathways for stressors</w:t>
            </w:r>
          </w:p>
        </w:tc>
      </w:tr>
      <w:tr w:rsidR="008A1F50" w:rsidRPr="007E72F0" w14:paraId="4B519D3B" w14:textId="77777777" w:rsidTr="00153A61">
        <w:trPr>
          <w:trHeight w:val="247"/>
        </w:trPr>
        <w:tc>
          <w:tcPr>
            <w:tcW w:w="1804" w:type="dxa"/>
            <w:tcBorders>
              <w:top w:val="single" w:sz="6" w:space="0" w:color="auto"/>
              <w:left w:val="single" w:sz="6" w:space="0" w:color="auto"/>
              <w:bottom w:val="single" w:sz="6" w:space="0" w:color="auto"/>
              <w:right w:val="single" w:sz="6" w:space="0" w:color="auto"/>
            </w:tcBorders>
          </w:tcPr>
          <w:p w14:paraId="3A7D6C0B" w14:textId="77777777" w:rsidR="008A1F50" w:rsidRPr="007E72F0" w:rsidRDefault="008A1F50" w:rsidP="00153A61">
            <w:pPr>
              <w:jc w:val="left"/>
              <w:rPr>
                <w:rFonts w:ascii="Arial Narrow" w:hAnsi="Arial Narrow"/>
                <w:sz w:val="20"/>
                <w:szCs w:val="20"/>
              </w:rPr>
            </w:pPr>
            <w:r w:rsidRPr="007E72F0">
              <w:rPr>
                <w:rFonts w:ascii="Arial Narrow" w:hAnsi="Arial Narrow"/>
                <w:sz w:val="20"/>
                <w:szCs w:val="20"/>
              </w:rPr>
              <w:t>Stressor-Response Relationships from the Field</w:t>
            </w:r>
          </w:p>
        </w:tc>
        <w:tc>
          <w:tcPr>
            <w:tcW w:w="4950" w:type="dxa"/>
            <w:tcBorders>
              <w:top w:val="single" w:sz="6" w:space="0" w:color="auto"/>
              <w:left w:val="single" w:sz="6" w:space="0" w:color="auto"/>
              <w:bottom w:val="single" w:sz="6" w:space="0" w:color="auto"/>
              <w:right w:val="single" w:sz="6" w:space="0" w:color="auto"/>
            </w:tcBorders>
          </w:tcPr>
          <w:p w14:paraId="78A6A91A" w14:textId="77777777" w:rsidR="008A1F50" w:rsidRPr="007E72F0" w:rsidRDefault="008A1F50" w:rsidP="00153A61">
            <w:pPr>
              <w:rPr>
                <w:rFonts w:ascii="Arial Narrow" w:hAnsi="Arial Narrow"/>
                <w:sz w:val="20"/>
                <w:szCs w:val="20"/>
              </w:rPr>
            </w:pPr>
            <w:r w:rsidRPr="007E72F0">
              <w:rPr>
                <w:rFonts w:ascii="Arial Narrow" w:hAnsi="Arial Narrow"/>
                <w:sz w:val="20"/>
                <w:szCs w:val="20"/>
              </w:rPr>
              <w:t>As exposure to the cause increases, intensity or frequency of the biological effect increases; as exposure to the cause decreases, intensity or frequency of the biological effect decreases.</w:t>
            </w:r>
          </w:p>
        </w:tc>
        <w:tc>
          <w:tcPr>
            <w:tcW w:w="2610" w:type="dxa"/>
            <w:tcBorders>
              <w:top w:val="single" w:sz="6" w:space="0" w:color="auto"/>
              <w:left w:val="single" w:sz="6" w:space="0" w:color="auto"/>
              <w:bottom w:val="single" w:sz="6" w:space="0" w:color="auto"/>
              <w:right w:val="single" w:sz="6" w:space="0" w:color="auto"/>
            </w:tcBorders>
          </w:tcPr>
          <w:p w14:paraId="2CB232BF" w14:textId="77777777" w:rsidR="008A1F50" w:rsidRPr="007E72F0" w:rsidRDefault="008A1F50" w:rsidP="00153A61">
            <w:pPr>
              <w:rPr>
                <w:rFonts w:ascii="Arial Narrow" w:hAnsi="Arial Narrow"/>
                <w:sz w:val="20"/>
                <w:szCs w:val="20"/>
              </w:rPr>
            </w:pPr>
            <w:r w:rsidRPr="007E72F0">
              <w:rPr>
                <w:rFonts w:ascii="Arial Narrow" w:hAnsi="Arial Narrow"/>
                <w:sz w:val="20"/>
                <w:szCs w:val="20"/>
              </w:rPr>
              <w:t>Correlation of water quality data with benthic score</w:t>
            </w:r>
          </w:p>
        </w:tc>
      </w:tr>
      <w:tr w:rsidR="008A1F50" w:rsidRPr="007E72F0" w14:paraId="58A39987" w14:textId="77777777" w:rsidTr="00153A61">
        <w:trPr>
          <w:trHeight w:val="247"/>
        </w:trPr>
        <w:tc>
          <w:tcPr>
            <w:tcW w:w="1804" w:type="dxa"/>
            <w:tcBorders>
              <w:top w:val="single" w:sz="6" w:space="0" w:color="auto"/>
              <w:left w:val="single" w:sz="6" w:space="0" w:color="auto"/>
              <w:bottom w:val="single" w:sz="6" w:space="0" w:color="auto"/>
              <w:right w:val="single" w:sz="6" w:space="0" w:color="auto"/>
            </w:tcBorders>
          </w:tcPr>
          <w:p w14:paraId="1509C417" w14:textId="77777777" w:rsidR="008A1F50" w:rsidRPr="007E72F0" w:rsidRDefault="008A1F50" w:rsidP="00153A61">
            <w:pPr>
              <w:jc w:val="left"/>
              <w:rPr>
                <w:rFonts w:ascii="Arial Narrow" w:hAnsi="Arial Narrow"/>
                <w:sz w:val="20"/>
                <w:szCs w:val="20"/>
              </w:rPr>
            </w:pPr>
            <w:r w:rsidRPr="007E72F0">
              <w:rPr>
                <w:rFonts w:ascii="Arial Narrow" w:hAnsi="Arial Narrow"/>
                <w:sz w:val="20"/>
                <w:szCs w:val="20"/>
              </w:rPr>
              <w:t>Manipulation of Exposure</w:t>
            </w:r>
          </w:p>
        </w:tc>
        <w:tc>
          <w:tcPr>
            <w:tcW w:w="4950" w:type="dxa"/>
            <w:tcBorders>
              <w:top w:val="single" w:sz="6" w:space="0" w:color="auto"/>
              <w:left w:val="single" w:sz="6" w:space="0" w:color="auto"/>
              <w:bottom w:val="single" w:sz="6" w:space="0" w:color="auto"/>
              <w:right w:val="single" w:sz="6" w:space="0" w:color="auto"/>
            </w:tcBorders>
          </w:tcPr>
          <w:p w14:paraId="32B47029" w14:textId="77777777" w:rsidR="008A1F50" w:rsidRPr="007E72F0" w:rsidRDefault="008A1F50" w:rsidP="00153A61">
            <w:pPr>
              <w:rPr>
                <w:rFonts w:ascii="Arial Narrow" w:hAnsi="Arial Narrow"/>
                <w:sz w:val="20"/>
                <w:szCs w:val="20"/>
              </w:rPr>
            </w:pPr>
            <w:r w:rsidRPr="007E72F0">
              <w:rPr>
                <w:rFonts w:ascii="Arial Narrow" w:hAnsi="Arial Narrow"/>
                <w:sz w:val="20"/>
                <w:szCs w:val="20"/>
              </w:rPr>
              <w:t>Field experiments or management actions that increase or decrease exposure to a cause must increase or decrease the biological effect.</w:t>
            </w:r>
          </w:p>
        </w:tc>
        <w:tc>
          <w:tcPr>
            <w:tcW w:w="2610" w:type="dxa"/>
            <w:tcBorders>
              <w:top w:val="single" w:sz="6" w:space="0" w:color="auto"/>
              <w:left w:val="single" w:sz="6" w:space="0" w:color="auto"/>
              <w:bottom w:val="single" w:sz="6" w:space="0" w:color="auto"/>
              <w:right w:val="single" w:sz="6" w:space="0" w:color="auto"/>
            </w:tcBorders>
          </w:tcPr>
          <w:p w14:paraId="4F3FAB83" w14:textId="77777777" w:rsidR="008A1F50" w:rsidRPr="007E72F0" w:rsidRDefault="008A1F50" w:rsidP="00153A61">
            <w:pPr>
              <w:rPr>
                <w:rFonts w:ascii="Arial Narrow" w:hAnsi="Arial Narrow"/>
                <w:sz w:val="20"/>
                <w:szCs w:val="20"/>
              </w:rPr>
            </w:pPr>
            <w:r w:rsidRPr="007E72F0">
              <w:rPr>
                <w:rFonts w:ascii="Arial Narrow" w:hAnsi="Arial Narrow"/>
                <w:sz w:val="20"/>
                <w:szCs w:val="20"/>
              </w:rPr>
              <w:t>NA</w:t>
            </w:r>
          </w:p>
        </w:tc>
      </w:tr>
      <w:tr w:rsidR="008A1F50" w:rsidRPr="007E72F0" w14:paraId="563D8C13" w14:textId="77777777" w:rsidTr="00153A61">
        <w:trPr>
          <w:trHeight w:val="247"/>
        </w:trPr>
        <w:tc>
          <w:tcPr>
            <w:tcW w:w="1804" w:type="dxa"/>
            <w:tcBorders>
              <w:top w:val="single" w:sz="6" w:space="0" w:color="auto"/>
              <w:left w:val="single" w:sz="6" w:space="0" w:color="auto"/>
              <w:bottom w:val="single" w:sz="6" w:space="0" w:color="auto"/>
              <w:right w:val="single" w:sz="6" w:space="0" w:color="auto"/>
            </w:tcBorders>
          </w:tcPr>
          <w:p w14:paraId="1745C130" w14:textId="77777777" w:rsidR="008A1F50" w:rsidRPr="007E72F0" w:rsidRDefault="008A1F50" w:rsidP="00153A61">
            <w:pPr>
              <w:jc w:val="left"/>
              <w:rPr>
                <w:rFonts w:ascii="Arial Narrow" w:hAnsi="Arial Narrow"/>
                <w:sz w:val="20"/>
                <w:szCs w:val="20"/>
              </w:rPr>
            </w:pPr>
            <w:r w:rsidRPr="007E72F0">
              <w:rPr>
                <w:rFonts w:ascii="Arial Narrow" w:hAnsi="Arial Narrow"/>
                <w:sz w:val="20"/>
                <w:szCs w:val="20"/>
              </w:rPr>
              <w:t>Laboratory Tests of Site Media</w:t>
            </w:r>
          </w:p>
        </w:tc>
        <w:tc>
          <w:tcPr>
            <w:tcW w:w="4950" w:type="dxa"/>
            <w:tcBorders>
              <w:top w:val="single" w:sz="6" w:space="0" w:color="auto"/>
              <w:left w:val="single" w:sz="6" w:space="0" w:color="auto"/>
              <w:bottom w:val="single" w:sz="6" w:space="0" w:color="auto"/>
              <w:right w:val="single" w:sz="6" w:space="0" w:color="auto"/>
            </w:tcBorders>
          </w:tcPr>
          <w:p w14:paraId="6A110C8D" w14:textId="77777777" w:rsidR="008A1F50" w:rsidRPr="007E72F0" w:rsidRDefault="008A1F50" w:rsidP="00153A61">
            <w:pPr>
              <w:rPr>
                <w:rFonts w:ascii="Arial Narrow" w:hAnsi="Arial Narrow"/>
                <w:sz w:val="20"/>
                <w:szCs w:val="20"/>
              </w:rPr>
            </w:pPr>
            <w:r w:rsidRPr="007E72F0">
              <w:rPr>
                <w:rFonts w:ascii="Arial Narrow" w:hAnsi="Arial Narrow"/>
                <w:sz w:val="20"/>
                <w:szCs w:val="20"/>
              </w:rPr>
              <w:t>Controlled exposure in laboratory tests to causes (usually toxic substances) present in site media should induce biological effects consistent with the effects observed in the field.</w:t>
            </w:r>
          </w:p>
        </w:tc>
        <w:tc>
          <w:tcPr>
            <w:tcW w:w="2610" w:type="dxa"/>
            <w:tcBorders>
              <w:top w:val="single" w:sz="6" w:space="0" w:color="auto"/>
              <w:left w:val="single" w:sz="6" w:space="0" w:color="auto"/>
              <w:bottom w:val="single" w:sz="6" w:space="0" w:color="auto"/>
              <w:right w:val="single" w:sz="6" w:space="0" w:color="auto"/>
            </w:tcBorders>
          </w:tcPr>
          <w:p w14:paraId="2B1B6D51" w14:textId="77777777" w:rsidR="008A1F50" w:rsidRPr="007E72F0" w:rsidRDefault="008A1F50" w:rsidP="00153A61">
            <w:pPr>
              <w:rPr>
                <w:rFonts w:ascii="Arial Narrow" w:hAnsi="Arial Narrow"/>
                <w:sz w:val="20"/>
                <w:szCs w:val="20"/>
              </w:rPr>
            </w:pPr>
            <w:r w:rsidRPr="007E72F0">
              <w:rPr>
                <w:rFonts w:ascii="Arial Narrow" w:hAnsi="Arial Narrow"/>
                <w:sz w:val="20"/>
                <w:szCs w:val="20"/>
              </w:rPr>
              <w:t>NA</w:t>
            </w:r>
          </w:p>
        </w:tc>
      </w:tr>
      <w:tr w:rsidR="008A1F50" w:rsidRPr="007E72F0" w14:paraId="151EEE08" w14:textId="77777777" w:rsidTr="00153A61">
        <w:trPr>
          <w:trHeight w:val="247"/>
        </w:trPr>
        <w:tc>
          <w:tcPr>
            <w:tcW w:w="1804" w:type="dxa"/>
            <w:tcBorders>
              <w:top w:val="single" w:sz="6" w:space="0" w:color="auto"/>
              <w:left w:val="single" w:sz="6" w:space="0" w:color="auto"/>
              <w:bottom w:val="single" w:sz="6" w:space="0" w:color="auto"/>
              <w:right w:val="single" w:sz="6" w:space="0" w:color="auto"/>
            </w:tcBorders>
          </w:tcPr>
          <w:p w14:paraId="123391F7" w14:textId="77777777" w:rsidR="008A1F50" w:rsidRPr="007E72F0" w:rsidRDefault="008A1F50" w:rsidP="00153A61">
            <w:pPr>
              <w:jc w:val="left"/>
              <w:rPr>
                <w:rFonts w:ascii="Arial Narrow" w:hAnsi="Arial Narrow"/>
                <w:sz w:val="20"/>
                <w:szCs w:val="20"/>
              </w:rPr>
            </w:pPr>
            <w:r w:rsidRPr="007E72F0">
              <w:rPr>
                <w:rFonts w:ascii="Arial Narrow" w:hAnsi="Arial Narrow"/>
                <w:sz w:val="20"/>
                <w:szCs w:val="20"/>
              </w:rPr>
              <w:t>Temporal Sequence</w:t>
            </w:r>
          </w:p>
        </w:tc>
        <w:tc>
          <w:tcPr>
            <w:tcW w:w="4950" w:type="dxa"/>
            <w:tcBorders>
              <w:top w:val="single" w:sz="6" w:space="0" w:color="auto"/>
              <w:left w:val="single" w:sz="6" w:space="0" w:color="auto"/>
              <w:bottom w:val="single" w:sz="6" w:space="0" w:color="auto"/>
              <w:right w:val="single" w:sz="6" w:space="0" w:color="auto"/>
            </w:tcBorders>
          </w:tcPr>
          <w:p w14:paraId="5F737B22" w14:textId="77777777" w:rsidR="008A1F50" w:rsidRPr="007E72F0" w:rsidRDefault="008A1F50" w:rsidP="00153A61">
            <w:pPr>
              <w:rPr>
                <w:rFonts w:ascii="Arial Narrow" w:hAnsi="Arial Narrow"/>
                <w:sz w:val="20"/>
                <w:szCs w:val="20"/>
              </w:rPr>
            </w:pPr>
            <w:r w:rsidRPr="007E72F0">
              <w:rPr>
                <w:rFonts w:ascii="Arial Narrow" w:hAnsi="Arial Narrow"/>
                <w:sz w:val="20"/>
                <w:szCs w:val="20"/>
              </w:rPr>
              <w:t>The cause must precede the biological effect.</w:t>
            </w:r>
          </w:p>
        </w:tc>
        <w:tc>
          <w:tcPr>
            <w:tcW w:w="2610" w:type="dxa"/>
            <w:tcBorders>
              <w:top w:val="single" w:sz="6" w:space="0" w:color="auto"/>
              <w:left w:val="single" w:sz="6" w:space="0" w:color="auto"/>
              <w:bottom w:val="single" w:sz="6" w:space="0" w:color="auto"/>
              <w:right w:val="single" w:sz="6" w:space="0" w:color="auto"/>
            </w:tcBorders>
          </w:tcPr>
          <w:p w14:paraId="6C47AF5A" w14:textId="77777777" w:rsidR="008A1F50" w:rsidRPr="007E72F0" w:rsidRDefault="008A1F50" w:rsidP="00153A61">
            <w:pPr>
              <w:rPr>
                <w:rFonts w:ascii="Arial Narrow" w:hAnsi="Arial Narrow"/>
                <w:sz w:val="20"/>
                <w:szCs w:val="20"/>
              </w:rPr>
            </w:pPr>
            <w:r w:rsidRPr="007E72F0">
              <w:rPr>
                <w:rFonts w:ascii="Arial Narrow" w:hAnsi="Arial Narrow"/>
                <w:sz w:val="20"/>
                <w:szCs w:val="20"/>
              </w:rPr>
              <w:t>Analysis of temporal trends in benthic data</w:t>
            </w:r>
          </w:p>
        </w:tc>
      </w:tr>
      <w:tr w:rsidR="008A1F50" w:rsidRPr="007E72F0" w14:paraId="2D25E0E4" w14:textId="77777777" w:rsidTr="00153A61">
        <w:trPr>
          <w:trHeight w:val="247"/>
        </w:trPr>
        <w:tc>
          <w:tcPr>
            <w:tcW w:w="1804" w:type="dxa"/>
            <w:tcBorders>
              <w:top w:val="single" w:sz="6" w:space="0" w:color="auto"/>
              <w:left w:val="single" w:sz="6" w:space="0" w:color="auto"/>
              <w:bottom w:val="single" w:sz="6" w:space="0" w:color="auto"/>
              <w:right w:val="single" w:sz="6" w:space="0" w:color="auto"/>
            </w:tcBorders>
          </w:tcPr>
          <w:p w14:paraId="5E9E76C1" w14:textId="77777777" w:rsidR="008A1F50" w:rsidRPr="007E72F0" w:rsidRDefault="008A1F50" w:rsidP="00153A61">
            <w:pPr>
              <w:jc w:val="left"/>
              <w:rPr>
                <w:rFonts w:ascii="Arial Narrow" w:hAnsi="Arial Narrow"/>
                <w:sz w:val="20"/>
                <w:szCs w:val="20"/>
              </w:rPr>
            </w:pPr>
            <w:r w:rsidRPr="007E72F0">
              <w:rPr>
                <w:rFonts w:ascii="Arial Narrow" w:hAnsi="Arial Narrow"/>
                <w:sz w:val="20"/>
                <w:szCs w:val="20"/>
              </w:rPr>
              <w:t>Verified Predictions</w:t>
            </w:r>
          </w:p>
        </w:tc>
        <w:tc>
          <w:tcPr>
            <w:tcW w:w="4950" w:type="dxa"/>
            <w:tcBorders>
              <w:top w:val="single" w:sz="6" w:space="0" w:color="auto"/>
              <w:left w:val="single" w:sz="6" w:space="0" w:color="auto"/>
              <w:bottom w:val="single" w:sz="6" w:space="0" w:color="auto"/>
              <w:right w:val="single" w:sz="6" w:space="0" w:color="auto"/>
            </w:tcBorders>
          </w:tcPr>
          <w:p w14:paraId="003EBFC1" w14:textId="77777777" w:rsidR="008A1F50" w:rsidRPr="007E72F0" w:rsidRDefault="008A1F50" w:rsidP="00153A61">
            <w:pPr>
              <w:rPr>
                <w:rFonts w:ascii="Arial Narrow" w:hAnsi="Arial Narrow"/>
                <w:sz w:val="20"/>
                <w:szCs w:val="20"/>
              </w:rPr>
            </w:pPr>
            <w:r w:rsidRPr="007E72F0">
              <w:rPr>
                <w:rFonts w:ascii="Arial Narrow" w:hAnsi="Arial Narrow"/>
                <w:sz w:val="20"/>
                <w:szCs w:val="20"/>
              </w:rPr>
              <w:t>Knowledge of a cause's mode of action permits prediction and subsequent confirmation of previously unobserved effects.</w:t>
            </w:r>
          </w:p>
        </w:tc>
        <w:tc>
          <w:tcPr>
            <w:tcW w:w="2610" w:type="dxa"/>
            <w:tcBorders>
              <w:top w:val="single" w:sz="6" w:space="0" w:color="auto"/>
              <w:left w:val="single" w:sz="6" w:space="0" w:color="auto"/>
              <w:bottom w:val="single" w:sz="6" w:space="0" w:color="auto"/>
              <w:right w:val="single" w:sz="6" w:space="0" w:color="auto"/>
            </w:tcBorders>
          </w:tcPr>
          <w:p w14:paraId="024F0956" w14:textId="77777777" w:rsidR="008A1F50" w:rsidRPr="007E72F0" w:rsidRDefault="008A1F50" w:rsidP="00153A61">
            <w:pPr>
              <w:rPr>
                <w:rFonts w:ascii="Arial Narrow" w:hAnsi="Arial Narrow"/>
                <w:sz w:val="20"/>
                <w:szCs w:val="20"/>
              </w:rPr>
            </w:pPr>
            <w:r w:rsidRPr="007E72F0">
              <w:rPr>
                <w:rFonts w:ascii="Arial Narrow" w:hAnsi="Arial Narrow"/>
                <w:sz w:val="20"/>
                <w:szCs w:val="20"/>
              </w:rPr>
              <w:t>NA</w:t>
            </w:r>
          </w:p>
        </w:tc>
      </w:tr>
      <w:tr w:rsidR="008A1F50" w:rsidRPr="007E72F0" w14:paraId="0C283234" w14:textId="77777777" w:rsidTr="00153A61">
        <w:trPr>
          <w:trHeight w:val="247"/>
        </w:trPr>
        <w:tc>
          <w:tcPr>
            <w:tcW w:w="1804" w:type="dxa"/>
            <w:tcBorders>
              <w:top w:val="single" w:sz="6" w:space="0" w:color="auto"/>
              <w:left w:val="single" w:sz="6" w:space="0" w:color="auto"/>
              <w:bottom w:val="single" w:sz="6" w:space="0" w:color="auto"/>
              <w:right w:val="single" w:sz="6" w:space="0" w:color="auto"/>
            </w:tcBorders>
          </w:tcPr>
          <w:p w14:paraId="213158F8" w14:textId="77777777" w:rsidR="008A1F50" w:rsidRPr="007E72F0" w:rsidRDefault="008A1F50" w:rsidP="00153A61">
            <w:pPr>
              <w:jc w:val="left"/>
              <w:rPr>
                <w:rFonts w:ascii="Arial Narrow" w:hAnsi="Arial Narrow"/>
                <w:sz w:val="20"/>
                <w:szCs w:val="20"/>
              </w:rPr>
            </w:pPr>
            <w:r w:rsidRPr="007E72F0">
              <w:rPr>
                <w:rFonts w:ascii="Arial Narrow" w:hAnsi="Arial Narrow"/>
                <w:sz w:val="20"/>
                <w:szCs w:val="20"/>
              </w:rPr>
              <w:t>Symptoms</w:t>
            </w:r>
          </w:p>
        </w:tc>
        <w:tc>
          <w:tcPr>
            <w:tcW w:w="4950" w:type="dxa"/>
            <w:tcBorders>
              <w:top w:val="single" w:sz="6" w:space="0" w:color="auto"/>
              <w:left w:val="single" w:sz="6" w:space="0" w:color="auto"/>
              <w:bottom w:val="single" w:sz="6" w:space="0" w:color="auto"/>
              <w:right w:val="single" w:sz="6" w:space="0" w:color="auto"/>
            </w:tcBorders>
          </w:tcPr>
          <w:p w14:paraId="7D2EE6FD" w14:textId="77777777" w:rsidR="008A1F50" w:rsidRPr="007E72F0" w:rsidRDefault="008A1F50" w:rsidP="00153A61">
            <w:pPr>
              <w:rPr>
                <w:rFonts w:ascii="Arial Narrow" w:hAnsi="Arial Narrow"/>
                <w:sz w:val="20"/>
                <w:szCs w:val="20"/>
              </w:rPr>
            </w:pPr>
            <w:r w:rsidRPr="007E72F0">
              <w:rPr>
                <w:rFonts w:ascii="Arial Narrow" w:hAnsi="Arial Narrow"/>
                <w:sz w:val="20"/>
                <w:szCs w:val="20"/>
              </w:rPr>
              <w:t>Biological measurements (often at lower levels of biological organization than the effect) can be characteristic of one or a few specific causes.</w:t>
            </w:r>
          </w:p>
        </w:tc>
        <w:tc>
          <w:tcPr>
            <w:tcW w:w="2610" w:type="dxa"/>
            <w:tcBorders>
              <w:top w:val="single" w:sz="6" w:space="0" w:color="auto"/>
              <w:left w:val="single" w:sz="6" w:space="0" w:color="auto"/>
              <w:bottom w:val="single" w:sz="6" w:space="0" w:color="auto"/>
              <w:right w:val="single" w:sz="6" w:space="0" w:color="auto"/>
            </w:tcBorders>
          </w:tcPr>
          <w:p w14:paraId="0B6065A5" w14:textId="77777777" w:rsidR="008A1F50" w:rsidRPr="007E72F0" w:rsidRDefault="008A1F50" w:rsidP="00153A61">
            <w:pPr>
              <w:rPr>
                <w:rFonts w:ascii="Arial Narrow" w:hAnsi="Arial Narrow"/>
                <w:sz w:val="20"/>
                <w:szCs w:val="20"/>
              </w:rPr>
            </w:pPr>
            <w:r w:rsidRPr="007E72F0">
              <w:rPr>
                <w:rFonts w:ascii="Arial Narrow" w:hAnsi="Arial Narrow"/>
                <w:sz w:val="20"/>
                <w:szCs w:val="20"/>
              </w:rPr>
              <w:t>Analysis of benthic metrics, community composition, and functional feeding groups</w:t>
            </w:r>
          </w:p>
        </w:tc>
      </w:tr>
      <w:tr w:rsidR="008A1F50" w:rsidRPr="007E72F0" w14:paraId="013BA106" w14:textId="77777777" w:rsidTr="00153A61">
        <w:trPr>
          <w:trHeight w:val="247"/>
        </w:trPr>
        <w:tc>
          <w:tcPr>
            <w:tcW w:w="9364" w:type="dxa"/>
            <w:gridSpan w:val="3"/>
            <w:tcBorders>
              <w:top w:val="single" w:sz="6" w:space="0" w:color="auto"/>
              <w:left w:val="single" w:sz="6" w:space="0" w:color="auto"/>
              <w:bottom w:val="single" w:sz="6" w:space="0" w:color="auto"/>
              <w:right w:val="single" w:sz="6" w:space="0" w:color="auto"/>
            </w:tcBorders>
          </w:tcPr>
          <w:p w14:paraId="7D1A9E66" w14:textId="77777777" w:rsidR="008A1F50" w:rsidRPr="007E72F0" w:rsidRDefault="008A1F50" w:rsidP="00153A61">
            <w:pPr>
              <w:jc w:val="left"/>
              <w:rPr>
                <w:rFonts w:ascii="Arial Narrow" w:hAnsi="Arial Narrow"/>
                <w:b/>
                <w:sz w:val="20"/>
                <w:szCs w:val="20"/>
              </w:rPr>
            </w:pPr>
            <w:r w:rsidRPr="007E72F0">
              <w:rPr>
                <w:rFonts w:ascii="Arial Narrow" w:hAnsi="Arial Narrow"/>
                <w:b/>
                <w:sz w:val="20"/>
                <w:szCs w:val="20"/>
              </w:rPr>
              <w:t>Data from Elsewhere</w:t>
            </w:r>
          </w:p>
        </w:tc>
      </w:tr>
      <w:tr w:rsidR="008A1F50" w:rsidRPr="007E72F0" w14:paraId="787635E2" w14:textId="77777777" w:rsidTr="00153A61">
        <w:trPr>
          <w:trHeight w:val="247"/>
        </w:trPr>
        <w:tc>
          <w:tcPr>
            <w:tcW w:w="1804" w:type="dxa"/>
            <w:tcBorders>
              <w:top w:val="single" w:sz="6" w:space="0" w:color="auto"/>
              <w:left w:val="single" w:sz="6" w:space="0" w:color="auto"/>
              <w:bottom w:val="single" w:sz="6" w:space="0" w:color="auto"/>
              <w:right w:val="single" w:sz="6" w:space="0" w:color="auto"/>
            </w:tcBorders>
          </w:tcPr>
          <w:p w14:paraId="679D214B" w14:textId="77777777" w:rsidR="008A1F50" w:rsidRPr="007E72F0" w:rsidRDefault="008A1F50" w:rsidP="00153A61">
            <w:pPr>
              <w:jc w:val="left"/>
              <w:rPr>
                <w:rFonts w:ascii="Arial Narrow" w:hAnsi="Arial Narrow"/>
                <w:sz w:val="20"/>
                <w:szCs w:val="20"/>
              </w:rPr>
            </w:pPr>
            <w:r w:rsidRPr="007E72F0">
              <w:rPr>
                <w:rFonts w:ascii="Arial Narrow" w:hAnsi="Arial Narrow"/>
                <w:sz w:val="20"/>
                <w:szCs w:val="20"/>
              </w:rPr>
              <w:t>Stressor-Response Relationships from Other Field Studies</w:t>
            </w:r>
          </w:p>
        </w:tc>
        <w:tc>
          <w:tcPr>
            <w:tcW w:w="4950" w:type="dxa"/>
            <w:tcBorders>
              <w:top w:val="single" w:sz="6" w:space="0" w:color="auto"/>
              <w:left w:val="single" w:sz="6" w:space="0" w:color="auto"/>
              <w:bottom w:val="single" w:sz="6" w:space="0" w:color="auto"/>
              <w:right w:val="single" w:sz="6" w:space="0" w:color="auto"/>
            </w:tcBorders>
          </w:tcPr>
          <w:p w14:paraId="12132A58" w14:textId="77777777" w:rsidR="008A1F50" w:rsidRPr="007E72F0" w:rsidRDefault="008A1F50" w:rsidP="00153A61">
            <w:pPr>
              <w:rPr>
                <w:rFonts w:ascii="Arial Narrow" w:hAnsi="Arial Narrow"/>
                <w:sz w:val="20"/>
                <w:szCs w:val="20"/>
              </w:rPr>
            </w:pPr>
            <w:r w:rsidRPr="007E72F0">
              <w:rPr>
                <w:rFonts w:ascii="Arial Narrow" w:hAnsi="Arial Narrow"/>
                <w:sz w:val="20"/>
                <w:szCs w:val="20"/>
              </w:rPr>
              <w:t>At the impaired sites, the cause must be at levels sufficient to cause similar biological effects in other field studies.</w:t>
            </w:r>
          </w:p>
        </w:tc>
        <w:tc>
          <w:tcPr>
            <w:tcW w:w="2610" w:type="dxa"/>
            <w:tcBorders>
              <w:top w:val="single" w:sz="6" w:space="0" w:color="auto"/>
              <w:left w:val="single" w:sz="6" w:space="0" w:color="auto"/>
              <w:bottom w:val="single" w:sz="6" w:space="0" w:color="auto"/>
              <w:right w:val="single" w:sz="6" w:space="0" w:color="auto"/>
            </w:tcBorders>
          </w:tcPr>
          <w:p w14:paraId="044C26B9" w14:textId="77777777" w:rsidR="008A1F50" w:rsidRPr="007E72F0" w:rsidRDefault="008A1F50" w:rsidP="00153A61">
            <w:pPr>
              <w:rPr>
                <w:rFonts w:ascii="Arial Narrow" w:hAnsi="Arial Narrow"/>
                <w:sz w:val="20"/>
                <w:szCs w:val="20"/>
              </w:rPr>
            </w:pPr>
            <w:r w:rsidRPr="007E72F0">
              <w:rPr>
                <w:rFonts w:ascii="Arial Narrow" w:hAnsi="Arial Narrow"/>
                <w:sz w:val="20"/>
                <w:szCs w:val="20"/>
              </w:rPr>
              <w:t>Water quality comparison with reference stations and stressor probability thresholds</w:t>
            </w:r>
          </w:p>
        </w:tc>
      </w:tr>
      <w:tr w:rsidR="008A1F50" w:rsidRPr="007E72F0" w14:paraId="542D9CBC" w14:textId="77777777" w:rsidTr="00153A61">
        <w:trPr>
          <w:trHeight w:val="247"/>
        </w:trPr>
        <w:tc>
          <w:tcPr>
            <w:tcW w:w="1804" w:type="dxa"/>
            <w:tcBorders>
              <w:top w:val="single" w:sz="6" w:space="0" w:color="auto"/>
              <w:left w:val="single" w:sz="6" w:space="0" w:color="auto"/>
              <w:bottom w:val="single" w:sz="6" w:space="0" w:color="auto"/>
              <w:right w:val="single" w:sz="6" w:space="0" w:color="auto"/>
            </w:tcBorders>
          </w:tcPr>
          <w:p w14:paraId="69FE2585" w14:textId="77777777" w:rsidR="008A1F50" w:rsidRPr="007E72F0" w:rsidRDefault="008A1F50" w:rsidP="00153A61">
            <w:pPr>
              <w:jc w:val="left"/>
              <w:rPr>
                <w:rFonts w:ascii="Arial Narrow" w:hAnsi="Arial Narrow"/>
                <w:sz w:val="20"/>
                <w:szCs w:val="20"/>
              </w:rPr>
            </w:pPr>
            <w:r w:rsidRPr="007E72F0">
              <w:rPr>
                <w:rFonts w:ascii="Arial Narrow" w:hAnsi="Arial Narrow"/>
                <w:sz w:val="20"/>
                <w:szCs w:val="20"/>
              </w:rPr>
              <w:t>Stressor-Response Relationships from Laboratory Studies</w:t>
            </w:r>
          </w:p>
        </w:tc>
        <w:tc>
          <w:tcPr>
            <w:tcW w:w="4950" w:type="dxa"/>
            <w:tcBorders>
              <w:top w:val="single" w:sz="6" w:space="0" w:color="auto"/>
              <w:left w:val="single" w:sz="6" w:space="0" w:color="auto"/>
              <w:bottom w:val="single" w:sz="6" w:space="0" w:color="auto"/>
              <w:right w:val="single" w:sz="6" w:space="0" w:color="auto"/>
            </w:tcBorders>
          </w:tcPr>
          <w:p w14:paraId="55F25A6C" w14:textId="77777777" w:rsidR="008A1F50" w:rsidRPr="007E72F0" w:rsidRDefault="008A1F50" w:rsidP="00153A61">
            <w:pPr>
              <w:rPr>
                <w:rFonts w:ascii="Arial Narrow" w:hAnsi="Arial Narrow"/>
                <w:sz w:val="20"/>
                <w:szCs w:val="20"/>
              </w:rPr>
            </w:pPr>
            <w:r w:rsidRPr="007E72F0">
              <w:rPr>
                <w:rFonts w:ascii="Arial Narrow" w:hAnsi="Arial Narrow"/>
                <w:sz w:val="20"/>
                <w:szCs w:val="20"/>
              </w:rPr>
              <w:t>At the impaired sites, the cause must be at levels associated with related biological effects in laboratory studies.</w:t>
            </w:r>
          </w:p>
        </w:tc>
        <w:tc>
          <w:tcPr>
            <w:tcW w:w="2610" w:type="dxa"/>
            <w:tcBorders>
              <w:top w:val="single" w:sz="6" w:space="0" w:color="auto"/>
              <w:left w:val="single" w:sz="6" w:space="0" w:color="auto"/>
              <w:bottom w:val="single" w:sz="6" w:space="0" w:color="auto"/>
              <w:right w:val="single" w:sz="6" w:space="0" w:color="auto"/>
            </w:tcBorders>
          </w:tcPr>
          <w:p w14:paraId="4D83CBC8" w14:textId="77777777" w:rsidR="008A1F50" w:rsidRPr="007E72F0" w:rsidRDefault="008A1F50" w:rsidP="00153A61">
            <w:pPr>
              <w:rPr>
                <w:rFonts w:ascii="Arial Narrow" w:hAnsi="Arial Narrow"/>
                <w:sz w:val="20"/>
                <w:szCs w:val="20"/>
              </w:rPr>
            </w:pPr>
            <w:r w:rsidRPr="007E72F0">
              <w:rPr>
                <w:rFonts w:ascii="Arial Narrow" w:hAnsi="Arial Narrow"/>
                <w:sz w:val="20"/>
                <w:szCs w:val="20"/>
              </w:rPr>
              <w:t>Water quality comparison with VA water quality standards and literature threshold values</w:t>
            </w:r>
          </w:p>
        </w:tc>
      </w:tr>
      <w:tr w:rsidR="008A1F50" w:rsidRPr="007E72F0" w14:paraId="68B34199" w14:textId="77777777" w:rsidTr="00153A61">
        <w:trPr>
          <w:trHeight w:val="247"/>
        </w:trPr>
        <w:tc>
          <w:tcPr>
            <w:tcW w:w="1804" w:type="dxa"/>
            <w:tcBorders>
              <w:top w:val="single" w:sz="6" w:space="0" w:color="auto"/>
              <w:left w:val="single" w:sz="6" w:space="0" w:color="auto"/>
              <w:bottom w:val="single" w:sz="6" w:space="0" w:color="auto"/>
              <w:right w:val="single" w:sz="6" w:space="0" w:color="auto"/>
            </w:tcBorders>
          </w:tcPr>
          <w:p w14:paraId="74E2B368" w14:textId="77777777" w:rsidR="008A1F50" w:rsidRPr="007E72F0" w:rsidRDefault="008A1F50" w:rsidP="00153A61">
            <w:pPr>
              <w:jc w:val="left"/>
              <w:rPr>
                <w:rFonts w:ascii="Arial Narrow" w:hAnsi="Arial Narrow"/>
                <w:sz w:val="20"/>
                <w:szCs w:val="20"/>
              </w:rPr>
            </w:pPr>
            <w:r w:rsidRPr="007E72F0">
              <w:rPr>
                <w:rFonts w:ascii="Arial Narrow" w:hAnsi="Arial Narrow"/>
                <w:sz w:val="20"/>
                <w:szCs w:val="20"/>
              </w:rPr>
              <w:t>Stressor-Response Relationships from Simulation Models</w:t>
            </w:r>
          </w:p>
        </w:tc>
        <w:tc>
          <w:tcPr>
            <w:tcW w:w="4950" w:type="dxa"/>
            <w:tcBorders>
              <w:top w:val="single" w:sz="6" w:space="0" w:color="auto"/>
              <w:left w:val="single" w:sz="6" w:space="0" w:color="auto"/>
              <w:bottom w:val="single" w:sz="6" w:space="0" w:color="auto"/>
              <w:right w:val="single" w:sz="6" w:space="0" w:color="auto"/>
            </w:tcBorders>
          </w:tcPr>
          <w:p w14:paraId="38099830" w14:textId="77777777" w:rsidR="008A1F50" w:rsidRPr="007E72F0" w:rsidRDefault="008A1F50" w:rsidP="00153A61">
            <w:pPr>
              <w:rPr>
                <w:rFonts w:ascii="Arial Narrow" w:hAnsi="Arial Narrow"/>
                <w:sz w:val="20"/>
                <w:szCs w:val="20"/>
              </w:rPr>
            </w:pPr>
            <w:r w:rsidRPr="007E72F0">
              <w:rPr>
                <w:rFonts w:ascii="Arial Narrow" w:hAnsi="Arial Narrow"/>
                <w:sz w:val="20"/>
                <w:szCs w:val="20"/>
              </w:rPr>
              <w:t>At the impaired sites, the cause must be at levels associated with effects in mathematical models simulating ecological processes.</w:t>
            </w:r>
          </w:p>
        </w:tc>
        <w:tc>
          <w:tcPr>
            <w:tcW w:w="2610" w:type="dxa"/>
            <w:tcBorders>
              <w:top w:val="single" w:sz="6" w:space="0" w:color="auto"/>
              <w:left w:val="single" w:sz="6" w:space="0" w:color="auto"/>
              <w:bottom w:val="single" w:sz="6" w:space="0" w:color="auto"/>
              <w:right w:val="single" w:sz="6" w:space="0" w:color="auto"/>
            </w:tcBorders>
          </w:tcPr>
          <w:p w14:paraId="63204992" w14:textId="61504644" w:rsidR="008A1F50" w:rsidRPr="007E72F0" w:rsidRDefault="008A1F50" w:rsidP="00153A61">
            <w:pPr>
              <w:rPr>
                <w:rFonts w:ascii="Arial Narrow" w:hAnsi="Arial Narrow"/>
                <w:sz w:val="20"/>
                <w:szCs w:val="20"/>
              </w:rPr>
            </w:pPr>
            <w:r w:rsidRPr="007E72F0">
              <w:rPr>
                <w:rFonts w:ascii="Arial Narrow" w:hAnsi="Arial Narrow"/>
                <w:sz w:val="20"/>
                <w:szCs w:val="20"/>
              </w:rPr>
              <w:t xml:space="preserve">Confirmation through use of </w:t>
            </w:r>
            <w:r w:rsidR="00B0118F">
              <w:rPr>
                <w:rFonts w:ascii="Arial Narrow" w:hAnsi="Arial Narrow"/>
                <w:sz w:val="20"/>
                <w:szCs w:val="20"/>
              </w:rPr>
              <w:t xml:space="preserve">water quality </w:t>
            </w:r>
            <w:r w:rsidRPr="007E72F0">
              <w:rPr>
                <w:rFonts w:ascii="Arial Narrow" w:hAnsi="Arial Narrow"/>
                <w:sz w:val="20"/>
                <w:szCs w:val="20"/>
              </w:rPr>
              <w:t>model</w:t>
            </w:r>
            <w:r w:rsidR="00B0118F">
              <w:rPr>
                <w:rFonts w:ascii="Arial Narrow" w:hAnsi="Arial Narrow"/>
                <w:sz w:val="20"/>
                <w:szCs w:val="20"/>
              </w:rPr>
              <w:t>s</w:t>
            </w:r>
          </w:p>
        </w:tc>
      </w:tr>
      <w:tr w:rsidR="008A1F50" w:rsidRPr="007E72F0" w14:paraId="567255E0" w14:textId="77777777" w:rsidTr="00153A61">
        <w:trPr>
          <w:trHeight w:val="247"/>
        </w:trPr>
        <w:tc>
          <w:tcPr>
            <w:tcW w:w="1804" w:type="dxa"/>
            <w:tcBorders>
              <w:top w:val="single" w:sz="6" w:space="0" w:color="auto"/>
              <w:left w:val="single" w:sz="6" w:space="0" w:color="auto"/>
              <w:bottom w:val="single" w:sz="6" w:space="0" w:color="auto"/>
              <w:right w:val="single" w:sz="6" w:space="0" w:color="auto"/>
            </w:tcBorders>
          </w:tcPr>
          <w:p w14:paraId="3FE88970" w14:textId="77777777" w:rsidR="008A1F50" w:rsidRPr="007E72F0" w:rsidRDefault="008A1F50" w:rsidP="00153A61">
            <w:pPr>
              <w:jc w:val="left"/>
              <w:rPr>
                <w:rFonts w:ascii="Arial Narrow" w:hAnsi="Arial Narrow"/>
                <w:sz w:val="20"/>
                <w:szCs w:val="20"/>
              </w:rPr>
            </w:pPr>
            <w:r w:rsidRPr="007E72F0">
              <w:rPr>
                <w:rFonts w:ascii="Arial Narrow" w:hAnsi="Arial Narrow"/>
                <w:sz w:val="20"/>
                <w:szCs w:val="20"/>
              </w:rPr>
              <w:t>Mechanistically Plausible Cause</w:t>
            </w:r>
          </w:p>
        </w:tc>
        <w:tc>
          <w:tcPr>
            <w:tcW w:w="4950" w:type="dxa"/>
            <w:tcBorders>
              <w:top w:val="single" w:sz="6" w:space="0" w:color="auto"/>
              <w:left w:val="single" w:sz="6" w:space="0" w:color="auto"/>
              <w:bottom w:val="single" w:sz="6" w:space="0" w:color="auto"/>
              <w:right w:val="single" w:sz="6" w:space="0" w:color="auto"/>
            </w:tcBorders>
          </w:tcPr>
          <w:p w14:paraId="56ED5505" w14:textId="77777777" w:rsidR="008A1F50" w:rsidRPr="007E72F0" w:rsidRDefault="008A1F50" w:rsidP="00153A61">
            <w:pPr>
              <w:rPr>
                <w:rFonts w:ascii="Arial Narrow" w:hAnsi="Arial Narrow"/>
                <w:sz w:val="20"/>
                <w:szCs w:val="20"/>
              </w:rPr>
            </w:pPr>
            <w:r w:rsidRPr="007E72F0">
              <w:rPr>
                <w:rFonts w:ascii="Arial Narrow" w:hAnsi="Arial Narrow"/>
                <w:sz w:val="20"/>
                <w:szCs w:val="20"/>
              </w:rPr>
              <w:t>The relationship between the cause and biological effect must be consistent with known principles of biology, chemistry and physics.</w:t>
            </w:r>
          </w:p>
        </w:tc>
        <w:tc>
          <w:tcPr>
            <w:tcW w:w="2610" w:type="dxa"/>
            <w:tcBorders>
              <w:top w:val="single" w:sz="6" w:space="0" w:color="auto"/>
              <w:left w:val="single" w:sz="6" w:space="0" w:color="auto"/>
              <w:bottom w:val="single" w:sz="6" w:space="0" w:color="auto"/>
              <w:right w:val="single" w:sz="6" w:space="0" w:color="auto"/>
            </w:tcBorders>
          </w:tcPr>
          <w:p w14:paraId="69E377A8" w14:textId="77777777" w:rsidR="008A1F50" w:rsidRPr="007E72F0" w:rsidRDefault="008A1F50" w:rsidP="00153A61">
            <w:pPr>
              <w:rPr>
                <w:rFonts w:ascii="Arial Narrow" w:hAnsi="Arial Narrow"/>
                <w:sz w:val="20"/>
                <w:szCs w:val="20"/>
              </w:rPr>
            </w:pPr>
            <w:r w:rsidRPr="007E72F0">
              <w:rPr>
                <w:rFonts w:ascii="Arial Narrow" w:hAnsi="Arial Narrow"/>
                <w:sz w:val="20"/>
                <w:szCs w:val="20"/>
              </w:rPr>
              <w:t>Development and analysis of causal pathways for stressors</w:t>
            </w:r>
          </w:p>
        </w:tc>
      </w:tr>
      <w:tr w:rsidR="008A1F50" w:rsidRPr="007E72F0" w14:paraId="293D6E48" w14:textId="77777777" w:rsidTr="00153A61">
        <w:trPr>
          <w:trHeight w:val="247"/>
        </w:trPr>
        <w:tc>
          <w:tcPr>
            <w:tcW w:w="1804" w:type="dxa"/>
            <w:tcBorders>
              <w:top w:val="single" w:sz="6" w:space="0" w:color="auto"/>
              <w:left w:val="single" w:sz="6" w:space="0" w:color="auto"/>
              <w:bottom w:val="single" w:sz="6" w:space="0" w:color="auto"/>
              <w:right w:val="single" w:sz="6" w:space="0" w:color="auto"/>
            </w:tcBorders>
          </w:tcPr>
          <w:p w14:paraId="7B555726" w14:textId="77777777" w:rsidR="008A1F50" w:rsidRPr="007E72F0" w:rsidRDefault="008A1F50" w:rsidP="00153A61">
            <w:pPr>
              <w:jc w:val="left"/>
              <w:rPr>
                <w:rFonts w:ascii="Arial Narrow" w:hAnsi="Arial Narrow"/>
                <w:sz w:val="20"/>
                <w:szCs w:val="20"/>
              </w:rPr>
            </w:pPr>
            <w:r w:rsidRPr="007E72F0">
              <w:rPr>
                <w:rFonts w:ascii="Arial Narrow" w:hAnsi="Arial Narrow"/>
                <w:sz w:val="20"/>
                <w:szCs w:val="20"/>
              </w:rPr>
              <w:t>Manipulation of Exposure at Other Sites</w:t>
            </w:r>
          </w:p>
        </w:tc>
        <w:tc>
          <w:tcPr>
            <w:tcW w:w="4950" w:type="dxa"/>
            <w:tcBorders>
              <w:top w:val="single" w:sz="6" w:space="0" w:color="auto"/>
              <w:left w:val="single" w:sz="6" w:space="0" w:color="auto"/>
              <w:bottom w:val="single" w:sz="6" w:space="0" w:color="auto"/>
              <w:right w:val="single" w:sz="6" w:space="0" w:color="auto"/>
            </w:tcBorders>
          </w:tcPr>
          <w:p w14:paraId="13FD58C6" w14:textId="77777777" w:rsidR="008A1F50" w:rsidRPr="007E72F0" w:rsidRDefault="008A1F50" w:rsidP="00153A61">
            <w:pPr>
              <w:rPr>
                <w:rFonts w:ascii="Arial Narrow" w:hAnsi="Arial Narrow"/>
                <w:sz w:val="20"/>
                <w:szCs w:val="20"/>
              </w:rPr>
            </w:pPr>
            <w:r w:rsidRPr="007E72F0">
              <w:rPr>
                <w:rFonts w:ascii="Arial Narrow" w:hAnsi="Arial Narrow"/>
                <w:sz w:val="20"/>
                <w:szCs w:val="20"/>
              </w:rPr>
              <w:t>Field experiments or management actions at other sites that increase or decrease exposure to a cause must increase or decrease the biological effect.</w:t>
            </w:r>
          </w:p>
        </w:tc>
        <w:tc>
          <w:tcPr>
            <w:tcW w:w="2610" w:type="dxa"/>
            <w:tcBorders>
              <w:top w:val="single" w:sz="6" w:space="0" w:color="auto"/>
              <w:left w:val="single" w:sz="6" w:space="0" w:color="auto"/>
              <w:bottom w:val="single" w:sz="6" w:space="0" w:color="auto"/>
              <w:right w:val="single" w:sz="6" w:space="0" w:color="auto"/>
            </w:tcBorders>
          </w:tcPr>
          <w:p w14:paraId="79436317" w14:textId="77777777" w:rsidR="008A1F50" w:rsidRPr="007E72F0" w:rsidRDefault="008A1F50" w:rsidP="00153A61">
            <w:pPr>
              <w:rPr>
                <w:rFonts w:ascii="Arial Narrow" w:hAnsi="Arial Narrow"/>
                <w:sz w:val="20"/>
                <w:szCs w:val="20"/>
              </w:rPr>
            </w:pPr>
            <w:r w:rsidRPr="007E72F0">
              <w:rPr>
                <w:rFonts w:ascii="Arial Narrow" w:hAnsi="Arial Narrow"/>
                <w:sz w:val="20"/>
                <w:szCs w:val="20"/>
              </w:rPr>
              <w:t>Confirmation through literature</w:t>
            </w:r>
          </w:p>
        </w:tc>
      </w:tr>
      <w:tr w:rsidR="008A1F50" w:rsidRPr="007E72F0" w14:paraId="0A7DA61A" w14:textId="77777777" w:rsidTr="00153A61">
        <w:trPr>
          <w:trHeight w:val="247"/>
        </w:trPr>
        <w:tc>
          <w:tcPr>
            <w:tcW w:w="1804" w:type="dxa"/>
            <w:tcBorders>
              <w:top w:val="single" w:sz="6" w:space="0" w:color="auto"/>
              <w:left w:val="single" w:sz="6" w:space="0" w:color="auto"/>
              <w:bottom w:val="single" w:sz="6" w:space="0" w:color="auto"/>
              <w:right w:val="single" w:sz="6" w:space="0" w:color="auto"/>
            </w:tcBorders>
          </w:tcPr>
          <w:p w14:paraId="34BC7CA0" w14:textId="77777777" w:rsidR="008A1F50" w:rsidRPr="007E72F0" w:rsidRDefault="008A1F50" w:rsidP="00153A61">
            <w:pPr>
              <w:jc w:val="left"/>
              <w:rPr>
                <w:rFonts w:ascii="Arial Narrow" w:hAnsi="Arial Narrow"/>
                <w:sz w:val="20"/>
                <w:szCs w:val="20"/>
              </w:rPr>
            </w:pPr>
            <w:r w:rsidRPr="007E72F0">
              <w:rPr>
                <w:rFonts w:ascii="Arial Narrow" w:hAnsi="Arial Narrow"/>
                <w:sz w:val="20"/>
                <w:szCs w:val="20"/>
              </w:rPr>
              <w:t>Analogous Stressors</w:t>
            </w:r>
          </w:p>
        </w:tc>
        <w:tc>
          <w:tcPr>
            <w:tcW w:w="4950" w:type="dxa"/>
            <w:tcBorders>
              <w:top w:val="single" w:sz="6" w:space="0" w:color="auto"/>
              <w:left w:val="single" w:sz="6" w:space="0" w:color="auto"/>
              <w:bottom w:val="single" w:sz="6" w:space="0" w:color="auto"/>
              <w:right w:val="single" w:sz="6" w:space="0" w:color="auto"/>
            </w:tcBorders>
          </w:tcPr>
          <w:p w14:paraId="3E05D001" w14:textId="77777777" w:rsidR="008A1F50" w:rsidRPr="007E72F0" w:rsidRDefault="008A1F50" w:rsidP="00153A61">
            <w:pPr>
              <w:rPr>
                <w:rFonts w:ascii="Arial Narrow" w:hAnsi="Arial Narrow"/>
                <w:sz w:val="20"/>
                <w:szCs w:val="20"/>
              </w:rPr>
            </w:pPr>
            <w:r w:rsidRPr="007E72F0">
              <w:rPr>
                <w:rFonts w:ascii="Arial Narrow" w:hAnsi="Arial Narrow"/>
                <w:sz w:val="20"/>
                <w:szCs w:val="20"/>
              </w:rPr>
              <w:t>Agents similar to the causal agent at the impaired site should lead to similar effects at other sites.</w:t>
            </w:r>
          </w:p>
        </w:tc>
        <w:tc>
          <w:tcPr>
            <w:tcW w:w="2610" w:type="dxa"/>
            <w:tcBorders>
              <w:top w:val="single" w:sz="6" w:space="0" w:color="auto"/>
              <w:left w:val="single" w:sz="6" w:space="0" w:color="auto"/>
              <w:bottom w:val="single" w:sz="6" w:space="0" w:color="auto"/>
              <w:right w:val="single" w:sz="6" w:space="0" w:color="auto"/>
            </w:tcBorders>
          </w:tcPr>
          <w:p w14:paraId="000993F4" w14:textId="77777777" w:rsidR="008A1F50" w:rsidRPr="007E72F0" w:rsidRDefault="008A1F50" w:rsidP="00153A61">
            <w:pPr>
              <w:rPr>
                <w:rFonts w:ascii="Arial Narrow" w:hAnsi="Arial Narrow"/>
                <w:sz w:val="20"/>
                <w:szCs w:val="20"/>
              </w:rPr>
            </w:pPr>
            <w:r w:rsidRPr="007E72F0">
              <w:rPr>
                <w:rFonts w:ascii="Arial Narrow" w:hAnsi="Arial Narrow"/>
                <w:sz w:val="20"/>
                <w:szCs w:val="20"/>
              </w:rPr>
              <w:t>Confirmation through literature</w:t>
            </w:r>
          </w:p>
        </w:tc>
      </w:tr>
      <w:tr w:rsidR="008A1F50" w:rsidRPr="007E72F0" w14:paraId="3EC96469" w14:textId="77777777" w:rsidTr="00153A61">
        <w:trPr>
          <w:trHeight w:val="247"/>
        </w:trPr>
        <w:tc>
          <w:tcPr>
            <w:tcW w:w="9364" w:type="dxa"/>
            <w:gridSpan w:val="3"/>
            <w:tcBorders>
              <w:top w:val="single" w:sz="6" w:space="0" w:color="auto"/>
              <w:left w:val="single" w:sz="6" w:space="0" w:color="auto"/>
              <w:bottom w:val="single" w:sz="6" w:space="0" w:color="auto"/>
              <w:right w:val="single" w:sz="6" w:space="0" w:color="auto"/>
            </w:tcBorders>
          </w:tcPr>
          <w:p w14:paraId="1159D83D" w14:textId="77777777" w:rsidR="008A1F50" w:rsidRPr="007E72F0" w:rsidRDefault="008A1F50" w:rsidP="00153A61">
            <w:pPr>
              <w:jc w:val="left"/>
              <w:rPr>
                <w:rFonts w:ascii="Arial Narrow" w:hAnsi="Arial Narrow"/>
                <w:b/>
                <w:sz w:val="20"/>
                <w:szCs w:val="20"/>
              </w:rPr>
            </w:pPr>
            <w:r w:rsidRPr="007E72F0">
              <w:rPr>
                <w:rFonts w:ascii="Arial Narrow" w:hAnsi="Arial Narrow"/>
                <w:b/>
                <w:sz w:val="20"/>
                <w:szCs w:val="20"/>
              </w:rPr>
              <w:t>Multiple Types of Evidence</w:t>
            </w:r>
          </w:p>
        </w:tc>
      </w:tr>
      <w:tr w:rsidR="008A1F50" w:rsidRPr="007E72F0" w14:paraId="41B88C5B" w14:textId="77777777" w:rsidTr="00153A61">
        <w:trPr>
          <w:trHeight w:val="247"/>
        </w:trPr>
        <w:tc>
          <w:tcPr>
            <w:tcW w:w="1804" w:type="dxa"/>
            <w:tcBorders>
              <w:top w:val="single" w:sz="6" w:space="0" w:color="auto"/>
              <w:left w:val="single" w:sz="6" w:space="0" w:color="auto"/>
              <w:bottom w:val="single" w:sz="6" w:space="0" w:color="auto"/>
              <w:right w:val="single" w:sz="6" w:space="0" w:color="auto"/>
            </w:tcBorders>
          </w:tcPr>
          <w:p w14:paraId="4F1DE608" w14:textId="77777777" w:rsidR="008A1F50" w:rsidRPr="007E72F0" w:rsidRDefault="008A1F50" w:rsidP="00153A61">
            <w:pPr>
              <w:jc w:val="left"/>
              <w:rPr>
                <w:rFonts w:ascii="Arial Narrow" w:hAnsi="Arial Narrow"/>
                <w:sz w:val="20"/>
                <w:szCs w:val="20"/>
              </w:rPr>
            </w:pPr>
            <w:r w:rsidRPr="007E72F0">
              <w:rPr>
                <w:rFonts w:ascii="Arial Narrow" w:hAnsi="Arial Narrow"/>
                <w:sz w:val="20"/>
                <w:szCs w:val="20"/>
              </w:rPr>
              <w:t>Consistency of Evidence</w:t>
            </w:r>
          </w:p>
        </w:tc>
        <w:tc>
          <w:tcPr>
            <w:tcW w:w="4950" w:type="dxa"/>
            <w:tcBorders>
              <w:top w:val="single" w:sz="6" w:space="0" w:color="auto"/>
              <w:left w:val="single" w:sz="6" w:space="0" w:color="auto"/>
              <w:bottom w:val="single" w:sz="6" w:space="0" w:color="auto"/>
              <w:right w:val="single" w:sz="6" w:space="0" w:color="auto"/>
            </w:tcBorders>
          </w:tcPr>
          <w:p w14:paraId="490E9906" w14:textId="77777777" w:rsidR="008A1F50" w:rsidRPr="007E72F0" w:rsidRDefault="008A1F50" w:rsidP="00153A61">
            <w:pPr>
              <w:rPr>
                <w:rFonts w:ascii="Arial Narrow" w:hAnsi="Arial Narrow"/>
                <w:sz w:val="20"/>
                <w:szCs w:val="20"/>
              </w:rPr>
            </w:pPr>
            <w:r w:rsidRPr="007E72F0">
              <w:rPr>
                <w:rFonts w:ascii="Arial Narrow" w:hAnsi="Arial Narrow"/>
                <w:sz w:val="20"/>
                <w:szCs w:val="20"/>
              </w:rPr>
              <w:t>Confidence in the argument for or against a cause is increased when many types of evidence consistently support or weaken it.</w:t>
            </w:r>
          </w:p>
        </w:tc>
        <w:tc>
          <w:tcPr>
            <w:tcW w:w="2610" w:type="dxa"/>
            <w:tcBorders>
              <w:top w:val="single" w:sz="6" w:space="0" w:color="auto"/>
              <w:left w:val="single" w:sz="6" w:space="0" w:color="auto"/>
              <w:bottom w:val="single" w:sz="6" w:space="0" w:color="auto"/>
              <w:right w:val="single" w:sz="6" w:space="0" w:color="auto"/>
            </w:tcBorders>
          </w:tcPr>
          <w:p w14:paraId="50114608" w14:textId="77777777" w:rsidR="008A1F50" w:rsidRPr="007E72F0" w:rsidRDefault="008A1F50" w:rsidP="00153A61">
            <w:pPr>
              <w:rPr>
                <w:rFonts w:ascii="Arial Narrow" w:hAnsi="Arial Narrow"/>
                <w:sz w:val="20"/>
                <w:szCs w:val="20"/>
              </w:rPr>
            </w:pPr>
            <w:r w:rsidRPr="007E72F0">
              <w:rPr>
                <w:rFonts w:ascii="Arial Narrow" w:hAnsi="Arial Narrow"/>
                <w:sz w:val="20"/>
                <w:szCs w:val="20"/>
              </w:rPr>
              <w:t>Weight of evidence approach</w:t>
            </w:r>
          </w:p>
        </w:tc>
      </w:tr>
      <w:tr w:rsidR="008A1F50" w:rsidRPr="007E72F0" w14:paraId="36591159" w14:textId="77777777" w:rsidTr="00153A61">
        <w:trPr>
          <w:trHeight w:val="247"/>
        </w:trPr>
        <w:tc>
          <w:tcPr>
            <w:tcW w:w="1804" w:type="dxa"/>
            <w:tcBorders>
              <w:top w:val="single" w:sz="6" w:space="0" w:color="auto"/>
              <w:left w:val="single" w:sz="6" w:space="0" w:color="auto"/>
              <w:bottom w:val="single" w:sz="6" w:space="0" w:color="auto"/>
              <w:right w:val="single" w:sz="6" w:space="0" w:color="auto"/>
            </w:tcBorders>
          </w:tcPr>
          <w:p w14:paraId="5FED44AA" w14:textId="77777777" w:rsidR="008A1F50" w:rsidRPr="007E72F0" w:rsidRDefault="008A1F50" w:rsidP="00153A61">
            <w:pPr>
              <w:jc w:val="left"/>
              <w:rPr>
                <w:rFonts w:ascii="Arial Narrow" w:hAnsi="Arial Narrow"/>
                <w:sz w:val="20"/>
                <w:szCs w:val="20"/>
              </w:rPr>
            </w:pPr>
            <w:r w:rsidRPr="007E72F0">
              <w:rPr>
                <w:rFonts w:ascii="Arial Narrow" w:hAnsi="Arial Narrow"/>
                <w:sz w:val="20"/>
                <w:szCs w:val="20"/>
              </w:rPr>
              <w:t>Explanation of the Evidence</w:t>
            </w:r>
          </w:p>
        </w:tc>
        <w:tc>
          <w:tcPr>
            <w:tcW w:w="4950" w:type="dxa"/>
            <w:tcBorders>
              <w:top w:val="single" w:sz="6" w:space="0" w:color="auto"/>
              <w:left w:val="single" w:sz="6" w:space="0" w:color="auto"/>
              <w:bottom w:val="single" w:sz="6" w:space="0" w:color="auto"/>
              <w:right w:val="single" w:sz="6" w:space="0" w:color="auto"/>
            </w:tcBorders>
          </w:tcPr>
          <w:p w14:paraId="2C702425" w14:textId="77777777" w:rsidR="008A1F50" w:rsidRPr="007E72F0" w:rsidRDefault="008A1F50" w:rsidP="00153A61">
            <w:pPr>
              <w:rPr>
                <w:rFonts w:ascii="Arial Narrow" w:hAnsi="Arial Narrow"/>
                <w:sz w:val="20"/>
                <w:szCs w:val="20"/>
              </w:rPr>
            </w:pPr>
            <w:r w:rsidRPr="007E72F0">
              <w:rPr>
                <w:rFonts w:ascii="Arial Narrow" w:hAnsi="Arial Narrow"/>
                <w:sz w:val="20"/>
                <w:szCs w:val="20"/>
              </w:rPr>
              <w:t>Confidence in the argument for a candidate cause is increased when a post hoc mechanistic, conceptual, or mathematical model reasonably explains any inconsistent evidence.</w:t>
            </w:r>
          </w:p>
        </w:tc>
        <w:tc>
          <w:tcPr>
            <w:tcW w:w="2610" w:type="dxa"/>
            <w:tcBorders>
              <w:top w:val="single" w:sz="6" w:space="0" w:color="auto"/>
              <w:left w:val="single" w:sz="6" w:space="0" w:color="auto"/>
              <w:bottom w:val="single" w:sz="6" w:space="0" w:color="auto"/>
              <w:right w:val="single" w:sz="6" w:space="0" w:color="auto"/>
            </w:tcBorders>
          </w:tcPr>
          <w:p w14:paraId="652778FB" w14:textId="77777777" w:rsidR="008A1F50" w:rsidRPr="007E72F0" w:rsidRDefault="008A1F50" w:rsidP="00153A61">
            <w:pPr>
              <w:rPr>
                <w:rFonts w:ascii="Arial Narrow" w:hAnsi="Arial Narrow"/>
                <w:sz w:val="20"/>
                <w:szCs w:val="20"/>
              </w:rPr>
            </w:pPr>
            <w:r w:rsidRPr="007E72F0">
              <w:rPr>
                <w:rFonts w:ascii="Arial Narrow" w:hAnsi="Arial Narrow"/>
                <w:sz w:val="20"/>
                <w:szCs w:val="20"/>
              </w:rPr>
              <w:t>Confirmation through use of TMDL model</w:t>
            </w:r>
          </w:p>
        </w:tc>
      </w:tr>
    </w:tbl>
    <w:p w14:paraId="11FB46D8" w14:textId="77777777" w:rsidR="008A1F50" w:rsidRDefault="008A1F50" w:rsidP="008A1F50">
      <w:pPr>
        <w:pStyle w:val="BlockText"/>
      </w:pPr>
    </w:p>
    <w:p w14:paraId="6FD99931" w14:textId="1E62C862" w:rsidR="008A1F50" w:rsidRDefault="008A1F50" w:rsidP="008A1F50">
      <w:pPr>
        <w:pStyle w:val="BlockText"/>
      </w:pPr>
      <w:r w:rsidRPr="007E72F0">
        <w:t>For each impairment and for each potential candidate cause, the applicable lines of evidence were evaluated. For each line of evidence, the candidate cause was scored on a 3-point positive and negative scale (</w:t>
      </w:r>
      <w:r w:rsidRPr="007E72F0">
        <w:fldChar w:fldCharType="begin"/>
      </w:r>
      <w:r w:rsidRPr="007E72F0">
        <w:instrText xml:space="preserve"> REF _Ref45805768 \h  \* MERGEFORMAT </w:instrText>
      </w:r>
      <w:r w:rsidRPr="007E72F0">
        <w:fldChar w:fldCharType="separate"/>
      </w:r>
      <w:r w:rsidR="004A78BF" w:rsidRPr="007E72F0">
        <w:t xml:space="preserve">Table </w:t>
      </w:r>
      <w:r w:rsidR="004A78BF">
        <w:rPr>
          <w:noProof/>
        </w:rPr>
        <w:t>26</w:t>
      </w:r>
      <w:r w:rsidRPr="007E72F0">
        <w:fldChar w:fldCharType="end"/>
      </w:r>
      <w:r w:rsidRPr="007E72F0">
        <w:t>). This scale represents the strength of the evidence for or against each candidate cause. A weight of evidence approach was then used to sum the respective scores and classify candidate causes as either non-stressors, possible stressors, or probable stressors. If the summed scores for candidate causes were ≤0, the cause was classified as a non-stressor. If scores were 1-3, the cause was classified as a possible stressor. If scores were &gt;3, the cause was classified as a probable stressor (</w:t>
      </w:r>
      <w:r w:rsidRPr="007E72F0">
        <w:fldChar w:fldCharType="begin"/>
      </w:r>
      <w:r w:rsidRPr="007E72F0">
        <w:instrText xml:space="preserve"> REF _Ref50625272 \h  \* MERGEFORMAT </w:instrText>
      </w:r>
      <w:r w:rsidRPr="007E72F0">
        <w:fldChar w:fldCharType="separate"/>
      </w:r>
      <w:r w:rsidR="004A78BF" w:rsidRPr="007E72F0">
        <w:t xml:space="preserve">Table </w:t>
      </w:r>
      <w:r w:rsidR="004A78BF">
        <w:rPr>
          <w:noProof/>
        </w:rPr>
        <w:t>27</w:t>
      </w:r>
      <w:r w:rsidRPr="007E72F0">
        <w:fldChar w:fldCharType="end"/>
      </w:r>
      <w:r w:rsidRPr="007E72F0">
        <w:t>).</w:t>
      </w:r>
    </w:p>
    <w:p w14:paraId="2F9B9FCD" w14:textId="71ECDB0A" w:rsidR="00EE2FD8" w:rsidRDefault="00EE2FD8" w:rsidP="008A1F50">
      <w:pPr>
        <w:pStyle w:val="BlockText"/>
      </w:pPr>
    </w:p>
    <w:p w14:paraId="269C0DA3" w14:textId="77777777" w:rsidR="00EE2FD8" w:rsidRDefault="00EE2FD8" w:rsidP="008A1F50">
      <w:pPr>
        <w:pStyle w:val="BlockText"/>
      </w:pPr>
    </w:p>
    <w:p w14:paraId="09D6ED02" w14:textId="09B83A04" w:rsidR="008A1F50" w:rsidRPr="007E72F0" w:rsidRDefault="008A1F50" w:rsidP="008A1F50">
      <w:pPr>
        <w:pStyle w:val="Caption"/>
      </w:pPr>
      <w:bookmarkStart w:id="201" w:name="_Ref45805768"/>
      <w:bookmarkStart w:id="202" w:name="_Toc162948293"/>
      <w:r w:rsidRPr="007E72F0">
        <w:t xml:space="preserve">Table </w:t>
      </w:r>
      <w:r w:rsidRPr="007E72F0">
        <w:rPr>
          <w:noProof/>
        </w:rPr>
        <w:fldChar w:fldCharType="begin"/>
      </w:r>
      <w:r w:rsidRPr="007E72F0">
        <w:rPr>
          <w:noProof/>
        </w:rPr>
        <w:instrText xml:space="preserve"> SEQ Table \* ARABIC </w:instrText>
      </w:r>
      <w:r w:rsidRPr="007E72F0">
        <w:rPr>
          <w:noProof/>
        </w:rPr>
        <w:fldChar w:fldCharType="separate"/>
      </w:r>
      <w:r w:rsidR="004A78BF">
        <w:rPr>
          <w:noProof/>
        </w:rPr>
        <w:t>26</w:t>
      </w:r>
      <w:r w:rsidRPr="007E72F0">
        <w:rPr>
          <w:noProof/>
        </w:rPr>
        <w:fldChar w:fldCharType="end"/>
      </w:r>
      <w:bookmarkEnd w:id="201"/>
      <w:r w:rsidRPr="007E72F0">
        <w:t>. Scoring criteria used to evaluate candidate stressors.</w:t>
      </w:r>
      <w:bookmarkEnd w:id="202"/>
    </w:p>
    <w:tbl>
      <w:tblPr>
        <w:tblW w:w="0" w:type="auto"/>
        <w:tblInd w:w="78" w:type="dxa"/>
        <w:tblLayout w:type="fixed"/>
        <w:tblLook w:val="0000" w:firstRow="0" w:lastRow="0" w:firstColumn="0" w:lastColumn="0" w:noHBand="0" w:noVBand="0"/>
      </w:tblPr>
      <w:tblGrid>
        <w:gridCol w:w="1264"/>
        <w:gridCol w:w="4320"/>
      </w:tblGrid>
      <w:tr w:rsidR="008A1F50" w:rsidRPr="007E72F0" w14:paraId="42A20E83" w14:textId="77777777" w:rsidTr="00153A61">
        <w:trPr>
          <w:trHeight w:val="247"/>
        </w:trPr>
        <w:tc>
          <w:tcPr>
            <w:tcW w:w="1264" w:type="dxa"/>
            <w:tcBorders>
              <w:top w:val="single" w:sz="6" w:space="0" w:color="auto"/>
              <w:left w:val="single" w:sz="6" w:space="0" w:color="auto"/>
              <w:bottom w:val="single" w:sz="6" w:space="0" w:color="auto"/>
              <w:right w:val="single" w:sz="6" w:space="0" w:color="auto"/>
            </w:tcBorders>
            <w:shd w:val="clear" w:color="auto" w:fill="E0E0E0"/>
            <w:vAlign w:val="center"/>
          </w:tcPr>
          <w:p w14:paraId="154F111D" w14:textId="77777777" w:rsidR="008A1F50" w:rsidRPr="007E72F0" w:rsidRDefault="008A1F50" w:rsidP="00153A61">
            <w:pPr>
              <w:jc w:val="center"/>
              <w:rPr>
                <w:rFonts w:ascii="Arial Narrow" w:hAnsi="Arial Narrow"/>
                <w:b/>
                <w:sz w:val="20"/>
                <w:szCs w:val="20"/>
              </w:rPr>
            </w:pPr>
            <w:r w:rsidRPr="007E72F0">
              <w:rPr>
                <w:rFonts w:ascii="Arial Narrow" w:hAnsi="Arial Narrow"/>
                <w:b/>
                <w:sz w:val="20"/>
                <w:szCs w:val="20"/>
              </w:rPr>
              <w:t>Score</w:t>
            </w:r>
          </w:p>
        </w:tc>
        <w:tc>
          <w:tcPr>
            <w:tcW w:w="4320" w:type="dxa"/>
            <w:tcBorders>
              <w:top w:val="single" w:sz="6" w:space="0" w:color="auto"/>
              <w:left w:val="single" w:sz="6" w:space="0" w:color="auto"/>
              <w:bottom w:val="single" w:sz="6" w:space="0" w:color="auto"/>
              <w:right w:val="single" w:sz="6" w:space="0" w:color="auto"/>
            </w:tcBorders>
            <w:shd w:val="clear" w:color="auto" w:fill="E0E0E0"/>
            <w:vAlign w:val="center"/>
          </w:tcPr>
          <w:p w14:paraId="15503F88" w14:textId="77777777" w:rsidR="008A1F50" w:rsidRPr="007E72F0" w:rsidRDefault="008A1F50" w:rsidP="00153A61">
            <w:pPr>
              <w:jc w:val="center"/>
              <w:rPr>
                <w:rFonts w:ascii="Arial Narrow" w:hAnsi="Arial Narrow"/>
                <w:b/>
                <w:sz w:val="20"/>
                <w:szCs w:val="20"/>
              </w:rPr>
            </w:pPr>
            <w:r w:rsidRPr="007E72F0">
              <w:rPr>
                <w:rFonts w:ascii="Arial Narrow" w:hAnsi="Arial Narrow"/>
                <w:b/>
                <w:sz w:val="20"/>
                <w:szCs w:val="20"/>
              </w:rPr>
              <w:t>Explanation</w:t>
            </w:r>
          </w:p>
        </w:tc>
      </w:tr>
      <w:tr w:rsidR="008A1F50" w:rsidRPr="007E72F0" w14:paraId="784C403F" w14:textId="77777777" w:rsidTr="00153A61">
        <w:trPr>
          <w:trHeight w:val="247"/>
        </w:trPr>
        <w:tc>
          <w:tcPr>
            <w:tcW w:w="1264" w:type="dxa"/>
            <w:tcBorders>
              <w:top w:val="single" w:sz="6" w:space="0" w:color="auto"/>
              <w:left w:val="single" w:sz="6" w:space="0" w:color="auto"/>
              <w:bottom w:val="single" w:sz="6" w:space="0" w:color="auto"/>
              <w:right w:val="single" w:sz="6" w:space="0" w:color="auto"/>
            </w:tcBorders>
            <w:vAlign w:val="center"/>
          </w:tcPr>
          <w:p w14:paraId="5E1383B7" w14:textId="77777777" w:rsidR="008A1F50" w:rsidRPr="007E72F0" w:rsidRDefault="008A1F50" w:rsidP="00153A61">
            <w:pPr>
              <w:jc w:val="center"/>
              <w:rPr>
                <w:rFonts w:ascii="Arial Narrow" w:hAnsi="Arial Narrow"/>
                <w:sz w:val="20"/>
                <w:szCs w:val="20"/>
              </w:rPr>
            </w:pPr>
            <w:r w:rsidRPr="007E72F0">
              <w:rPr>
                <w:rFonts w:ascii="Arial Narrow" w:hAnsi="Arial Narrow"/>
                <w:sz w:val="20"/>
                <w:szCs w:val="20"/>
              </w:rPr>
              <w:t>+3</w:t>
            </w:r>
          </w:p>
        </w:tc>
        <w:tc>
          <w:tcPr>
            <w:tcW w:w="4320" w:type="dxa"/>
            <w:tcBorders>
              <w:top w:val="single" w:sz="6" w:space="0" w:color="auto"/>
              <w:left w:val="single" w:sz="6" w:space="0" w:color="auto"/>
              <w:bottom w:val="single" w:sz="6" w:space="0" w:color="auto"/>
              <w:right w:val="single" w:sz="6" w:space="0" w:color="auto"/>
            </w:tcBorders>
            <w:vAlign w:val="center"/>
          </w:tcPr>
          <w:p w14:paraId="2DB0F24D" w14:textId="77777777" w:rsidR="008A1F50" w:rsidRPr="007E72F0" w:rsidRDefault="008A1F50" w:rsidP="00153A61">
            <w:pPr>
              <w:rPr>
                <w:rFonts w:ascii="Arial Narrow" w:hAnsi="Arial Narrow"/>
                <w:sz w:val="20"/>
                <w:szCs w:val="20"/>
              </w:rPr>
            </w:pPr>
            <w:r w:rsidRPr="007E72F0">
              <w:rPr>
                <w:rFonts w:ascii="Arial Narrow" w:hAnsi="Arial Narrow"/>
                <w:sz w:val="20"/>
                <w:szCs w:val="20"/>
              </w:rPr>
              <w:t xml:space="preserve">The line of evidence </w:t>
            </w:r>
            <w:r w:rsidRPr="007E72F0">
              <w:rPr>
                <w:rFonts w:ascii="Arial Narrow" w:hAnsi="Arial Narrow"/>
                <w:b/>
                <w:sz w:val="20"/>
                <w:szCs w:val="20"/>
                <w:u w:val="single"/>
              </w:rPr>
              <w:t>strongly supports</w:t>
            </w:r>
            <w:r w:rsidRPr="007E72F0">
              <w:rPr>
                <w:rFonts w:ascii="Arial Narrow" w:hAnsi="Arial Narrow"/>
                <w:sz w:val="20"/>
                <w:szCs w:val="20"/>
              </w:rPr>
              <w:t xml:space="preserve"> the candidate stressor as the cause of the impairment</w:t>
            </w:r>
          </w:p>
        </w:tc>
      </w:tr>
      <w:tr w:rsidR="008A1F50" w:rsidRPr="007E72F0" w14:paraId="59F36BD5" w14:textId="77777777" w:rsidTr="00153A61">
        <w:trPr>
          <w:trHeight w:val="247"/>
        </w:trPr>
        <w:tc>
          <w:tcPr>
            <w:tcW w:w="1264" w:type="dxa"/>
            <w:tcBorders>
              <w:top w:val="single" w:sz="6" w:space="0" w:color="auto"/>
              <w:left w:val="single" w:sz="6" w:space="0" w:color="auto"/>
              <w:bottom w:val="single" w:sz="6" w:space="0" w:color="auto"/>
              <w:right w:val="single" w:sz="6" w:space="0" w:color="auto"/>
            </w:tcBorders>
            <w:vAlign w:val="center"/>
          </w:tcPr>
          <w:p w14:paraId="2049ADA5" w14:textId="77777777" w:rsidR="008A1F50" w:rsidRPr="007E72F0" w:rsidRDefault="008A1F50" w:rsidP="00153A61">
            <w:pPr>
              <w:jc w:val="center"/>
              <w:rPr>
                <w:rFonts w:ascii="Arial Narrow" w:hAnsi="Arial Narrow"/>
                <w:sz w:val="20"/>
                <w:szCs w:val="20"/>
              </w:rPr>
            </w:pPr>
            <w:r w:rsidRPr="007E72F0">
              <w:rPr>
                <w:rFonts w:ascii="Arial Narrow" w:hAnsi="Arial Narrow"/>
                <w:sz w:val="20"/>
                <w:szCs w:val="20"/>
              </w:rPr>
              <w:t>+2</w:t>
            </w:r>
          </w:p>
        </w:tc>
        <w:tc>
          <w:tcPr>
            <w:tcW w:w="4320" w:type="dxa"/>
            <w:tcBorders>
              <w:top w:val="single" w:sz="6" w:space="0" w:color="auto"/>
              <w:left w:val="single" w:sz="6" w:space="0" w:color="auto"/>
              <w:bottom w:val="single" w:sz="6" w:space="0" w:color="auto"/>
              <w:right w:val="single" w:sz="6" w:space="0" w:color="auto"/>
            </w:tcBorders>
            <w:vAlign w:val="center"/>
          </w:tcPr>
          <w:p w14:paraId="4597570D" w14:textId="77777777" w:rsidR="008A1F50" w:rsidRPr="007E72F0" w:rsidRDefault="008A1F50" w:rsidP="00153A61">
            <w:pPr>
              <w:rPr>
                <w:rFonts w:ascii="Arial Narrow" w:hAnsi="Arial Narrow"/>
                <w:sz w:val="20"/>
                <w:szCs w:val="20"/>
              </w:rPr>
            </w:pPr>
            <w:r w:rsidRPr="007E72F0">
              <w:rPr>
                <w:rFonts w:ascii="Arial Narrow" w:hAnsi="Arial Narrow"/>
                <w:sz w:val="20"/>
                <w:szCs w:val="20"/>
              </w:rPr>
              <w:t xml:space="preserve">The line of evidence </w:t>
            </w:r>
            <w:r w:rsidRPr="007E72F0">
              <w:rPr>
                <w:rFonts w:ascii="Arial Narrow" w:hAnsi="Arial Narrow"/>
                <w:b/>
                <w:sz w:val="20"/>
                <w:szCs w:val="20"/>
                <w:u w:val="single"/>
              </w:rPr>
              <w:t>moderately supports</w:t>
            </w:r>
            <w:r w:rsidRPr="007E72F0">
              <w:rPr>
                <w:rFonts w:ascii="Arial Narrow" w:hAnsi="Arial Narrow"/>
                <w:sz w:val="20"/>
                <w:szCs w:val="20"/>
              </w:rPr>
              <w:t xml:space="preserve"> the candidate stressor as the cause of the impairment</w:t>
            </w:r>
          </w:p>
        </w:tc>
      </w:tr>
      <w:tr w:rsidR="008A1F50" w:rsidRPr="007E72F0" w14:paraId="18849CF9" w14:textId="77777777" w:rsidTr="00153A61">
        <w:trPr>
          <w:trHeight w:val="247"/>
        </w:trPr>
        <w:tc>
          <w:tcPr>
            <w:tcW w:w="1264" w:type="dxa"/>
            <w:tcBorders>
              <w:top w:val="single" w:sz="6" w:space="0" w:color="auto"/>
              <w:left w:val="single" w:sz="6" w:space="0" w:color="auto"/>
              <w:bottom w:val="single" w:sz="6" w:space="0" w:color="auto"/>
              <w:right w:val="single" w:sz="6" w:space="0" w:color="auto"/>
            </w:tcBorders>
            <w:vAlign w:val="center"/>
          </w:tcPr>
          <w:p w14:paraId="6A7CA99C" w14:textId="77777777" w:rsidR="008A1F50" w:rsidRPr="007E72F0" w:rsidRDefault="008A1F50" w:rsidP="00153A61">
            <w:pPr>
              <w:jc w:val="center"/>
              <w:rPr>
                <w:rFonts w:ascii="Arial Narrow" w:hAnsi="Arial Narrow"/>
                <w:sz w:val="20"/>
                <w:szCs w:val="20"/>
              </w:rPr>
            </w:pPr>
            <w:r w:rsidRPr="007E72F0">
              <w:rPr>
                <w:rFonts w:ascii="Arial Narrow" w:hAnsi="Arial Narrow"/>
                <w:sz w:val="20"/>
                <w:szCs w:val="20"/>
              </w:rPr>
              <w:t>+1</w:t>
            </w:r>
          </w:p>
        </w:tc>
        <w:tc>
          <w:tcPr>
            <w:tcW w:w="4320" w:type="dxa"/>
            <w:tcBorders>
              <w:top w:val="single" w:sz="6" w:space="0" w:color="auto"/>
              <w:left w:val="single" w:sz="6" w:space="0" w:color="auto"/>
              <w:bottom w:val="single" w:sz="6" w:space="0" w:color="auto"/>
              <w:right w:val="single" w:sz="6" w:space="0" w:color="auto"/>
            </w:tcBorders>
            <w:vAlign w:val="center"/>
          </w:tcPr>
          <w:p w14:paraId="4B83C0B4" w14:textId="77777777" w:rsidR="008A1F50" w:rsidRPr="007E72F0" w:rsidRDefault="008A1F50" w:rsidP="00153A61">
            <w:pPr>
              <w:rPr>
                <w:rFonts w:ascii="Arial Narrow" w:hAnsi="Arial Narrow"/>
                <w:sz w:val="20"/>
                <w:szCs w:val="20"/>
              </w:rPr>
            </w:pPr>
            <w:r w:rsidRPr="007E72F0">
              <w:rPr>
                <w:rFonts w:ascii="Arial Narrow" w:hAnsi="Arial Narrow"/>
                <w:sz w:val="20"/>
                <w:szCs w:val="20"/>
              </w:rPr>
              <w:t xml:space="preserve">The line of evidence </w:t>
            </w:r>
            <w:r w:rsidRPr="007E72F0">
              <w:rPr>
                <w:rFonts w:ascii="Arial Narrow" w:hAnsi="Arial Narrow"/>
                <w:b/>
                <w:sz w:val="20"/>
                <w:szCs w:val="20"/>
                <w:u w:val="single"/>
              </w:rPr>
              <w:t>weakly supports</w:t>
            </w:r>
            <w:r w:rsidRPr="007E72F0">
              <w:rPr>
                <w:rFonts w:ascii="Arial Narrow" w:hAnsi="Arial Narrow"/>
                <w:sz w:val="20"/>
                <w:szCs w:val="20"/>
              </w:rPr>
              <w:t xml:space="preserve"> the candidate stressor as the cause of the impairment</w:t>
            </w:r>
          </w:p>
        </w:tc>
      </w:tr>
      <w:tr w:rsidR="008A1F50" w:rsidRPr="007E72F0" w14:paraId="2E2BEE1D" w14:textId="77777777" w:rsidTr="00153A61">
        <w:trPr>
          <w:trHeight w:val="247"/>
        </w:trPr>
        <w:tc>
          <w:tcPr>
            <w:tcW w:w="1264" w:type="dxa"/>
            <w:tcBorders>
              <w:top w:val="single" w:sz="6" w:space="0" w:color="auto"/>
              <w:left w:val="single" w:sz="6" w:space="0" w:color="auto"/>
              <w:bottom w:val="single" w:sz="6" w:space="0" w:color="auto"/>
              <w:right w:val="single" w:sz="6" w:space="0" w:color="auto"/>
            </w:tcBorders>
            <w:vAlign w:val="center"/>
          </w:tcPr>
          <w:p w14:paraId="3286BF4B" w14:textId="77777777" w:rsidR="008A1F50" w:rsidRPr="007E72F0" w:rsidRDefault="008A1F50" w:rsidP="00153A61">
            <w:pPr>
              <w:jc w:val="center"/>
              <w:rPr>
                <w:rFonts w:ascii="Arial Narrow" w:hAnsi="Arial Narrow"/>
                <w:sz w:val="20"/>
                <w:szCs w:val="20"/>
              </w:rPr>
            </w:pPr>
            <w:r w:rsidRPr="007E72F0">
              <w:rPr>
                <w:rFonts w:ascii="Arial Narrow" w:hAnsi="Arial Narrow"/>
                <w:sz w:val="20"/>
                <w:szCs w:val="20"/>
              </w:rPr>
              <w:t>0</w:t>
            </w:r>
          </w:p>
        </w:tc>
        <w:tc>
          <w:tcPr>
            <w:tcW w:w="4320" w:type="dxa"/>
            <w:tcBorders>
              <w:top w:val="single" w:sz="6" w:space="0" w:color="auto"/>
              <w:left w:val="single" w:sz="6" w:space="0" w:color="auto"/>
              <w:bottom w:val="single" w:sz="6" w:space="0" w:color="auto"/>
              <w:right w:val="single" w:sz="6" w:space="0" w:color="auto"/>
            </w:tcBorders>
            <w:vAlign w:val="center"/>
          </w:tcPr>
          <w:p w14:paraId="76657AFB" w14:textId="77777777" w:rsidR="008A1F50" w:rsidRPr="007E72F0" w:rsidRDefault="008A1F50" w:rsidP="00153A61">
            <w:pPr>
              <w:rPr>
                <w:rFonts w:ascii="Arial Narrow" w:hAnsi="Arial Narrow"/>
                <w:sz w:val="20"/>
                <w:szCs w:val="20"/>
              </w:rPr>
            </w:pPr>
            <w:r w:rsidRPr="007E72F0">
              <w:rPr>
                <w:rFonts w:ascii="Arial Narrow" w:hAnsi="Arial Narrow"/>
                <w:sz w:val="20"/>
                <w:szCs w:val="20"/>
              </w:rPr>
              <w:t xml:space="preserve">The line of evidence </w:t>
            </w:r>
            <w:r w:rsidRPr="007E72F0">
              <w:rPr>
                <w:rFonts w:ascii="Arial Narrow" w:hAnsi="Arial Narrow"/>
                <w:b/>
                <w:sz w:val="20"/>
                <w:szCs w:val="20"/>
                <w:u w:val="single"/>
              </w:rPr>
              <w:t>does not support or refute</w:t>
            </w:r>
            <w:r w:rsidRPr="007E72F0">
              <w:rPr>
                <w:rFonts w:ascii="Arial Narrow" w:hAnsi="Arial Narrow"/>
                <w:sz w:val="20"/>
                <w:szCs w:val="20"/>
              </w:rPr>
              <w:t xml:space="preserve"> the candidate stressor as the cause of the impairment</w:t>
            </w:r>
          </w:p>
        </w:tc>
      </w:tr>
      <w:tr w:rsidR="008A1F50" w:rsidRPr="007E72F0" w14:paraId="2722C0DF" w14:textId="77777777" w:rsidTr="00153A61">
        <w:trPr>
          <w:trHeight w:val="247"/>
        </w:trPr>
        <w:tc>
          <w:tcPr>
            <w:tcW w:w="1264" w:type="dxa"/>
            <w:tcBorders>
              <w:top w:val="single" w:sz="6" w:space="0" w:color="auto"/>
              <w:left w:val="single" w:sz="6" w:space="0" w:color="auto"/>
              <w:bottom w:val="single" w:sz="6" w:space="0" w:color="auto"/>
              <w:right w:val="single" w:sz="6" w:space="0" w:color="auto"/>
            </w:tcBorders>
            <w:vAlign w:val="center"/>
          </w:tcPr>
          <w:p w14:paraId="665A9CFC" w14:textId="77777777" w:rsidR="008A1F50" w:rsidRPr="007E72F0" w:rsidRDefault="008A1F50" w:rsidP="00153A61">
            <w:pPr>
              <w:jc w:val="center"/>
              <w:rPr>
                <w:rFonts w:ascii="Arial Narrow" w:hAnsi="Arial Narrow"/>
                <w:sz w:val="20"/>
                <w:szCs w:val="20"/>
              </w:rPr>
            </w:pPr>
            <w:r w:rsidRPr="007E72F0">
              <w:rPr>
                <w:rFonts w:ascii="Arial Narrow" w:hAnsi="Arial Narrow"/>
                <w:sz w:val="20"/>
                <w:szCs w:val="20"/>
              </w:rPr>
              <w:t>-1</w:t>
            </w:r>
          </w:p>
        </w:tc>
        <w:tc>
          <w:tcPr>
            <w:tcW w:w="4320" w:type="dxa"/>
            <w:tcBorders>
              <w:top w:val="single" w:sz="6" w:space="0" w:color="auto"/>
              <w:left w:val="single" w:sz="6" w:space="0" w:color="auto"/>
              <w:bottom w:val="single" w:sz="6" w:space="0" w:color="auto"/>
              <w:right w:val="single" w:sz="6" w:space="0" w:color="auto"/>
            </w:tcBorders>
            <w:vAlign w:val="center"/>
          </w:tcPr>
          <w:p w14:paraId="3D455034" w14:textId="77777777" w:rsidR="008A1F50" w:rsidRPr="007E72F0" w:rsidRDefault="008A1F50" w:rsidP="00153A61">
            <w:pPr>
              <w:rPr>
                <w:rFonts w:ascii="Arial Narrow" w:hAnsi="Arial Narrow"/>
                <w:sz w:val="20"/>
                <w:szCs w:val="20"/>
              </w:rPr>
            </w:pPr>
            <w:r w:rsidRPr="007E72F0">
              <w:rPr>
                <w:rFonts w:ascii="Arial Narrow" w:hAnsi="Arial Narrow"/>
                <w:sz w:val="20"/>
                <w:szCs w:val="20"/>
              </w:rPr>
              <w:t xml:space="preserve">The line of evidence </w:t>
            </w:r>
            <w:r w:rsidRPr="007E72F0">
              <w:rPr>
                <w:rFonts w:ascii="Arial Narrow" w:hAnsi="Arial Narrow"/>
                <w:b/>
                <w:sz w:val="20"/>
                <w:szCs w:val="20"/>
                <w:u w:val="single"/>
              </w:rPr>
              <w:t>weakly refutes</w:t>
            </w:r>
            <w:r w:rsidRPr="007E72F0">
              <w:rPr>
                <w:rFonts w:ascii="Arial Narrow" w:hAnsi="Arial Narrow"/>
                <w:sz w:val="20"/>
                <w:szCs w:val="20"/>
              </w:rPr>
              <w:t xml:space="preserve"> the candidate stressor as the cause of the impairment</w:t>
            </w:r>
          </w:p>
        </w:tc>
      </w:tr>
      <w:tr w:rsidR="008A1F50" w:rsidRPr="007E72F0" w14:paraId="07789C2E" w14:textId="77777777" w:rsidTr="00153A61">
        <w:trPr>
          <w:trHeight w:val="247"/>
        </w:trPr>
        <w:tc>
          <w:tcPr>
            <w:tcW w:w="1264" w:type="dxa"/>
            <w:tcBorders>
              <w:top w:val="single" w:sz="6" w:space="0" w:color="auto"/>
              <w:left w:val="single" w:sz="6" w:space="0" w:color="auto"/>
              <w:bottom w:val="single" w:sz="6" w:space="0" w:color="auto"/>
              <w:right w:val="single" w:sz="6" w:space="0" w:color="auto"/>
            </w:tcBorders>
            <w:vAlign w:val="center"/>
          </w:tcPr>
          <w:p w14:paraId="7B4DE6A7" w14:textId="77777777" w:rsidR="008A1F50" w:rsidRPr="007E72F0" w:rsidRDefault="008A1F50" w:rsidP="00153A61">
            <w:pPr>
              <w:jc w:val="center"/>
              <w:rPr>
                <w:rFonts w:ascii="Arial Narrow" w:hAnsi="Arial Narrow"/>
                <w:sz w:val="20"/>
                <w:szCs w:val="20"/>
              </w:rPr>
            </w:pPr>
            <w:r w:rsidRPr="007E72F0">
              <w:rPr>
                <w:rFonts w:ascii="Arial Narrow" w:hAnsi="Arial Narrow"/>
                <w:sz w:val="20"/>
                <w:szCs w:val="20"/>
              </w:rPr>
              <w:t>-2</w:t>
            </w:r>
          </w:p>
        </w:tc>
        <w:tc>
          <w:tcPr>
            <w:tcW w:w="4320" w:type="dxa"/>
            <w:tcBorders>
              <w:top w:val="single" w:sz="6" w:space="0" w:color="auto"/>
              <w:left w:val="single" w:sz="6" w:space="0" w:color="auto"/>
              <w:bottom w:val="single" w:sz="6" w:space="0" w:color="auto"/>
              <w:right w:val="single" w:sz="6" w:space="0" w:color="auto"/>
            </w:tcBorders>
            <w:vAlign w:val="center"/>
          </w:tcPr>
          <w:p w14:paraId="769684FC" w14:textId="77777777" w:rsidR="008A1F50" w:rsidRPr="007E72F0" w:rsidRDefault="008A1F50" w:rsidP="00153A61">
            <w:pPr>
              <w:rPr>
                <w:rFonts w:ascii="Arial Narrow" w:hAnsi="Arial Narrow"/>
                <w:sz w:val="20"/>
                <w:szCs w:val="20"/>
              </w:rPr>
            </w:pPr>
            <w:r w:rsidRPr="007E72F0">
              <w:rPr>
                <w:rFonts w:ascii="Arial Narrow" w:hAnsi="Arial Narrow"/>
                <w:sz w:val="20"/>
                <w:szCs w:val="20"/>
              </w:rPr>
              <w:t xml:space="preserve">The line of evidence </w:t>
            </w:r>
            <w:r w:rsidRPr="007E72F0">
              <w:rPr>
                <w:rFonts w:ascii="Arial Narrow" w:hAnsi="Arial Narrow"/>
                <w:b/>
                <w:sz w:val="20"/>
                <w:szCs w:val="20"/>
                <w:u w:val="single"/>
              </w:rPr>
              <w:t>moderately refutes</w:t>
            </w:r>
            <w:r w:rsidRPr="007E72F0">
              <w:rPr>
                <w:rFonts w:ascii="Arial Narrow" w:hAnsi="Arial Narrow"/>
                <w:sz w:val="20"/>
                <w:szCs w:val="20"/>
              </w:rPr>
              <w:t xml:space="preserve"> the candidate stressor as the cause of the impairment</w:t>
            </w:r>
          </w:p>
        </w:tc>
      </w:tr>
      <w:tr w:rsidR="008A1F50" w:rsidRPr="007E72F0" w14:paraId="6EE9F19F" w14:textId="77777777" w:rsidTr="00153A61">
        <w:trPr>
          <w:trHeight w:val="247"/>
        </w:trPr>
        <w:tc>
          <w:tcPr>
            <w:tcW w:w="1264" w:type="dxa"/>
            <w:tcBorders>
              <w:top w:val="single" w:sz="6" w:space="0" w:color="auto"/>
              <w:left w:val="single" w:sz="6" w:space="0" w:color="auto"/>
              <w:bottom w:val="single" w:sz="6" w:space="0" w:color="auto"/>
              <w:right w:val="single" w:sz="6" w:space="0" w:color="auto"/>
            </w:tcBorders>
            <w:vAlign w:val="center"/>
          </w:tcPr>
          <w:p w14:paraId="390C4217" w14:textId="77777777" w:rsidR="008A1F50" w:rsidRPr="007E72F0" w:rsidRDefault="008A1F50" w:rsidP="00153A61">
            <w:pPr>
              <w:jc w:val="center"/>
              <w:rPr>
                <w:rFonts w:ascii="Arial Narrow" w:hAnsi="Arial Narrow"/>
                <w:sz w:val="20"/>
                <w:szCs w:val="20"/>
              </w:rPr>
            </w:pPr>
            <w:r w:rsidRPr="007E72F0">
              <w:rPr>
                <w:rFonts w:ascii="Arial Narrow" w:hAnsi="Arial Narrow"/>
                <w:sz w:val="20"/>
                <w:szCs w:val="20"/>
              </w:rPr>
              <w:t>-3</w:t>
            </w:r>
          </w:p>
        </w:tc>
        <w:tc>
          <w:tcPr>
            <w:tcW w:w="4320" w:type="dxa"/>
            <w:tcBorders>
              <w:top w:val="single" w:sz="6" w:space="0" w:color="auto"/>
              <w:left w:val="single" w:sz="6" w:space="0" w:color="auto"/>
              <w:bottom w:val="single" w:sz="6" w:space="0" w:color="auto"/>
              <w:right w:val="single" w:sz="6" w:space="0" w:color="auto"/>
            </w:tcBorders>
            <w:vAlign w:val="center"/>
          </w:tcPr>
          <w:p w14:paraId="26503ABB" w14:textId="77777777" w:rsidR="008A1F50" w:rsidRPr="007E72F0" w:rsidRDefault="008A1F50" w:rsidP="00153A61">
            <w:pPr>
              <w:rPr>
                <w:rFonts w:ascii="Arial Narrow" w:hAnsi="Arial Narrow"/>
                <w:sz w:val="20"/>
                <w:szCs w:val="20"/>
              </w:rPr>
            </w:pPr>
            <w:r w:rsidRPr="007E72F0">
              <w:rPr>
                <w:rFonts w:ascii="Arial Narrow" w:hAnsi="Arial Narrow"/>
                <w:sz w:val="20"/>
                <w:szCs w:val="20"/>
              </w:rPr>
              <w:t xml:space="preserve">The line of evidence </w:t>
            </w:r>
            <w:r w:rsidRPr="007E72F0">
              <w:rPr>
                <w:rFonts w:ascii="Arial Narrow" w:hAnsi="Arial Narrow"/>
                <w:b/>
                <w:sz w:val="20"/>
                <w:szCs w:val="20"/>
                <w:u w:val="single"/>
              </w:rPr>
              <w:t>strongly refutes</w:t>
            </w:r>
            <w:r w:rsidRPr="007E72F0">
              <w:rPr>
                <w:rFonts w:ascii="Arial Narrow" w:hAnsi="Arial Narrow"/>
                <w:sz w:val="20"/>
                <w:szCs w:val="20"/>
              </w:rPr>
              <w:t xml:space="preserve"> the candidate stressor as the cause of the impairment</w:t>
            </w:r>
          </w:p>
        </w:tc>
      </w:tr>
    </w:tbl>
    <w:p w14:paraId="1FE74ADD" w14:textId="77777777" w:rsidR="008A1F50" w:rsidRPr="007E72F0" w:rsidRDefault="008A1F50" w:rsidP="005E4B50">
      <w:pPr>
        <w:pStyle w:val="BlockText"/>
        <w:spacing w:before="0" w:after="100" w:afterAutospacing="1" w:line="240" w:lineRule="auto"/>
      </w:pPr>
    </w:p>
    <w:p w14:paraId="02D10447" w14:textId="378AA4ED" w:rsidR="008A1F50" w:rsidRPr="007E72F0" w:rsidRDefault="008A1F50" w:rsidP="008A1F50">
      <w:pPr>
        <w:pStyle w:val="Caption"/>
      </w:pPr>
      <w:bookmarkStart w:id="203" w:name="_Ref50625272"/>
      <w:bookmarkStart w:id="204" w:name="_Toc162948294"/>
      <w:r w:rsidRPr="007E72F0">
        <w:t xml:space="preserve">Table </w:t>
      </w:r>
      <w:r w:rsidRPr="007E72F0">
        <w:rPr>
          <w:noProof/>
        </w:rPr>
        <w:fldChar w:fldCharType="begin"/>
      </w:r>
      <w:r w:rsidRPr="007E72F0">
        <w:rPr>
          <w:noProof/>
        </w:rPr>
        <w:instrText xml:space="preserve"> SEQ Table \* ARABIC </w:instrText>
      </w:r>
      <w:r w:rsidRPr="007E72F0">
        <w:rPr>
          <w:noProof/>
        </w:rPr>
        <w:fldChar w:fldCharType="separate"/>
      </w:r>
      <w:r w:rsidR="004A78BF">
        <w:rPr>
          <w:noProof/>
        </w:rPr>
        <w:t>27</w:t>
      </w:r>
      <w:r w:rsidRPr="007E72F0">
        <w:rPr>
          <w:noProof/>
        </w:rPr>
        <w:fldChar w:fldCharType="end"/>
      </w:r>
      <w:bookmarkEnd w:id="203"/>
      <w:r w:rsidRPr="007E72F0">
        <w:t>. Scheme for classifying candidate causes based on causal analysis.</w:t>
      </w:r>
      <w:bookmarkEnd w:id="204"/>
    </w:p>
    <w:tbl>
      <w:tblPr>
        <w:tblW w:w="0" w:type="auto"/>
        <w:tblInd w:w="78" w:type="dxa"/>
        <w:tblLayout w:type="fixed"/>
        <w:tblLook w:val="0000" w:firstRow="0" w:lastRow="0" w:firstColumn="0" w:lastColumn="0" w:noHBand="0" w:noVBand="0"/>
      </w:tblPr>
      <w:tblGrid>
        <w:gridCol w:w="1264"/>
        <w:gridCol w:w="2250"/>
      </w:tblGrid>
      <w:tr w:rsidR="008A1F50" w:rsidRPr="007E72F0" w14:paraId="44317068" w14:textId="77777777" w:rsidTr="00153A61">
        <w:trPr>
          <w:trHeight w:val="247"/>
        </w:trPr>
        <w:tc>
          <w:tcPr>
            <w:tcW w:w="1264" w:type="dxa"/>
            <w:tcBorders>
              <w:top w:val="single" w:sz="6" w:space="0" w:color="auto"/>
              <w:left w:val="single" w:sz="6" w:space="0" w:color="auto"/>
              <w:bottom w:val="single" w:sz="6" w:space="0" w:color="auto"/>
              <w:right w:val="single" w:sz="6" w:space="0" w:color="auto"/>
            </w:tcBorders>
            <w:shd w:val="clear" w:color="auto" w:fill="E0E0E0"/>
            <w:vAlign w:val="center"/>
          </w:tcPr>
          <w:p w14:paraId="279DC2CE" w14:textId="77777777" w:rsidR="008A1F50" w:rsidRPr="007E72F0" w:rsidRDefault="008A1F50" w:rsidP="00153A61">
            <w:pPr>
              <w:jc w:val="center"/>
              <w:rPr>
                <w:rFonts w:ascii="Arial Narrow" w:hAnsi="Arial Narrow"/>
                <w:b/>
                <w:sz w:val="20"/>
                <w:szCs w:val="20"/>
              </w:rPr>
            </w:pPr>
            <w:r w:rsidRPr="007E72F0">
              <w:rPr>
                <w:rFonts w:ascii="Arial Narrow" w:hAnsi="Arial Narrow"/>
                <w:b/>
                <w:sz w:val="20"/>
                <w:szCs w:val="20"/>
              </w:rPr>
              <w:t>Total Score</w:t>
            </w:r>
          </w:p>
        </w:tc>
        <w:tc>
          <w:tcPr>
            <w:tcW w:w="2250" w:type="dxa"/>
            <w:tcBorders>
              <w:top w:val="single" w:sz="6" w:space="0" w:color="auto"/>
              <w:left w:val="single" w:sz="6" w:space="0" w:color="auto"/>
              <w:bottom w:val="single" w:sz="6" w:space="0" w:color="auto"/>
              <w:right w:val="single" w:sz="6" w:space="0" w:color="auto"/>
            </w:tcBorders>
            <w:shd w:val="clear" w:color="auto" w:fill="E0E0E0"/>
            <w:vAlign w:val="center"/>
          </w:tcPr>
          <w:p w14:paraId="6A47165A" w14:textId="77777777" w:rsidR="008A1F50" w:rsidRPr="007E72F0" w:rsidRDefault="008A1F50" w:rsidP="00153A61">
            <w:pPr>
              <w:jc w:val="center"/>
              <w:rPr>
                <w:rFonts w:ascii="Arial Narrow" w:hAnsi="Arial Narrow"/>
                <w:b/>
                <w:sz w:val="20"/>
                <w:szCs w:val="20"/>
              </w:rPr>
            </w:pPr>
            <w:r w:rsidRPr="007E72F0">
              <w:rPr>
                <w:rFonts w:ascii="Arial Narrow" w:hAnsi="Arial Narrow"/>
                <w:b/>
                <w:sz w:val="20"/>
                <w:szCs w:val="20"/>
              </w:rPr>
              <w:t>Classification</w:t>
            </w:r>
          </w:p>
        </w:tc>
      </w:tr>
      <w:tr w:rsidR="008A1F50" w:rsidRPr="007E72F0" w14:paraId="18FE75B5" w14:textId="77777777" w:rsidTr="00153A61">
        <w:trPr>
          <w:trHeight w:val="247"/>
        </w:trPr>
        <w:tc>
          <w:tcPr>
            <w:tcW w:w="1264" w:type="dxa"/>
            <w:tcBorders>
              <w:top w:val="single" w:sz="6" w:space="0" w:color="auto"/>
              <w:left w:val="single" w:sz="6" w:space="0" w:color="auto"/>
              <w:bottom w:val="single" w:sz="6" w:space="0" w:color="auto"/>
              <w:right w:val="single" w:sz="6" w:space="0" w:color="auto"/>
            </w:tcBorders>
            <w:shd w:val="clear" w:color="auto" w:fill="A8D08D" w:themeFill="accent6" w:themeFillTint="99"/>
            <w:vAlign w:val="center"/>
          </w:tcPr>
          <w:p w14:paraId="37B22D55" w14:textId="77777777" w:rsidR="008A1F50" w:rsidRPr="007E72F0" w:rsidRDefault="008A1F50" w:rsidP="00153A61">
            <w:pPr>
              <w:jc w:val="center"/>
              <w:rPr>
                <w:rFonts w:ascii="Arial Narrow" w:hAnsi="Arial Narrow"/>
                <w:sz w:val="20"/>
                <w:szCs w:val="20"/>
              </w:rPr>
            </w:pPr>
            <w:r w:rsidRPr="007E72F0">
              <w:rPr>
                <w:rFonts w:ascii="Arial Narrow" w:hAnsi="Arial Narrow"/>
                <w:sz w:val="20"/>
                <w:szCs w:val="20"/>
              </w:rPr>
              <w:t>&lt;-2</w:t>
            </w:r>
          </w:p>
        </w:tc>
        <w:tc>
          <w:tcPr>
            <w:tcW w:w="2250" w:type="dxa"/>
            <w:vMerge w:val="restart"/>
            <w:tcBorders>
              <w:top w:val="single" w:sz="6" w:space="0" w:color="auto"/>
              <w:left w:val="single" w:sz="6" w:space="0" w:color="auto"/>
              <w:right w:val="single" w:sz="6" w:space="0" w:color="auto"/>
            </w:tcBorders>
            <w:shd w:val="clear" w:color="auto" w:fill="A8D08D" w:themeFill="accent6" w:themeFillTint="99"/>
            <w:vAlign w:val="center"/>
          </w:tcPr>
          <w:p w14:paraId="4981F0C4" w14:textId="77777777" w:rsidR="008A1F50" w:rsidRPr="007E72F0" w:rsidRDefault="008A1F50" w:rsidP="00153A61">
            <w:pPr>
              <w:jc w:val="center"/>
              <w:rPr>
                <w:rFonts w:ascii="Arial Narrow" w:hAnsi="Arial Narrow"/>
                <w:sz w:val="20"/>
                <w:szCs w:val="20"/>
              </w:rPr>
            </w:pPr>
            <w:r w:rsidRPr="007E72F0">
              <w:rPr>
                <w:rFonts w:ascii="Arial Narrow" w:hAnsi="Arial Narrow"/>
                <w:sz w:val="20"/>
                <w:szCs w:val="20"/>
              </w:rPr>
              <w:t>Non-Stressor</w:t>
            </w:r>
          </w:p>
        </w:tc>
      </w:tr>
      <w:tr w:rsidR="008A1F50" w:rsidRPr="007E72F0" w14:paraId="5AA7D33B" w14:textId="77777777" w:rsidTr="00153A61">
        <w:trPr>
          <w:trHeight w:val="247"/>
        </w:trPr>
        <w:tc>
          <w:tcPr>
            <w:tcW w:w="1264" w:type="dxa"/>
            <w:tcBorders>
              <w:top w:val="single" w:sz="6" w:space="0" w:color="auto"/>
              <w:left w:val="single" w:sz="6" w:space="0" w:color="auto"/>
              <w:bottom w:val="single" w:sz="6" w:space="0" w:color="auto"/>
              <w:right w:val="single" w:sz="6" w:space="0" w:color="auto"/>
            </w:tcBorders>
            <w:shd w:val="clear" w:color="auto" w:fill="A8D08D" w:themeFill="accent6" w:themeFillTint="99"/>
            <w:vAlign w:val="center"/>
          </w:tcPr>
          <w:p w14:paraId="74F666CF" w14:textId="77777777" w:rsidR="008A1F50" w:rsidRPr="007E72F0" w:rsidRDefault="008A1F50" w:rsidP="00153A61">
            <w:pPr>
              <w:jc w:val="center"/>
              <w:rPr>
                <w:rFonts w:ascii="Arial Narrow" w:hAnsi="Arial Narrow"/>
                <w:sz w:val="20"/>
                <w:szCs w:val="20"/>
              </w:rPr>
            </w:pPr>
            <w:r w:rsidRPr="007E72F0">
              <w:rPr>
                <w:rFonts w:ascii="Arial Narrow" w:hAnsi="Arial Narrow"/>
                <w:sz w:val="20"/>
                <w:szCs w:val="20"/>
              </w:rPr>
              <w:t>-1</w:t>
            </w:r>
          </w:p>
        </w:tc>
        <w:tc>
          <w:tcPr>
            <w:tcW w:w="2250" w:type="dxa"/>
            <w:vMerge/>
            <w:tcBorders>
              <w:left w:val="single" w:sz="6" w:space="0" w:color="auto"/>
              <w:right w:val="single" w:sz="6" w:space="0" w:color="auto"/>
            </w:tcBorders>
            <w:shd w:val="clear" w:color="auto" w:fill="A8D08D" w:themeFill="accent6" w:themeFillTint="99"/>
            <w:vAlign w:val="center"/>
          </w:tcPr>
          <w:p w14:paraId="2BD30D09" w14:textId="77777777" w:rsidR="008A1F50" w:rsidRPr="007E72F0" w:rsidRDefault="008A1F50" w:rsidP="00153A61">
            <w:pPr>
              <w:jc w:val="center"/>
              <w:rPr>
                <w:rFonts w:ascii="Arial Narrow" w:hAnsi="Arial Narrow"/>
                <w:sz w:val="20"/>
                <w:szCs w:val="20"/>
              </w:rPr>
            </w:pPr>
          </w:p>
        </w:tc>
      </w:tr>
      <w:tr w:rsidR="008A1F50" w:rsidRPr="007E72F0" w14:paraId="7006B4E7" w14:textId="77777777" w:rsidTr="00153A61">
        <w:trPr>
          <w:trHeight w:val="247"/>
        </w:trPr>
        <w:tc>
          <w:tcPr>
            <w:tcW w:w="1264" w:type="dxa"/>
            <w:tcBorders>
              <w:top w:val="single" w:sz="6" w:space="0" w:color="auto"/>
              <w:left w:val="single" w:sz="6" w:space="0" w:color="auto"/>
              <w:bottom w:val="single" w:sz="6" w:space="0" w:color="auto"/>
              <w:right w:val="single" w:sz="6" w:space="0" w:color="auto"/>
            </w:tcBorders>
            <w:shd w:val="clear" w:color="auto" w:fill="A8D08D" w:themeFill="accent6" w:themeFillTint="99"/>
            <w:vAlign w:val="center"/>
          </w:tcPr>
          <w:p w14:paraId="735F6AC7" w14:textId="77777777" w:rsidR="008A1F50" w:rsidRPr="007E72F0" w:rsidRDefault="008A1F50" w:rsidP="00153A61">
            <w:pPr>
              <w:jc w:val="center"/>
              <w:rPr>
                <w:rFonts w:ascii="Arial Narrow" w:hAnsi="Arial Narrow"/>
                <w:sz w:val="20"/>
                <w:szCs w:val="20"/>
              </w:rPr>
            </w:pPr>
            <w:r w:rsidRPr="007E72F0">
              <w:rPr>
                <w:rFonts w:ascii="Arial Narrow" w:hAnsi="Arial Narrow"/>
                <w:sz w:val="20"/>
                <w:szCs w:val="20"/>
              </w:rPr>
              <w:t>0</w:t>
            </w:r>
          </w:p>
        </w:tc>
        <w:tc>
          <w:tcPr>
            <w:tcW w:w="2250" w:type="dxa"/>
            <w:vMerge/>
            <w:tcBorders>
              <w:left w:val="single" w:sz="6" w:space="0" w:color="auto"/>
              <w:bottom w:val="single" w:sz="6" w:space="0" w:color="auto"/>
              <w:right w:val="single" w:sz="6" w:space="0" w:color="auto"/>
            </w:tcBorders>
            <w:shd w:val="clear" w:color="auto" w:fill="A8D08D" w:themeFill="accent6" w:themeFillTint="99"/>
            <w:vAlign w:val="center"/>
          </w:tcPr>
          <w:p w14:paraId="2E904729" w14:textId="77777777" w:rsidR="008A1F50" w:rsidRPr="007E72F0" w:rsidRDefault="008A1F50" w:rsidP="00153A61">
            <w:pPr>
              <w:jc w:val="center"/>
              <w:rPr>
                <w:rFonts w:ascii="Arial Narrow" w:hAnsi="Arial Narrow"/>
                <w:sz w:val="20"/>
                <w:szCs w:val="20"/>
              </w:rPr>
            </w:pPr>
          </w:p>
        </w:tc>
      </w:tr>
      <w:tr w:rsidR="008A1F50" w:rsidRPr="007E72F0" w14:paraId="54FEF3E7" w14:textId="77777777" w:rsidTr="00153A61">
        <w:trPr>
          <w:trHeight w:val="247"/>
        </w:trPr>
        <w:tc>
          <w:tcPr>
            <w:tcW w:w="1264" w:type="dxa"/>
            <w:tcBorders>
              <w:top w:val="single" w:sz="6" w:space="0" w:color="auto"/>
              <w:left w:val="single" w:sz="6" w:space="0" w:color="auto"/>
              <w:bottom w:val="single" w:sz="6" w:space="0" w:color="auto"/>
              <w:right w:val="single" w:sz="6" w:space="0" w:color="auto"/>
            </w:tcBorders>
            <w:shd w:val="clear" w:color="auto" w:fill="F4B083" w:themeFill="accent2" w:themeFillTint="99"/>
            <w:vAlign w:val="center"/>
          </w:tcPr>
          <w:p w14:paraId="4C56E6EC" w14:textId="77777777" w:rsidR="008A1F50" w:rsidRPr="007E72F0" w:rsidRDefault="008A1F50" w:rsidP="00153A61">
            <w:pPr>
              <w:jc w:val="center"/>
              <w:rPr>
                <w:rFonts w:ascii="Arial Narrow" w:hAnsi="Arial Narrow"/>
                <w:sz w:val="20"/>
                <w:szCs w:val="20"/>
              </w:rPr>
            </w:pPr>
            <w:r w:rsidRPr="007E72F0">
              <w:rPr>
                <w:rFonts w:ascii="Arial Narrow" w:hAnsi="Arial Narrow"/>
                <w:sz w:val="20"/>
                <w:szCs w:val="20"/>
              </w:rPr>
              <w:t>+1</w:t>
            </w:r>
          </w:p>
        </w:tc>
        <w:tc>
          <w:tcPr>
            <w:tcW w:w="2250" w:type="dxa"/>
            <w:vMerge w:val="restart"/>
            <w:tcBorders>
              <w:top w:val="single" w:sz="6" w:space="0" w:color="auto"/>
              <w:left w:val="single" w:sz="6" w:space="0" w:color="auto"/>
              <w:right w:val="single" w:sz="6" w:space="0" w:color="auto"/>
            </w:tcBorders>
            <w:shd w:val="clear" w:color="auto" w:fill="F4B083" w:themeFill="accent2" w:themeFillTint="99"/>
            <w:vAlign w:val="center"/>
          </w:tcPr>
          <w:p w14:paraId="3CE5BFE1" w14:textId="77777777" w:rsidR="008A1F50" w:rsidRPr="007E72F0" w:rsidRDefault="008A1F50" w:rsidP="00153A61">
            <w:pPr>
              <w:jc w:val="center"/>
              <w:rPr>
                <w:rFonts w:ascii="Arial Narrow" w:hAnsi="Arial Narrow"/>
                <w:sz w:val="20"/>
                <w:szCs w:val="20"/>
              </w:rPr>
            </w:pPr>
            <w:r w:rsidRPr="007E72F0">
              <w:rPr>
                <w:rFonts w:ascii="Arial Narrow" w:hAnsi="Arial Narrow"/>
                <w:sz w:val="20"/>
                <w:szCs w:val="20"/>
              </w:rPr>
              <w:t>Possible Stressor</w:t>
            </w:r>
          </w:p>
        </w:tc>
      </w:tr>
      <w:tr w:rsidR="008A1F50" w:rsidRPr="007E72F0" w14:paraId="1688D0AB" w14:textId="77777777" w:rsidTr="00153A61">
        <w:trPr>
          <w:trHeight w:val="247"/>
        </w:trPr>
        <w:tc>
          <w:tcPr>
            <w:tcW w:w="1264" w:type="dxa"/>
            <w:tcBorders>
              <w:top w:val="single" w:sz="6" w:space="0" w:color="auto"/>
              <w:left w:val="single" w:sz="6" w:space="0" w:color="auto"/>
              <w:bottom w:val="single" w:sz="6" w:space="0" w:color="auto"/>
              <w:right w:val="single" w:sz="6" w:space="0" w:color="auto"/>
            </w:tcBorders>
            <w:shd w:val="clear" w:color="auto" w:fill="F4B083" w:themeFill="accent2" w:themeFillTint="99"/>
            <w:vAlign w:val="center"/>
          </w:tcPr>
          <w:p w14:paraId="53DFC49A" w14:textId="77777777" w:rsidR="008A1F50" w:rsidRPr="007E72F0" w:rsidRDefault="008A1F50" w:rsidP="00153A61">
            <w:pPr>
              <w:jc w:val="center"/>
              <w:rPr>
                <w:rFonts w:ascii="Arial Narrow" w:hAnsi="Arial Narrow"/>
                <w:sz w:val="20"/>
                <w:szCs w:val="20"/>
              </w:rPr>
            </w:pPr>
            <w:r w:rsidRPr="007E72F0">
              <w:rPr>
                <w:rFonts w:ascii="Arial Narrow" w:hAnsi="Arial Narrow"/>
                <w:sz w:val="20"/>
                <w:szCs w:val="20"/>
              </w:rPr>
              <w:t>+2</w:t>
            </w:r>
          </w:p>
        </w:tc>
        <w:tc>
          <w:tcPr>
            <w:tcW w:w="2250" w:type="dxa"/>
            <w:vMerge/>
            <w:tcBorders>
              <w:left w:val="single" w:sz="6" w:space="0" w:color="auto"/>
              <w:right w:val="single" w:sz="6" w:space="0" w:color="auto"/>
            </w:tcBorders>
            <w:shd w:val="clear" w:color="auto" w:fill="F4B083" w:themeFill="accent2" w:themeFillTint="99"/>
            <w:vAlign w:val="center"/>
          </w:tcPr>
          <w:p w14:paraId="4A862010" w14:textId="77777777" w:rsidR="008A1F50" w:rsidRPr="007E72F0" w:rsidRDefault="008A1F50" w:rsidP="00153A61">
            <w:pPr>
              <w:jc w:val="center"/>
              <w:rPr>
                <w:rFonts w:ascii="Arial Narrow" w:hAnsi="Arial Narrow"/>
                <w:sz w:val="20"/>
                <w:szCs w:val="20"/>
              </w:rPr>
            </w:pPr>
          </w:p>
        </w:tc>
      </w:tr>
      <w:tr w:rsidR="008A1F50" w:rsidRPr="007E72F0" w14:paraId="4C9A694F" w14:textId="77777777" w:rsidTr="00153A61">
        <w:trPr>
          <w:trHeight w:val="247"/>
        </w:trPr>
        <w:tc>
          <w:tcPr>
            <w:tcW w:w="1264" w:type="dxa"/>
            <w:tcBorders>
              <w:top w:val="single" w:sz="6" w:space="0" w:color="auto"/>
              <w:left w:val="single" w:sz="6" w:space="0" w:color="auto"/>
              <w:bottom w:val="single" w:sz="6" w:space="0" w:color="auto"/>
              <w:right w:val="single" w:sz="6" w:space="0" w:color="auto"/>
            </w:tcBorders>
            <w:shd w:val="clear" w:color="auto" w:fill="F4B083" w:themeFill="accent2" w:themeFillTint="99"/>
            <w:vAlign w:val="center"/>
          </w:tcPr>
          <w:p w14:paraId="19B9F535" w14:textId="77777777" w:rsidR="008A1F50" w:rsidRPr="007E72F0" w:rsidRDefault="008A1F50" w:rsidP="00153A61">
            <w:pPr>
              <w:jc w:val="center"/>
              <w:rPr>
                <w:rFonts w:ascii="Arial Narrow" w:hAnsi="Arial Narrow"/>
                <w:sz w:val="20"/>
                <w:szCs w:val="20"/>
              </w:rPr>
            </w:pPr>
            <w:r w:rsidRPr="007E72F0">
              <w:rPr>
                <w:rFonts w:ascii="Arial Narrow" w:hAnsi="Arial Narrow"/>
                <w:sz w:val="20"/>
                <w:szCs w:val="20"/>
              </w:rPr>
              <w:t>+3</w:t>
            </w:r>
          </w:p>
        </w:tc>
        <w:tc>
          <w:tcPr>
            <w:tcW w:w="2250" w:type="dxa"/>
            <w:vMerge/>
            <w:tcBorders>
              <w:left w:val="single" w:sz="6" w:space="0" w:color="auto"/>
              <w:bottom w:val="single" w:sz="6" w:space="0" w:color="auto"/>
              <w:right w:val="single" w:sz="6" w:space="0" w:color="auto"/>
            </w:tcBorders>
            <w:shd w:val="clear" w:color="auto" w:fill="F4B083" w:themeFill="accent2" w:themeFillTint="99"/>
            <w:vAlign w:val="center"/>
          </w:tcPr>
          <w:p w14:paraId="0E00B7DE" w14:textId="77777777" w:rsidR="008A1F50" w:rsidRPr="007E72F0" w:rsidRDefault="008A1F50" w:rsidP="00153A61">
            <w:pPr>
              <w:jc w:val="center"/>
              <w:rPr>
                <w:rFonts w:ascii="Arial Narrow" w:hAnsi="Arial Narrow"/>
                <w:sz w:val="20"/>
                <w:szCs w:val="20"/>
              </w:rPr>
            </w:pPr>
          </w:p>
        </w:tc>
      </w:tr>
      <w:tr w:rsidR="008A1F50" w:rsidRPr="007E72F0" w14:paraId="327570AA" w14:textId="77777777" w:rsidTr="00153A61">
        <w:trPr>
          <w:trHeight w:val="247"/>
        </w:trPr>
        <w:tc>
          <w:tcPr>
            <w:tcW w:w="1264" w:type="dxa"/>
            <w:tcBorders>
              <w:top w:val="single" w:sz="6" w:space="0" w:color="auto"/>
              <w:left w:val="single" w:sz="6" w:space="0" w:color="auto"/>
              <w:bottom w:val="single" w:sz="6" w:space="0" w:color="auto"/>
              <w:right w:val="single" w:sz="6" w:space="0" w:color="auto"/>
            </w:tcBorders>
            <w:shd w:val="clear" w:color="auto" w:fill="FF9999"/>
            <w:vAlign w:val="center"/>
          </w:tcPr>
          <w:p w14:paraId="5AC6D53D" w14:textId="77777777" w:rsidR="008A1F50" w:rsidRPr="007E72F0" w:rsidRDefault="008A1F50" w:rsidP="00153A61">
            <w:pPr>
              <w:jc w:val="center"/>
              <w:rPr>
                <w:rFonts w:ascii="Arial Narrow" w:hAnsi="Arial Narrow"/>
                <w:sz w:val="20"/>
                <w:szCs w:val="20"/>
              </w:rPr>
            </w:pPr>
            <w:r w:rsidRPr="007E72F0">
              <w:rPr>
                <w:rFonts w:ascii="Arial Narrow" w:hAnsi="Arial Narrow"/>
                <w:sz w:val="20"/>
                <w:szCs w:val="20"/>
              </w:rPr>
              <w:t>+4</w:t>
            </w:r>
          </w:p>
        </w:tc>
        <w:tc>
          <w:tcPr>
            <w:tcW w:w="2250" w:type="dxa"/>
            <w:vMerge w:val="restart"/>
            <w:tcBorders>
              <w:top w:val="single" w:sz="6" w:space="0" w:color="auto"/>
              <w:left w:val="single" w:sz="6" w:space="0" w:color="auto"/>
              <w:right w:val="single" w:sz="6" w:space="0" w:color="auto"/>
            </w:tcBorders>
            <w:shd w:val="clear" w:color="auto" w:fill="FF9999"/>
            <w:vAlign w:val="center"/>
          </w:tcPr>
          <w:p w14:paraId="18EF6153" w14:textId="77777777" w:rsidR="008A1F50" w:rsidRPr="007E72F0" w:rsidRDefault="008A1F50" w:rsidP="00153A61">
            <w:pPr>
              <w:jc w:val="center"/>
              <w:rPr>
                <w:rFonts w:ascii="Arial Narrow" w:hAnsi="Arial Narrow"/>
                <w:sz w:val="20"/>
                <w:szCs w:val="20"/>
              </w:rPr>
            </w:pPr>
            <w:r w:rsidRPr="007E72F0">
              <w:rPr>
                <w:rFonts w:ascii="Arial Narrow" w:hAnsi="Arial Narrow"/>
                <w:sz w:val="20"/>
                <w:szCs w:val="20"/>
              </w:rPr>
              <w:t>Probable Stressor</w:t>
            </w:r>
          </w:p>
        </w:tc>
      </w:tr>
      <w:tr w:rsidR="008A1F50" w:rsidRPr="007E72F0" w14:paraId="7873F222" w14:textId="77777777" w:rsidTr="00153A61">
        <w:trPr>
          <w:trHeight w:val="247"/>
        </w:trPr>
        <w:tc>
          <w:tcPr>
            <w:tcW w:w="1264" w:type="dxa"/>
            <w:tcBorders>
              <w:top w:val="single" w:sz="6" w:space="0" w:color="auto"/>
              <w:left w:val="single" w:sz="6" w:space="0" w:color="auto"/>
              <w:bottom w:val="single" w:sz="6" w:space="0" w:color="auto"/>
              <w:right w:val="single" w:sz="6" w:space="0" w:color="auto"/>
            </w:tcBorders>
            <w:shd w:val="clear" w:color="auto" w:fill="FF9999"/>
            <w:vAlign w:val="center"/>
          </w:tcPr>
          <w:p w14:paraId="5E6FF67C" w14:textId="77777777" w:rsidR="008A1F50" w:rsidRPr="007E72F0" w:rsidRDefault="008A1F50" w:rsidP="00153A61">
            <w:pPr>
              <w:jc w:val="center"/>
              <w:rPr>
                <w:rFonts w:ascii="Arial Narrow" w:hAnsi="Arial Narrow"/>
                <w:sz w:val="20"/>
                <w:szCs w:val="20"/>
              </w:rPr>
            </w:pPr>
            <w:r w:rsidRPr="007E72F0">
              <w:rPr>
                <w:rFonts w:ascii="Arial Narrow" w:hAnsi="Arial Narrow"/>
                <w:sz w:val="20"/>
                <w:szCs w:val="20"/>
              </w:rPr>
              <w:t>+5</w:t>
            </w:r>
          </w:p>
        </w:tc>
        <w:tc>
          <w:tcPr>
            <w:tcW w:w="2250" w:type="dxa"/>
            <w:vMerge/>
            <w:tcBorders>
              <w:left w:val="single" w:sz="6" w:space="0" w:color="auto"/>
              <w:right w:val="single" w:sz="6" w:space="0" w:color="auto"/>
            </w:tcBorders>
            <w:shd w:val="clear" w:color="auto" w:fill="FF9999"/>
            <w:vAlign w:val="center"/>
          </w:tcPr>
          <w:p w14:paraId="084FCCE4" w14:textId="77777777" w:rsidR="008A1F50" w:rsidRPr="007E72F0" w:rsidRDefault="008A1F50" w:rsidP="00153A61">
            <w:pPr>
              <w:jc w:val="center"/>
              <w:rPr>
                <w:rFonts w:ascii="Arial Narrow" w:hAnsi="Arial Narrow"/>
                <w:sz w:val="20"/>
                <w:szCs w:val="20"/>
              </w:rPr>
            </w:pPr>
          </w:p>
        </w:tc>
      </w:tr>
      <w:tr w:rsidR="008A1F50" w:rsidRPr="007E72F0" w14:paraId="5ACCC8E4" w14:textId="77777777" w:rsidTr="00153A61">
        <w:trPr>
          <w:trHeight w:val="247"/>
        </w:trPr>
        <w:tc>
          <w:tcPr>
            <w:tcW w:w="1264" w:type="dxa"/>
            <w:tcBorders>
              <w:top w:val="single" w:sz="6" w:space="0" w:color="auto"/>
              <w:left w:val="single" w:sz="6" w:space="0" w:color="auto"/>
              <w:bottom w:val="single" w:sz="6" w:space="0" w:color="auto"/>
              <w:right w:val="single" w:sz="6" w:space="0" w:color="auto"/>
            </w:tcBorders>
            <w:shd w:val="clear" w:color="auto" w:fill="FF9999"/>
            <w:vAlign w:val="center"/>
          </w:tcPr>
          <w:p w14:paraId="131D021B" w14:textId="77777777" w:rsidR="008A1F50" w:rsidRPr="007E72F0" w:rsidRDefault="008A1F50" w:rsidP="00153A61">
            <w:pPr>
              <w:jc w:val="center"/>
              <w:rPr>
                <w:rFonts w:ascii="Arial Narrow" w:hAnsi="Arial Narrow"/>
                <w:sz w:val="20"/>
                <w:szCs w:val="20"/>
              </w:rPr>
            </w:pPr>
            <w:r w:rsidRPr="007E72F0">
              <w:rPr>
                <w:rFonts w:ascii="Arial Narrow" w:hAnsi="Arial Narrow"/>
                <w:sz w:val="20"/>
                <w:szCs w:val="20"/>
              </w:rPr>
              <w:t>&gt;+6</w:t>
            </w:r>
          </w:p>
        </w:tc>
        <w:tc>
          <w:tcPr>
            <w:tcW w:w="2250" w:type="dxa"/>
            <w:vMerge/>
            <w:tcBorders>
              <w:left w:val="single" w:sz="6" w:space="0" w:color="auto"/>
              <w:bottom w:val="single" w:sz="6" w:space="0" w:color="auto"/>
              <w:right w:val="single" w:sz="6" w:space="0" w:color="auto"/>
            </w:tcBorders>
            <w:shd w:val="clear" w:color="auto" w:fill="FF9999"/>
            <w:vAlign w:val="center"/>
          </w:tcPr>
          <w:p w14:paraId="5AE6941B" w14:textId="77777777" w:rsidR="008A1F50" w:rsidRPr="007E72F0" w:rsidRDefault="008A1F50" w:rsidP="00153A61">
            <w:pPr>
              <w:jc w:val="center"/>
              <w:rPr>
                <w:rFonts w:ascii="Arial Narrow" w:hAnsi="Arial Narrow"/>
                <w:sz w:val="20"/>
                <w:szCs w:val="20"/>
              </w:rPr>
            </w:pPr>
          </w:p>
        </w:tc>
      </w:tr>
    </w:tbl>
    <w:p w14:paraId="7D43C10B" w14:textId="77777777" w:rsidR="008A1F50" w:rsidRPr="007E72F0" w:rsidRDefault="008A1F50" w:rsidP="005E4B50">
      <w:pPr>
        <w:pStyle w:val="BlockText"/>
        <w:spacing w:before="0" w:after="0" w:line="240" w:lineRule="auto"/>
        <w:rPr>
          <w:noProof/>
        </w:rPr>
      </w:pPr>
    </w:p>
    <w:p w14:paraId="1E0D1849" w14:textId="77777777" w:rsidR="008A1F50" w:rsidRPr="00396EC1" w:rsidRDefault="008A1F50" w:rsidP="003B49F8">
      <w:pPr>
        <w:pStyle w:val="Heading2"/>
      </w:pPr>
      <w:bookmarkStart w:id="205" w:name="_Toc162948188"/>
      <w:r w:rsidRPr="00396EC1">
        <w:t>Temperature</w:t>
      </w:r>
      <w:bookmarkEnd w:id="205"/>
    </w:p>
    <w:p w14:paraId="77697744" w14:textId="7DF5EFF6" w:rsidR="008A1F50" w:rsidRDefault="008A1F50" w:rsidP="008A1F50">
      <w:pPr>
        <w:pStyle w:val="BlockText"/>
      </w:pPr>
      <w:r w:rsidRPr="00396EC1">
        <w:fldChar w:fldCharType="begin"/>
      </w:r>
      <w:r w:rsidRPr="00396EC1">
        <w:instrText xml:space="preserve"> REF _Ref50626327 \h  \* MERGEFORMAT </w:instrText>
      </w:r>
      <w:r w:rsidRPr="00396EC1">
        <w:fldChar w:fldCharType="separate"/>
      </w:r>
      <w:r w:rsidR="004A78BF" w:rsidRPr="00396EC1">
        <w:t xml:space="preserve">Table </w:t>
      </w:r>
      <w:r w:rsidR="004A78BF">
        <w:rPr>
          <w:noProof/>
        </w:rPr>
        <w:t>28</w:t>
      </w:r>
      <w:r w:rsidRPr="00396EC1">
        <w:fldChar w:fldCharType="end"/>
      </w:r>
      <w:r w:rsidRPr="00396EC1">
        <w:t xml:space="preserve"> shows the causal analysis results for temperature. Total causal analysis scores </w:t>
      </w:r>
      <w:r w:rsidR="005C4E8A">
        <w:t>ranged from</w:t>
      </w:r>
      <w:r w:rsidR="00396EC1">
        <w:t xml:space="preserve"> -1</w:t>
      </w:r>
      <w:r w:rsidR="000973EF">
        <w:t>4 to -6</w:t>
      </w:r>
      <w:r w:rsidR="005C4E8A">
        <w:t>, i</w:t>
      </w:r>
      <w:r w:rsidRPr="00396EC1">
        <w:t>ndicat</w:t>
      </w:r>
      <w:r w:rsidR="005C4E8A">
        <w:t>ing</w:t>
      </w:r>
      <w:r w:rsidRPr="00396EC1">
        <w:t xml:space="preserve"> that there is strong evidence that temperature is a non-stressor in </w:t>
      </w:r>
      <w:r w:rsidR="005C4E8A">
        <w:t xml:space="preserve">Roanoke River Project </w:t>
      </w:r>
      <w:r w:rsidRPr="00396EC1">
        <w:t xml:space="preserve">streams. No violations of the </w:t>
      </w:r>
      <w:r w:rsidR="00A83F5F">
        <w:t xml:space="preserve">mountainous zone </w:t>
      </w:r>
      <w:r w:rsidRPr="00396EC1">
        <w:t xml:space="preserve">temperature standard were observed at any of the benthic </w:t>
      </w:r>
      <w:r w:rsidRPr="003E474B">
        <w:t>monitoring stations</w:t>
      </w:r>
      <w:r w:rsidR="00A83F5F">
        <w:t>.</w:t>
      </w:r>
      <w:r w:rsidRPr="003E474B">
        <w:t xml:space="preserve"> </w:t>
      </w:r>
      <w:r w:rsidR="00A83F5F" w:rsidRPr="00A83F5F">
        <w:t xml:space="preserve">Several exceedances of the </w:t>
      </w:r>
      <w:proofErr w:type="spellStart"/>
      <w:r w:rsidR="00A83F5F" w:rsidRPr="00A83F5F">
        <w:t>stockable</w:t>
      </w:r>
      <w:proofErr w:type="spellEnd"/>
      <w:r w:rsidR="00A83F5F" w:rsidRPr="00A83F5F">
        <w:t xml:space="preserve"> trout temperature standard were observed in Tinker Creek, but this standard is designed to support </w:t>
      </w:r>
      <w:proofErr w:type="spellStart"/>
      <w:r w:rsidR="00A83F5F" w:rsidRPr="00A83F5F">
        <w:t>coldwater</w:t>
      </w:r>
      <w:proofErr w:type="spellEnd"/>
      <w:r w:rsidR="00A83F5F" w:rsidRPr="00A83F5F">
        <w:t xml:space="preserve"> fisheries and minor exceedances should not impact benthic macroinvertebrate health</w:t>
      </w:r>
      <w:r w:rsidR="00A83F5F">
        <w:t>. In addition, t</w:t>
      </w:r>
      <w:r w:rsidR="00A83F5F" w:rsidRPr="00A83F5F">
        <w:t>emperatures are generally highest in the late summer, however, fall benthic scores were higher than spring scores in each of the impaired streams.</w:t>
      </w:r>
      <w:r w:rsidR="00A83F5F">
        <w:t xml:space="preserve"> </w:t>
      </w:r>
      <w:r w:rsidRPr="003E474B">
        <w:t>For</w:t>
      </w:r>
      <w:r w:rsidRPr="00396EC1">
        <w:t xml:space="preserve"> th</w:t>
      </w:r>
      <w:r w:rsidR="00A83F5F">
        <w:t>ese</w:t>
      </w:r>
      <w:r w:rsidRPr="00396EC1">
        <w:t xml:space="preserve"> reason and others explained in </w:t>
      </w:r>
      <w:r w:rsidRPr="00396EC1">
        <w:fldChar w:fldCharType="begin"/>
      </w:r>
      <w:r w:rsidRPr="00396EC1">
        <w:instrText xml:space="preserve"> REF _Ref50626327 \h  \* MERGEFORMAT </w:instrText>
      </w:r>
      <w:r w:rsidRPr="00396EC1">
        <w:fldChar w:fldCharType="separate"/>
      </w:r>
      <w:r w:rsidR="004A78BF" w:rsidRPr="00396EC1">
        <w:t xml:space="preserve">Table </w:t>
      </w:r>
      <w:r w:rsidR="004A78BF">
        <w:rPr>
          <w:noProof/>
        </w:rPr>
        <w:t>28</w:t>
      </w:r>
      <w:r w:rsidRPr="00396EC1">
        <w:fldChar w:fldCharType="end"/>
      </w:r>
      <w:r w:rsidRPr="00396EC1">
        <w:t>, temperature was categorized as a non-stressor</w:t>
      </w:r>
      <w:r w:rsidR="0073580A">
        <w:t xml:space="preserve"> in </w:t>
      </w:r>
      <w:r w:rsidR="005C4E8A">
        <w:t>Roanoke River Project streams</w:t>
      </w:r>
      <w:r w:rsidRPr="00396EC1">
        <w:t>.</w:t>
      </w:r>
    </w:p>
    <w:p w14:paraId="5EB35FB5" w14:textId="77777777" w:rsidR="00EE2FD8" w:rsidRPr="00396EC1" w:rsidRDefault="00EE2FD8" w:rsidP="005E4B50">
      <w:pPr>
        <w:pStyle w:val="BlockText"/>
        <w:spacing w:before="0" w:after="0" w:line="240" w:lineRule="auto"/>
      </w:pPr>
    </w:p>
    <w:p w14:paraId="2411683C" w14:textId="72E4C1F4" w:rsidR="008A1F50" w:rsidRPr="00396EC1" w:rsidRDefault="008A1F50" w:rsidP="008A1F50">
      <w:pPr>
        <w:pStyle w:val="Caption"/>
      </w:pPr>
      <w:bookmarkStart w:id="206" w:name="_Ref50626327"/>
      <w:bookmarkStart w:id="207" w:name="_Toc162948295"/>
      <w:r w:rsidRPr="00396EC1">
        <w:t xml:space="preserve">Table </w:t>
      </w:r>
      <w:r w:rsidRPr="00396EC1">
        <w:rPr>
          <w:noProof/>
        </w:rPr>
        <w:fldChar w:fldCharType="begin"/>
      </w:r>
      <w:r w:rsidRPr="00396EC1">
        <w:rPr>
          <w:noProof/>
        </w:rPr>
        <w:instrText xml:space="preserve"> SEQ Table \* ARABIC </w:instrText>
      </w:r>
      <w:r w:rsidRPr="00396EC1">
        <w:rPr>
          <w:noProof/>
        </w:rPr>
        <w:fldChar w:fldCharType="separate"/>
      </w:r>
      <w:r w:rsidR="004A78BF">
        <w:rPr>
          <w:noProof/>
        </w:rPr>
        <w:t>28</w:t>
      </w:r>
      <w:r w:rsidRPr="00396EC1">
        <w:rPr>
          <w:noProof/>
        </w:rPr>
        <w:fldChar w:fldCharType="end"/>
      </w:r>
      <w:bookmarkEnd w:id="206"/>
      <w:r w:rsidRPr="00396EC1">
        <w:t>. Causal analysis results for temperature as a stressor.</w:t>
      </w:r>
      <w:bookmarkEnd w:id="207"/>
    </w:p>
    <w:tbl>
      <w:tblPr>
        <w:tblW w:w="9457"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7"/>
        <w:gridCol w:w="720"/>
        <w:gridCol w:w="720"/>
        <w:gridCol w:w="990"/>
        <w:gridCol w:w="990"/>
        <w:gridCol w:w="3600"/>
      </w:tblGrid>
      <w:tr w:rsidR="00250E0C" w:rsidRPr="007A0C83" w14:paraId="07C72682" w14:textId="77777777" w:rsidTr="009A553E">
        <w:trPr>
          <w:cantSplit/>
          <w:trHeight w:hRule="exact" w:val="1080"/>
        </w:trPr>
        <w:tc>
          <w:tcPr>
            <w:tcW w:w="2437" w:type="dxa"/>
            <w:shd w:val="clear" w:color="auto" w:fill="D9D9D9" w:themeFill="background1" w:themeFillShade="D9"/>
            <w:vAlign w:val="center"/>
          </w:tcPr>
          <w:p w14:paraId="4AD89B71" w14:textId="77777777" w:rsidR="00250E0C" w:rsidRPr="00396EC1" w:rsidRDefault="00250E0C" w:rsidP="009A553E">
            <w:pPr>
              <w:jc w:val="center"/>
              <w:rPr>
                <w:rFonts w:ascii="Arial Narrow" w:hAnsi="Arial Narrow"/>
                <w:b/>
                <w:sz w:val="20"/>
                <w:szCs w:val="20"/>
              </w:rPr>
            </w:pPr>
            <w:r w:rsidRPr="00396EC1">
              <w:rPr>
                <w:rFonts w:ascii="Arial Narrow" w:hAnsi="Arial Narrow"/>
                <w:b/>
                <w:sz w:val="20"/>
                <w:szCs w:val="20"/>
              </w:rPr>
              <w:t>Evidence</w:t>
            </w:r>
          </w:p>
        </w:tc>
        <w:tc>
          <w:tcPr>
            <w:tcW w:w="720" w:type="dxa"/>
            <w:shd w:val="clear" w:color="auto" w:fill="D9D9D9" w:themeFill="background1" w:themeFillShade="D9"/>
            <w:vAlign w:val="center"/>
          </w:tcPr>
          <w:p w14:paraId="79461B21" w14:textId="5AFCCB89" w:rsidR="00250E0C" w:rsidRPr="00396EC1" w:rsidRDefault="00250E0C" w:rsidP="009A553E">
            <w:pPr>
              <w:jc w:val="center"/>
              <w:rPr>
                <w:rFonts w:ascii="Arial Narrow" w:hAnsi="Arial Narrow"/>
                <w:b/>
                <w:sz w:val="20"/>
                <w:szCs w:val="20"/>
              </w:rPr>
            </w:pPr>
            <w:r>
              <w:rPr>
                <w:rFonts w:ascii="Arial Narrow" w:hAnsi="Arial Narrow"/>
                <w:b/>
                <w:sz w:val="20"/>
                <w:szCs w:val="20"/>
              </w:rPr>
              <w:t>Wolf Creek</w:t>
            </w:r>
          </w:p>
        </w:tc>
        <w:tc>
          <w:tcPr>
            <w:tcW w:w="720" w:type="dxa"/>
            <w:shd w:val="clear" w:color="auto" w:fill="D9D9D9" w:themeFill="background1" w:themeFillShade="D9"/>
            <w:vAlign w:val="center"/>
          </w:tcPr>
          <w:p w14:paraId="24312A66" w14:textId="44566C76" w:rsidR="00250E0C" w:rsidRPr="00396EC1" w:rsidRDefault="00250E0C" w:rsidP="009A553E">
            <w:pPr>
              <w:jc w:val="center"/>
              <w:rPr>
                <w:rFonts w:ascii="Arial Narrow" w:hAnsi="Arial Narrow"/>
                <w:b/>
                <w:sz w:val="20"/>
                <w:szCs w:val="20"/>
              </w:rPr>
            </w:pPr>
            <w:r>
              <w:rPr>
                <w:rFonts w:ascii="Arial Narrow" w:hAnsi="Arial Narrow"/>
                <w:b/>
                <w:sz w:val="20"/>
                <w:szCs w:val="20"/>
              </w:rPr>
              <w:t>Tinker Creek</w:t>
            </w:r>
          </w:p>
        </w:tc>
        <w:tc>
          <w:tcPr>
            <w:tcW w:w="990" w:type="dxa"/>
            <w:shd w:val="clear" w:color="auto" w:fill="D9D9D9" w:themeFill="background1" w:themeFillShade="D9"/>
            <w:vAlign w:val="center"/>
          </w:tcPr>
          <w:p w14:paraId="0963890C" w14:textId="2F19BB87" w:rsidR="00250E0C" w:rsidRPr="00396EC1" w:rsidRDefault="00250E0C" w:rsidP="009A553E">
            <w:pPr>
              <w:jc w:val="center"/>
              <w:rPr>
                <w:rFonts w:ascii="Arial Narrow" w:hAnsi="Arial Narrow"/>
                <w:b/>
                <w:sz w:val="20"/>
                <w:szCs w:val="20"/>
              </w:rPr>
            </w:pPr>
            <w:r>
              <w:rPr>
                <w:rFonts w:ascii="Arial Narrow" w:hAnsi="Arial Narrow"/>
                <w:b/>
                <w:sz w:val="20"/>
                <w:szCs w:val="20"/>
              </w:rPr>
              <w:t>Roanoke River (202.20)</w:t>
            </w:r>
          </w:p>
        </w:tc>
        <w:tc>
          <w:tcPr>
            <w:tcW w:w="990" w:type="dxa"/>
            <w:shd w:val="clear" w:color="auto" w:fill="D9D9D9" w:themeFill="background1" w:themeFillShade="D9"/>
            <w:vAlign w:val="center"/>
          </w:tcPr>
          <w:p w14:paraId="72D00920" w14:textId="5EA111A2" w:rsidR="00250E0C" w:rsidRPr="00396EC1" w:rsidRDefault="00250E0C" w:rsidP="009A553E">
            <w:pPr>
              <w:jc w:val="center"/>
              <w:rPr>
                <w:rFonts w:ascii="Arial Narrow" w:hAnsi="Arial Narrow"/>
                <w:b/>
                <w:sz w:val="20"/>
                <w:szCs w:val="20"/>
              </w:rPr>
            </w:pPr>
            <w:r>
              <w:rPr>
                <w:rFonts w:ascii="Arial Narrow" w:hAnsi="Arial Narrow"/>
                <w:b/>
                <w:sz w:val="20"/>
                <w:szCs w:val="20"/>
              </w:rPr>
              <w:t>Roanoke River (198.08)</w:t>
            </w:r>
          </w:p>
        </w:tc>
        <w:tc>
          <w:tcPr>
            <w:tcW w:w="3600" w:type="dxa"/>
            <w:shd w:val="clear" w:color="auto" w:fill="D9D9D9" w:themeFill="background1" w:themeFillShade="D9"/>
            <w:vAlign w:val="center"/>
          </w:tcPr>
          <w:p w14:paraId="31FB10FA" w14:textId="77777777" w:rsidR="00250E0C" w:rsidRPr="00613B31" w:rsidRDefault="00250E0C" w:rsidP="009A553E">
            <w:pPr>
              <w:jc w:val="center"/>
              <w:rPr>
                <w:rFonts w:ascii="Arial Narrow" w:hAnsi="Arial Narrow"/>
                <w:b/>
                <w:sz w:val="20"/>
                <w:szCs w:val="20"/>
              </w:rPr>
            </w:pPr>
            <w:r w:rsidRPr="00396EC1">
              <w:rPr>
                <w:rFonts w:ascii="Arial Narrow" w:hAnsi="Arial Narrow"/>
                <w:b/>
                <w:sz w:val="20"/>
                <w:szCs w:val="20"/>
              </w:rPr>
              <w:t>Explanation</w:t>
            </w:r>
          </w:p>
        </w:tc>
      </w:tr>
      <w:tr w:rsidR="00250E0C" w:rsidRPr="007A0C83" w14:paraId="5EAE7652" w14:textId="77777777" w:rsidTr="009A553E">
        <w:trPr>
          <w:trHeight w:val="247"/>
        </w:trPr>
        <w:tc>
          <w:tcPr>
            <w:tcW w:w="2437" w:type="dxa"/>
            <w:vAlign w:val="center"/>
          </w:tcPr>
          <w:p w14:paraId="7E1CFAFA" w14:textId="58D40E47" w:rsidR="00250E0C" w:rsidRPr="00250E0C" w:rsidRDefault="00250E0C" w:rsidP="009A553E">
            <w:pPr>
              <w:jc w:val="left"/>
              <w:rPr>
                <w:rFonts w:ascii="Arial Narrow" w:hAnsi="Arial Narrow"/>
                <w:sz w:val="20"/>
                <w:szCs w:val="20"/>
                <w:highlight w:val="yellow"/>
              </w:rPr>
            </w:pPr>
            <w:r w:rsidRPr="00250E0C">
              <w:rPr>
                <w:rFonts w:ascii="Arial Narrow" w:hAnsi="Arial Narrow" w:cs="Calibri"/>
                <w:color w:val="000000"/>
                <w:sz w:val="20"/>
                <w:szCs w:val="20"/>
              </w:rPr>
              <w:t>Spatial Co-occurrence</w:t>
            </w:r>
          </w:p>
        </w:tc>
        <w:tc>
          <w:tcPr>
            <w:tcW w:w="720" w:type="dxa"/>
            <w:vAlign w:val="center"/>
          </w:tcPr>
          <w:p w14:paraId="36EFE409" w14:textId="31ED5309" w:rsidR="00250E0C" w:rsidRPr="00250E0C" w:rsidRDefault="00250E0C" w:rsidP="009A553E">
            <w:pPr>
              <w:jc w:val="center"/>
              <w:rPr>
                <w:rFonts w:ascii="Arial Narrow" w:hAnsi="Arial Narrow" w:cs="Calibri"/>
                <w:color w:val="000000"/>
                <w:sz w:val="20"/>
                <w:szCs w:val="20"/>
              </w:rPr>
            </w:pPr>
            <w:r w:rsidRPr="00250E0C">
              <w:rPr>
                <w:rFonts w:ascii="Arial Narrow" w:hAnsi="Arial Narrow" w:cs="Calibri"/>
                <w:color w:val="000000"/>
                <w:sz w:val="20"/>
                <w:szCs w:val="20"/>
              </w:rPr>
              <w:t>-3</w:t>
            </w:r>
          </w:p>
        </w:tc>
        <w:tc>
          <w:tcPr>
            <w:tcW w:w="720" w:type="dxa"/>
            <w:vAlign w:val="center"/>
          </w:tcPr>
          <w:p w14:paraId="285298F3" w14:textId="78975B74" w:rsidR="00250E0C" w:rsidRPr="00250E0C" w:rsidRDefault="00250E0C" w:rsidP="009A553E">
            <w:pPr>
              <w:jc w:val="center"/>
              <w:rPr>
                <w:rFonts w:ascii="Arial Narrow" w:hAnsi="Arial Narrow" w:cs="Calibri"/>
                <w:color w:val="000000"/>
                <w:sz w:val="20"/>
                <w:szCs w:val="20"/>
              </w:rPr>
            </w:pPr>
            <w:r w:rsidRPr="00250E0C">
              <w:rPr>
                <w:rFonts w:ascii="Arial Narrow" w:hAnsi="Arial Narrow" w:cs="Calibri"/>
                <w:color w:val="000000"/>
                <w:sz w:val="20"/>
                <w:szCs w:val="20"/>
              </w:rPr>
              <w:t>-2</w:t>
            </w:r>
          </w:p>
        </w:tc>
        <w:tc>
          <w:tcPr>
            <w:tcW w:w="990" w:type="dxa"/>
            <w:vAlign w:val="center"/>
          </w:tcPr>
          <w:p w14:paraId="29658E1B" w14:textId="619C7384" w:rsidR="00250E0C" w:rsidRPr="00250E0C" w:rsidRDefault="00250E0C" w:rsidP="009A553E">
            <w:pPr>
              <w:jc w:val="center"/>
              <w:rPr>
                <w:rFonts w:ascii="Arial Narrow" w:hAnsi="Arial Narrow" w:cs="Calibri"/>
                <w:color w:val="000000"/>
                <w:sz w:val="20"/>
                <w:szCs w:val="20"/>
              </w:rPr>
            </w:pPr>
            <w:r w:rsidRPr="00250E0C">
              <w:rPr>
                <w:rFonts w:ascii="Arial Narrow" w:hAnsi="Arial Narrow" w:cs="Calibri"/>
                <w:color w:val="000000"/>
                <w:sz w:val="20"/>
                <w:szCs w:val="20"/>
              </w:rPr>
              <w:t>1</w:t>
            </w:r>
          </w:p>
        </w:tc>
        <w:tc>
          <w:tcPr>
            <w:tcW w:w="990" w:type="dxa"/>
            <w:vAlign w:val="center"/>
          </w:tcPr>
          <w:p w14:paraId="38D53A0A" w14:textId="3FF981CC" w:rsidR="00250E0C" w:rsidRPr="00250E0C" w:rsidRDefault="00250E0C" w:rsidP="009A553E">
            <w:pPr>
              <w:jc w:val="center"/>
              <w:rPr>
                <w:rFonts w:ascii="Arial Narrow" w:hAnsi="Arial Narrow"/>
                <w:color w:val="000000"/>
                <w:sz w:val="20"/>
                <w:szCs w:val="20"/>
                <w:highlight w:val="yellow"/>
              </w:rPr>
            </w:pPr>
            <w:r w:rsidRPr="00250E0C">
              <w:rPr>
                <w:rFonts w:ascii="Arial Narrow" w:hAnsi="Arial Narrow" w:cs="Calibri"/>
                <w:color w:val="000000"/>
                <w:sz w:val="20"/>
                <w:szCs w:val="20"/>
              </w:rPr>
              <w:t>1</w:t>
            </w:r>
          </w:p>
        </w:tc>
        <w:tc>
          <w:tcPr>
            <w:tcW w:w="3600" w:type="dxa"/>
            <w:vAlign w:val="center"/>
          </w:tcPr>
          <w:p w14:paraId="672056CA" w14:textId="19DFA53F" w:rsidR="00250E0C" w:rsidRPr="00250E0C" w:rsidRDefault="00250E0C" w:rsidP="009A553E">
            <w:pPr>
              <w:jc w:val="left"/>
              <w:rPr>
                <w:rFonts w:ascii="Arial Narrow" w:hAnsi="Arial Narrow"/>
                <w:color w:val="000000"/>
                <w:sz w:val="20"/>
                <w:szCs w:val="20"/>
                <w:highlight w:val="yellow"/>
              </w:rPr>
            </w:pPr>
            <w:r w:rsidRPr="00250E0C">
              <w:rPr>
                <w:rFonts w:ascii="Arial Narrow" w:hAnsi="Arial Narrow" w:cs="Calibri"/>
                <w:color w:val="000000"/>
                <w:sz w:val="20"/>
                <w:szCs w:val="20"/>
              </w:rPr>
              <w:t xml:space="preserve">Impaired Roanoke River stations were statistically higher in temperature than the river reference, although all temperatures were within water quality standards. Temperatures in Tinker Creek and Wolf Creek were not significantly different from the reference. </w:t>
            </w:r>
          </w:p>
        </w:tc>
      </w:tr>
      <w:tr w:rsidR="00250E0C" w:rsidRPr="007A0C83" w14:paraId="5C4A2DD8" w14:textId="77777777" w:rsidTr="009A553E">
        <w:trPr>
          <w:trHeight w:val="247"/>
        </w:trPr>
        <w:tc>
          <w:tcPr>
            <w:tcW w:w="2437" w:type="dxa"/>
            <w:vAlign w:val="center"/>
          </w:tcPr>
          <w:p w14:paraId="65FE1A0D" w14:textId="44435E52" w:rsidR="00250E0C" w:rsidRPr="00250E0C" w:rsidRDefault="00250E0C" w:rsidP="009A553E">
            <w:pPr>
              <w:jc w:val="left"/>
              <w:rPr>
                <w:rFonts w:ascii="Arial Narrow" w:hAnsi="Arial Narrow"/>
                <w:sz w:val="20"/>
                <w:szCs w:val="20"/>
                <w:highlight w:val="yellow"/>
              </w:rPr>
            </w:pPr>
            <w:r w:rsidRPr="00250E0C">
              <w:rPr>
                <w:rFonts w:ascii="Arial Narrow" w:hAnsi="Arial Narrow" w:cs="Calibri"/>
                <w:color w:val="000000"/>
                <w:sz w:val="20"/>
                <w:szCs w:val="20"/>
              </w:rPr>
              <w:t>Temporal Co-occurrence</w:t>
            </w:r>
          </w:p>
        </w:tc>
        <w:tc>
          <w:tcPr>
            <w:tcW w:w="720" w:type="dxa"/>
            <w:vAlign w:val="center"/>
          </w:tcPr>
          <w:p w14:paraId="62884537" w14:textId="232E54E8" w:rsidR="00250E0C" w:rsidRPr="00250E0C" w:rsidRDefault="00250E0C" w:rsidP="009A553E">
            <w:pPr>
              <w:jc w:val="center"/>
              <w:rPr>
                <w:rFonts w:ascii="Arial Narrow" w:hAnsi="Arial Narrow" w:cs="Calibri"/>
                <w:color w:val="000000"/>
                <w:sz w:val="20"/>
                <w:szCs w:val="20"/>
              </w:rPr>
            </w:pPr>
            <w:r w:rsidRPr="00250E0C">
              <w:rPr>
                <w:rFonts w:ascii="Arial Narrow" w:hAnsi="Arial Narrow" w:cs="Calibri"/>
                <w:color w:val="000000"/>
                <w:sz w:val="20"/>
                <w:szCs w:val="20"/>
              </w:rPr>
              <w:t>-3</w:t>
            </w:r>
          </w:p>
        </w:tc>
        <w:tc>
          <w:tcPr>
            <w:tcW w:w="720" w:type="dxa"/>
            <w:vAlign w:val="center"/>
          </w:tcPr>
          <w:p w14:paraId="56710475" w14:textId="437C166E" w:rsidR="00250E0C" w:rsidRPr="00250E0C" w:rsidRDefault="00250E0C" w:rsidP="009A553E">
            <w:pPr>
              <w:jc w:val="center"/>
              <w:rPr>
                <w:rFonts w:ascii="Arial Narrow" w:hAnsi="Arial Narrow" w:cs="Calibri"/>
                <w:color w:val="000000"/>
                <w:sz w:val="20"/>
                <w:szCs w:val="20"/>
              </w:rPr>
            </w:pPr>
            <w:r w:rsidRPr="00250E0C">
              <w:rPr>
                <w:rFonts w:ascii="Arial Narrow" w:hAnsi="Arial Narrow" w:cs="Calibri"/>
                <w:color w:val="000000"/>
                <w:sz w:val="20"/>
                <w:szCs w:val="20"/>
              </w:rPr>
              <w:t>-3</w:t>
            </w:r>
          </w:p>
        </w:tc>
        <w:tc>
          <w:tcPr>
            <w:tcW w:w="990" w:type="dxa"/>
            <w:vAlign w:val="center"/>
          </w:tcPr>
          <w:p w14:paraId="5A8F5261" w14:textId="0A75651D" w:rsidR="00250E0C" w:rsidRPr="00250E0C" w:rsidRDefault="00250E0C" w:rsidP="009A553E">
            <w:pPr>
              <w:jc w:val="center"/>
              <w:rPr>
                <w:rFonts w:ascii="Arial Narrow" w:hAnsi="Arial Narrow" w:cs="Calibri"/>
                <w:color w:val="000000"/>
                <w:sz w:val="20"/>
                <w:szCs w:val="20"/>
              </w:rPr>
            </w:pPr>
            <w:r w:rsidRPr="00250E0C">
              <w:rPr>
                <w:rFonts w:ascii="Arial Narrow" w:hAnsi="Arial Narrow" w:cs="Calibri"/>
                <w:color w:val="000000"/>
                <w:sz w:val="20"/>
                <w:szCs w:val="20"/>
              </w:rPr>
              <w:t>-3</w:t>
            </w:r>
          </w:p>
        </w:tc>
        <w:tc>
          <w:tcPr>
            <w:tcW w:w="990" w:type="dxa"/>
            <w:vAlign w:val="center"/>
          </w:tcPr>
          <w:p w14:paraId="603A6500" w14:textId="334E3E93" w:rsidR="00250E0C" w:rsidRPr="00250E0C" w:rsidRDefault="00250E0C" w:rsidP="009A553E">
            <w:pPr>
              <w:jc w:val="center"/>
              <w:rPr>
                <w:rFonts w:ascii="Arial Narrow" w:hAnsi="Arial Narrow"/>
                <w:color w:val="000000"/>
                <w:sz w:val="20"/>
                <w:szCs w:val="20"/>
                <w:highlight w:val="yellow"/>
              </w:rPr>
            </w:pPr>
            <w:r w:rsidRPr="00250E0C">
              <w:rPr>
                <w:rFonts w:ascii="Arial Narrow" w:hAnsi="Arial Narrow" w:cs="Calibri"/>
                <w:color w:val="000000"/>
                <w:sz w:val="20"/>
                <w:szCs w:val="20"/>
              </w:rPr>
              <w:t>-3</w:t>
            </w:r>
          </w:p>
        </w:tc>
        <w:tc>
          <w:tcPr>
            <w:tcW w:w="3600" w:type="dxa"/>
            <w:vAlign w:val="center"/>
          </w:tcPr>
          <w:p w14:paraId="3B4189A4" w14:textId="72178A4C" w:rsidR="00250E0C" w:rsidRPr="00250E0C" w:rsidRDefault="00250E0C" w:rsidP="009A553E">
            <w:pPr>
              <w:jc w:val="left"/>
              <w:rPr>
                <w:rFonts w:ascii="Arial Narrow" w:hAnsi="Arial Narrow"/>
                <w:color w:val="000000"/>
                <w:sz w:val="20"/>
                <w:szCs w:val="20"/>
                <w:highlight w:val="yellow"/>
              </w:rPr>
            </w:pPr>
            <w:r w:rsidRPr="00250E0C">
              <w:rPr>
                <w:rFonts w:ascii="Arial Narrow" w:hAnsi="Arial Narrow" w:cs="Calibri"/>
                <w:color w:val="000000"/>
                <w:sz w:val="20"/>
                <w:szCs w:val="20"/>
              </w:rPr>
              <w:t>At the time of benthic sample collection, temperature at all sites met water quality standards.</w:t>
            </w:r>
          </w:p>
        </w:tc>
      </w:tr>
      <w:tr w:rsidR="00250E0C" w:rsidRPr="007A0C83" w14:paraId="39EDCEF2" w14:textId="77777777" w:rsidTr="009A553E">
        <w:trPr>
          <w:trHeight w:val="247"/>
        </w:trPr>
        <w:tc>
          <w:tcPr>
            <w:tcW w:w="2437" w:type="dxa"/>
            <w:vAlign w:val="center"/>
          </w:tcPr>
          <w:p w14:paraId="7A6F503B" w14:textId="7A992B04" w:rsidR="00250E0C" w:rsidRPr="00250E0C" w:rsidRDefault="00250E0C" w:rsidP="009A553E">
            <w:pPr>
              <w:jc w:val="left"/>
              <w:rPr>
                <w:rFonts w:ascii="Arial Narrow" w:hAnsi="Arial Narrow"/>
                <w:sz w:val="20"/>
                <w:szCs w:val="20"/>
                <w:highlight w:val="yellow"/>
              </w:rPr>
            </w:pPr>
            <w:r w:rsidRPr="00250E0C">
              <w:rPr>
                <w:rFonts w:ascii="Arial Narrow" w:hAnsi="Arial Narrow" w:cs="Calibri"/>
                <w:color w:val="000000"/>
                <w:sz w:val="20"/>
                <w:szCs w:val="20"/>
              </w:rPr>
              <w:t>Causal Pathway</w:t>
            </w:r>
          </w:p>
        </w:tc>
        <w:tc>
          <w:tcPr>
            <w:tcW w:w="720" w:type="dxa"/>
            <w:vAlign w:val="center"/>
          </w:tcPr>
          <w:p w14:paraId="7DA3E31C" w14:textId="6E2E3BA5" w:rsidR="00250E0C" w:rsidRPr="00250E0C" w:rsidRDefault="003145C8" w:rsidP="009A553E">
            <w:pPr>
              <w:jc w:val="center"/>
              <w:rPr>
                <w:rFonts w:ascii="Arial Narrow" w:hAnsi="Arial Narrow" w:cs="Calibri"/>
                <w:color w:val="000000"/>
                <w:sz w:val="20"/>
                <w:szCs w:val="20"/>
              </w:rPr>
            </w:pPr>
            <w:r>
              <w:rPr>
                <w:rFonts w:ascii="Arial Narrow" w:hAnsi="Arial Narrow" w:cs="Calibri"/>
                <w:color w:val="000000"/>
                <w:sz w:val="20"/>
                <w:szCs w:val="20"/>
              </w:rPr>
              <w:t>1</w:t>
            </w:r>
          </w:p>
        </w:tc>
        <w:tc>
          <w:tcPr>
            <w:tcW w:w="720" w:type="dxa"/>
            <w:vAlign w:val="center"/>
          </w:tcPr>
          <w:p w14:paraId="457BFBD1" w14:textId="36502F74" w:rsidR="00250E0C" w:rsidRPr="00250E0C" w:rsidRDefault="003145C8" w:rsidP="009A553E">
            <w:pPr>
              <w:jc w:val="center"/>
              <w:rPr>
                <w:rFonts w:ascii="Arial Narrow" w:hAnsi="Arial Narrow" w:cs="Calibri"/>
                <w:color w:val="000000"/>
                <w:sz w:val="20"/>
                <w:szCs w:val="20"/>
              </w:rPr>
            </w:pPr>
            <w:r>
              <w:rPr>
                <w:rFonts w:ascii="Arial Narrow" w:hAnsi="Arial Narrow" w:cs="Calibri"/>
                <w:color w:val="000000"/>
                <w:sz w:val="20"/>
                <w:szCs w:val="20"/>
              </w:rPr>
              <w:t>1</w:t>
            </w:r>
          </w:p>
        </w:tc>
        <w:tc>
          <w:tcPr>
            <w:tcW w:w="990" w:type="dxa"/>
            <w:vAlign w:val="center"/>
          </w:tcPr>
          <w:p w14:paraId="1CE8A863" w14:textId="5944941D" w:rsidR="00250E0C" w:rsidRPr="00250E0C" w:rsidRDefault="003145C8" w:rsidP="009A553E">
            <w:pPr>
              <w:jc w:val="center"/>
              <w:rPr>
                <w:rFonts w:ascii="Arial Narrow" w:hAnsi="Arial Narrow" w:cs="Calibri"/>
                <w:color w:val="000000"/>
                <w:sz w:val="20"/>
                <w:szCs w:val="20"/>
              </w:rPr>
            </w:pPr>
            <w:r>
              <w:rPr>
                <w:rFonts w:ascii="Arial Narrow" w:hAnsi="Arial Narrow" w:cs="Calibri"/>
                <w:color w:val="000000"/>
                <w:sz w:val="20"/>
                <w:szCs w:val="20"/>
              </w:rPr>
              <w:t>1</w:t>
            </w:r>
          </w:p>
        </w:tc>
        <w:tc>
          <w:tcPr>
            <w:tcW w:w="990" w:type="dxa"/>
            <w:vAlign w:val="center"/>
          </w:tcPr>
          <w:p w14:paraId="1B65E77D" w14:textId="25B3E694" w:rsidR="00250E0C" w:rsidRPr="00250E0C" w:rsidRDefault="003145C8" w:rsidP="009A553E">
            <w:pPr>
              <w:jc w:val="center"/>
              <w:rPr>
                <w:rFonts w:ascii="Arial Narrow" w:hAnsi="Arial Narrow"/>
                <w:color w:val="000000"/>
                <w:sz w:val="20"/>
                <w:szCs w:val="20"/>
                <w:highlight w:val="yellow"/>
              </w:rPr>
            </w:pPr>
            <w:r>
              <w:rPr>
                <w:rFonts w:ascii="Arial Narrow" w:hAnsi="Arial Narrow" w:cs="Calibri"/>
                <w:color w:val="000000"/>
                <w:sz w:val="20"/>
                <w:szCs w:val="20"/>
              </w:rPr>
              <w:t>1</w:t>
            </w:r>
          </w:p>
        </w:tc>
        <w:tc>
          <w:tcPr>
            <w:tcW w:w="3600" w:type="dxa"/>
            <w:vAlign w:val="center"/>
          </w:tcPr>
          <w:p w14:paraId="2F6E6A39" w14:textId="6DA1BF7E" w:rsidR="00250E0C" w:rsidRPr="00250E0C" w:rsidRDefault="00250E0C" w:rsidP="009A553E">
            <w:pPr>
              <w:jc w:val="left"/>
              <w:rPr>
                <w:rFonts w:ascii="Arial Narrow" w:hAnsi="Arial Narrow"/>
                <w:color w:val="000000"/>
                <w:sz w:val="20"/>
                <w:szCs w:val="20"/>
                <w:highlight w:val="yellow"/>
              </w:rPr>
            </w:pPr>
            <w:r w:rsidRPr="00250E0C">
              <w:rPr>
                <w:rFonts w:ascii="Arial Narrow" w:hAnsi="Arial Narrow" w:cs="Calibri"/>
                <w:color w:val="000000"/>
                <w:sz w:val="20"/>
                <w:szCs w:val="20"/>
              </w:rPr>
              <w:t>The pathway from high imperviousness to increased temperature is intact for all streams.</w:t>
            </w:r>
          </w:p>
        </w:tc>
      </w:tr>
      <w:tr w:rsidR="00250E0C" w:rsidRPr="007A0C83" w14:paraId="3CDCD438" w14:textId="77777777" w:rsidTr="009A553E">
        <w:trPr>
          <w:trHeight w:val="247"/>
        </w:trPr>
        <w:tc>
          <w:tcPr>
            <w:tcW w:w="2437" w:type="dxa"/>
            <w:vAlign w:val="center"/>
          </w:tcPr>
          <w:p w14:paraId="39C9CBDF" w14:textId="2E93EEFD" w:rsidR="00250E0C" w:rsidRPr="00250E0C" w:rsidRDefault="00250E0C" w:rsidP="009A553E">
            <w:pPr>
              <w:jc w:val="left"/>
              <w:rPr>
                <w:rFonts w:ascii="Arial Narrow" w:hAnsi="Arial Narrow"/>
                <w:sz w:val="20"/>
                <w:szCs w:val="20"/>
                <w:highlight w:val="yellow"/>
              </w:rPr>
            </w:pPr>
            <w:r w:rsidRPr="00250E0C">
              <w:rPr>
                <w:rFonts w:ascii="Arial Narrow" w:hAnsi="Arial Narrow" w:cs="Calibri"/>
                <w:color w:val="000000"/>
                <w:sz w:val="20"/>
                <w:szCs w:val="20"/>
              </w:rPr>
              <w:t>Stressor-Response Relationships from the Field</w:t>
            </w:r>
          </w:p>
        </w:tc>
        <w:tc>
          <w:tcPr>
            <w:tcW w:w="720" w:type="dxa"/>
            <w:vAlign w:val="center"/>
          </w:tcPr>
          <w:p w14:paraId="77E13F40" w14:textId="5CADF75B" w:rsidR="00250E0C" w:rsidRPr="00250E0C" w:rsidRDefault="00250E0C" w:rsidP="009A553E">
            <w:pPr>
              <w:jc w:val="center"/>
              <w:rPr>
                <w:rFonts w:ascii="Arial Narrow" w:hAnsi="Arial Narrow" w:cs="Calibri"/>
                <w:color w:val="000000"/>
                <w:sz w:val="20"/>
                <w:szCs w:val="20"/>
              </w:rPr>
            </w:pPr>
            <w:r w:rsidRPr="00250E0C">
              <w:rPr>
                <w:rFonts w:ascii="Arial Narrow" w:hAnsi="Arial Narrow" w:cs="Calibri"/>
                <w:color w:val="000000"/>
                <w:sz w:val="20"/>
                <w:szCs w:val="20"/>
              </w:rPr>
              <w:t>-2</w:t>
            </w:r>
          </w:p>
        </w:tc>
        <w:tc>
          <w:tcPr>
            <w:tcW w:w="720" w:type="dxa"/>
            <w:vAlign w:val="center"/>
          </w:tcPr>
          <w:p w14:paraId="6594F37C" w14:textId="18F75114" w:rsidR="00250E0C" w:rsidRPr="00250E0C" w:rsidRDefault="00250E0C" w:rsidP="009A553E">
            <w:pPr>
              <w:jc w:val="center"/>
              <w:rPr>
                <w:rFonts w:ascii="Arial Narrow" w:hAnsi="Arial Narrow" w:cs="Calibri"/>
                <w:color w:val="000000"/>
                <w:sz w:val="20"/>
                <w:szCs w:val="20"/>
              </w:rPr>
            </w:pPr>
            <w:r w:rsidRPr="00250E0C">
              <w:rPr>
                <w:rFonts w:ascii="Arial Narrow" w:hAnsi="Arial Narrow" w:cs="Calibri"/>
                <w:color w:val="000000"/>
                <w:sz w:val="20"/>
                <w:szCs w:val="20"/>
              </w:rPr>
              <w:t>-2</w:t>
            </w:r>
          </w:p>
        </w:tc>
        <w:tc>
          <w:tcPr>
            <w:tcW w:w="990" w:type="dxa"/>
            <w:vAlign w:val="center"/>
          </w:tcPr>
          <w:p w14:paraId="5D2D7F6C" w14:textId="62EE18C5" w:rsidR="00250E0C" w:rsidRPr="00250E0C" w:rsidRDefault="00250E0C" w:rsidP="009A553E">
            <w:pPr>
              <w:jc w:val="center"/>
              <w:rPr>
                <w:rFonts w:ascii="Arial Narrow" w:hAnsi="Arial Narrow" w:cs="Calibri"/>
                <w:color w:val="000000"/>
                <w:sz w:val="20"/>
                <w:szCs w:val="20"/>
              </w:rPr>
            </w:pPr>
            <w:r w:rsidRPr="00250E0C">
              <w:rPr>
                <w:rFonts w:ascii="Arial Narrow" w:hAnsi="Arial Narrow" w:cs="Calibri"/>
                <w:color w:val="000000"/>
                <w:sz w:val="20"/>
                <w:szCs w:val="20"/>
              </w:rPr>
              <w:t>2</w:t>
            </w:r>
          </w:p>
        </w:tc>
        <w:tc>
          <w:tcPr>
            <w:tcW w:w="990" w:type="dxa"/>
            <w:vAlign w:val="center"/>
          </w:tcPr>
          <w:p w14:paraId="0D9EF3F8" w14:textId="25684739" w:rsidR="00250E0C" w:rsidRPr="00250E0C" w:rsidRDefault="00250E0C" w:rsidP="009A553E">
            <w:pPr>
              <w:jc w:val="center"/>
              <w:rPr>
                <w:rFonts w:ascii="Arial Narrow" w:hAnsi="Arial Narrow"/>
                <w:color w:val="000000"/>
                <w:sz w:val="20"/>
                <w:szCs w:val="20"/>
                <w:highlight w:val="yellow"/>
              </w:rPr>
            </w:pPr>
            <w:r w:rsidRPr="00250E0C">
              <w:rPr>
                <w:rFonts w:ascii="Arial Narrow" w:hAnsi="Arial Narrow" w:cs="Calibri"/>
                <w:color w:val="000000"/>
                <w:sz w:val="20"/>
                <w:szCs w:val="20"/>
              </w:rPr>
              <w:t>2</w:t>
            </w:r>
          </w:p>
        </w:tc>
        <w:tc>
          <w:tcPr>
            <w:tcW w:w="3600" w:type="dxa"/>
            <w:vAlign w:val="center"/>
          </w:tcPr>
          <w:p w14:paraId="26022F49" w14:textId="71D36D7F" w:rsidR="00250E0C" w:rsidRPr="00250E0C" w:rsidRDefault="00250E0C" w:rsidP="009A553E">
            <w:pPr>
              <w:jc w:val="left"/>
              <w:rPr>
                <w:rFonts w:ascii="Arial Narrow" w:hAnsi="Arial Narrow"/>
                <w:color w:val="000000"/>
                <w:sz w:val="20"/>
                <w:szCs w:val="20"/>
                <w:highlight w:val="yellow"/>
              </w:rPr>
            </w:pPr>
            <w:r w:rsidRPr="00250E0C">
              <w:rPr>
                <w:rFonts w:ascii="Arial Narrow" w:hAnsi="Arial Narrow" w:cs="Calibri"/>
                <w:color w:val="000000"/>
                <w:sz w:val="20"/>
                <w:szCs w:val="20"/>
              </w:rPr>
              <w:t>Temperature was not significantly correlated with benthic health across watershed sites, but was significantly correlated with benthic health longitudinally in the Roanoke River.</w:t>
            </w:r>
          </w:p>
        </w:tc>
      </w:tr>
      <w:tr w:rsidR="00250E0C" w:rsidRPr="007A0C83" w14:paraId="57EC100D" w14:textId="77777777" w:rsidTr="009A553E">
        <w:trPr>
          <w:trHeight w:val="247"/>
        </w:trPr>
        <w:tc>
          <w:tcPr>
            <w:tcW w:w="2437" w:type="dxa"/>
            <w:vAlign w:val="center"/>
          </w:tcPr>
          <w:p w14:paraId="647CDDC2" w14:textId="568F861A" w:rsidR="00250E0C" w:rsidRPr="00250E0C" w:rsidRDefault="00250E0C" w:rsidP="009A553E">
            <w:pPr>
              <w:jc w:val="left"/>
              <w:rPr>
                <w:rFonts w:ascii="Arial Narrow" w:hAnsi="Arial Narrow" w:cs="Calibri"/>
                <w:b/>
                <w:bCs/>
                <w:color w:val="000000"/>
                <w:sz w:val="20"/>
                <w:szCs w:val="20"/>
                <w:highlight w:val="yellow"/>
              </w:rPr>
            </w:pPr>
            <w:r w:rsidRPr="00250E0C">
              <w:rPr>
                <w:rFonts w:ascii="Arial Narrow" w:hAnsi="Arial Narrow" w:cs="Calibri"/>
                <w:color w:val="000000"/>
                <w:sz w:val="20"/>
                <w:szCs w:val="20"/>
              </w:rPr>
              <w:t>Temporal Sequence</w:t>
            </w:r>
          </w:p>
        </w:tc>
        <w:tc>
          <w:tcPr>
            <w:tcW w:w="720" w:type="dxa"/>
            <w:vAlign w:val="center"/>
          </w:tcPr>
          <w:p w14:paraId="573A9D5D" w14:textId="54EB86C2" w:rsidR="00250E0C" w:rsidRPr="00250E0C" w:rsidRDefault="00250E0C" w:rsidP="009A553E">
            <w:pPr>
              <w:jc w:val="center"/>
              <w:rPr>
                <w:rFonts w:ascii="Arial Narrow" w:hAnsi="Arial Narrow" w:cs="Calibri"/>
                <w:color w:val="000000"/>
                <w:sz w:val="20"/>
                <w:szCs w:val="20"/>
              </w:rPr>
            </w:pPr>
            <w:r w:rsidRPr="00250E0C">
              <w:rPr>
                <w:rFonts w:ascii="Arial Narrow" w:hAnsi="Arial Narrow" w:cs="Calibri"/>
                <w:sz w:val="20"/>
                <w:szCs w:val="20"/>
              </w:rPr>
              <w:t>-2</w:t>
            </w:r>
          </w:p>
        </w:tc>
        <w:tc>
          <w:tcPr>
            <w:tcW w:w="720" w:type="dxa"/>
            <w:vAlign w:val="center"/>
          </w:tcPr>
          <w:p w14:paraId="0C310654" w14:textId="6A9D9AEA" w:rsidR="00250E0C" w:rsidRPr="00250E0C" w:rsidRDefault="00250E0C" w:rsidP="009A553E">
            <w:pPr>
              <w:jc w:val="center"/>
              <w:rPr>
                <w:rFonts w:ascii="Arial Narrow" w:hAnsi="Arial Narrow" w:cs="Calibri"/>
                <w:color w:val="000000"/>
                <w:sz w:val="20"/>
                <w:szCs w:val="20"/>
              </w:rPr>
            </w:pPr>
            <w:r w:rsidRPr="00250E0C">
              <w:rPr>
                <w:rFonts w:ascii="Arial Narrow" w:hAnsi="Arial Narrow" w:cs="Calibri"/>
                <w:sz w:val="20"/>
                <w:szCs w:val="20"/>
              </w:rPr>
              <w:t>-2</w:t>
            </w:r>
          </w:p>
        </w:tc>
        <w:tc>
          <w:tcPr>
            <w:tcW w:w="990" w:type="dxa"/>
            <w:vAlign w:val="center"/>
          </w:tcPr>
          <w:p w14:paraId="2CD12720" w14:textId="3B4CE610" w:rsidR="00250E0C" w:rsidRPr="00250E0C" w:rsidRDefault="00250E0C" w:rsidP="009A553E">
            <w:pPr>
              <w:jc w:val="center"/>
              <w:rPr>
                <w:rFonts w:ascii="Arial Narrow" w:hAnsi="Arial Narrow" w:cs="Calibri"/>
                <w:color w:val="000000"/>
                <w:sz w:val="20"/>
                <w:szCs w:val="20"/>
              </w:rPr>
            </w:pPr>
            <w:r w:rsidRPr="00250E0C">
              <w:rPr>
                <w:rFonts w:ascii="Arial Narrow" w:hAnsi="Arial Narrow" w:cs="Calibri"/>
                <w:sz w:val="20"/>
                <w:szCs w:val="20"/>
              </w:rPr>
              <w:t>-2</w:t>
            </w:r>
          </w:p>
        </w:tc>
        <w:tc>
          <w:tcPr>
            <w:tcW w:w="990" w:type="dxa"/>
            <w:vAlign w:val="center"/>
          </w:tcPr>
          <w:p w14:paraId="25543B16" w14:textId="22F608CE" w:rsidR="00250E0C" w:rsidRPr="00250E0C" w:rsidRDefault="00250E0C" w:rsidP="009A553E">
            <w:pPr>
              <w:jc w:val="center"/>
              <w:rPr>
                <w:rFonts w:ascii="Arial Narrow" w:hAnsi="Arial Narrow" w:cs="Calibri"/>
                <w:b/>
                <w:color w:val="000000"/>
                <w:sz w:val="20"/>
                <w:szCs w:val="20"/>
                <w:highlight w:val="yellow"/>
              </w:rPr>
            </w:pPr>
            <w:r w:rsidRPr="00250E0C">
              <w:rPr>
                <w:rFonts w:ascii="Arial Narrow" w:hAnsi="Arial Narrow" w:cs="Calibri"/>
                <w:sz w:val="20"/>
                <w:szCs w:val="20"/>
              </w:rPr>
              <w:t>-2</w:t>
            </w:r>
          </w:p>
        </w:tc>
        <w:tc>
          <w:tcPr>
            <w:tcW w:w="3600" w:type="dxa"/>
            <w:vAlign w:val="center"/>
          </w:tcPr>
          <w:p w14:paraId="2B6B8C24" w14:textId="05D76540" w:rsidR="00250E0C" w:rsidRPr="00250E0C" w:rsidRDefault="00250E0C" w:rsidP="009A553E">
            <w:pPr>
              <w:jc w:val="left"/>
              <w:rPr>
                <w:rFonts w:ascii="Arial Narrow" w:hAnsi="Arial Narrow"/>
                <w:color w:val="000000"/>
                <w:sz w:val="20"/>
                <w:szCs w:val="20"/>
                <w:highlight w:val="yellow"/>
              </w:rPr>
            </w:pPr>
            <w:r w:rsidRPr="00250E0C">
              <w:rPr>
                <w:rFonts w:ascii="Arial Narrow" w:hAnsi="Arial Narrow" w:cs="Calibri"/>
                <w:sz w:val="20"/>
                <w:szCs w:val="20"/>
              </w:rPr>
              <w:t>Temperatures are generally highest in the late summer, however, fall benthic scores were higher than spring scores in each of the impaired streams.</w:t>
            </w:r>
          </w:p>
        </w:tc>
      </w:tr>
      <w:tr w:rsidR="00250E0C" w:rsidRPr="007A0C83" w14:paraId="50B63C7A" w14:textId="77777777" w:rsidTr="009A553E">
        <w:trPr>
          <w:trHeight w:val="247"/>
        </w:trPr>
        <w:tc>
          <w:tcPr>
            <w:tcW w:w="2437" w:type="dxa"/>
            <w:vAlign w:val="center"/>
          </w:tcPr>
          <w:p w14:paraId="6B37CB12" w14:textId="3A4F9E99" w:rsidR="00250E0C" w:rsidRPr="00250E0C" w:rsidRDefault="00250E0C" w:rsidP="009A553E">
            <w:pPr>
              <w:jc w:val="left"/>
              <w:rPr>
                <w:rFonts w:ascii="Arial Narrow" w:hAnsi="Arial Narrow" w:cs="Calibri"/>
                <w:b/>
                <w:bCs/>
                <w:color w:val="000000"/>
                <w:sz w:val="20"/>
                <w:szCs w:val="20"/>
              </w:rPr>
            </w:pPr>
            <w:r w:rsidRPr="00250E0C">
              <w:rPr>
                <w:rFonts w:ascii="Arial Narrow" w:hAnsi="Arial Narrow" w:cs="Calibri"/>
                <w:color w:val="000000"/>
                <w:sz w:val="20"/>
                <w:szCs w:val="20"/>
              </w:rPr>
              <w:t>Stressor-Response Relationships from Laboratory Studies</w:t>
            </w:r>
          </w:p>
        </w:tc>
        <w:tc>
          <w:tcPr>
            <w:tcW w:w="720" w:type="dxa"/>
            <w:vAlign w:val="center"/>
          </w:tcPr>
          <w:p w14:paraId="5676520C" w14:textId="1B841BBE" w:rsidR="00250E0C" w:rsidRPr="00250E0C" w:rsidRDefault="00250E0C" w:rsidP="009A553E">
            <w:pPr>
              <w:jc w:val="center"/>
              <w:rPr>
                <w:rFonts w:ascii="Arial Narrow" w:hAnsi="Arial Narrow" w:cs="Calibri"/>
                <w:b/>
                <w:color w:val="000000"/>
                <w:sz w:val="20"/>
                <w:szCs w:val="20"/>
              </w:rPr>
            </w:pPr>
            <w:r w:rsidRPr="00250E0C">
              <w:rPr>
                <w:rFonts w:ascii="Arial Narrow" w:hAnsi="Arial Narrow" w:cs="Calibri"/>
                <w:color w:val="000000"/>
                <w:sz w:val="20"/>
                <w:szCs w:val="20"/>
              </w:rPr>
              <w:t>-3</w:t>
            </w:r>
          </w:p>
        </w:tc>
        <w:tc>
          <w:tcPr>
            <w:tcW w:w="720" w:type="dxa"/>
            <w:vAlign w:val="center"/>
          </w:tcPr>
          <w:p w14:paraId="14366E67" w14:textId="3628F86E" w:rsidR="00250E0C" w:rsidRPr="00250E0C" w:rsidRDefault="00250E0C" w:rsidP="009A553E">
            <w:pPr>
              <w:jc w:val="center"/>
              <w:rPr>
                <w:rFonts w:ascii="Arial Narrow" w:hAnsi="Arial Narrow" w:cs="Calibri"/>
                <w:b/>
                <w:color w:val="000000"/>
                <w:sz w:val="20"/>
                <w:szCs w:val="20"/>
              </w:rPr>
            </w:pPr>
            <w:r w:rsidRPr="00250E0C">
              <w:rPr>
                <w:rFonts w:ascii="Arial Narrow" w:hAnsi="Arial Narrow" w:cs="Calibri"/>
                <w:color w:val="000000"/>
                <w:sz w:val="20"/>
                <w:szCs w:val="20"/>
              </w:rPr>
              <w:t>-2</w:t>
            </w:r>
          </w:p>
        </w:tc>
        <w:tc>
          <w:tcPr>
            <w:tcW w:w="990" w:type="dxa"/>
            <w:vAlign w:val="center"/>
          </w:tcPr>
          <w:p w14:paraId="0736294F" w14:textId="5CCF5479" w:rsidR="00250E0C" w:rsidRPr="00250E0C" w:rsidRDefault="00250E0C" w:rsidP="009A553E">
            <w:pPr>
              <w:jc w:val="center"/>
              <w:rPr>
                <w:rFonts w:ascii="Arial Narrow" w:hAnsi="Arial Narrow" w:cs="Calibri"/>
                <w:b/>
                <w:color w:val="000000"/>
                <w:sz w:val="20"/>
                <w:szCs w:val="20"/>
              </w:rPr>
            </w:pPr>
            <w:r w:rsidRPr="00250E0C">
              <w:rPr>
                <w:rFonts w:ascii="Arial Narrow" w:hAnsi="Arial Narrow" w:cs="Calibri"/>
                <w:color w:val="000000"/>
                <w:sz w:val="20"/>
                <w:szCs w:val="20"/>
              </w:rPr>
              <w:t>-3</w:t>
            </w:r>
          </w:p>
        </w:tc>
        <w:tc>
          <w:tcPr>
            <w:tcW w:w="990" w:type="dxa"/>
            <w:vAlign w:val="center"/>
          </w:tcPr>
          <w:p w14:paraId="43DB5E8A" w14:textId="18E88EDC" w:rsidR="00250E0C" w:rsidRPr="00250E0C" w:rsidRDefault="00250E0C" w:rsidP="009A553E">
            <w:pPr>
              <w:jc w:val="center"/>
              <w:rPr>
                <w:rFonts w:ascii="Arial Narrow" w:hAnsi="Arial Narrow" w:cs="Calibri"/>
                <w:b/>
                <w:color w:val="000000"/>
                <w:sz w:val="20"/>
                <w:szCs w:val="20"/>
              </w:rPr>
            </w:pPr>
            <w:r w:rsidRPr="00250E0C">
              <w:rPr>
                <w:rFonts w:ascii="Arial Narrow" w:hAnsi="Arial Narrow" w:cs="Calibri"/>
                <w:color w:val="000000"/>
                <w:sz w:val="20"/>
                <w:szCs w:val="20"/>
              </w:rPr>
              <w:t>-3</w:t>
            </w:r>
          </w:p>
        </w:tc>
        <w:tc>
          <w:tcPr>
            <w:tcW w:w="3600" w:type="dxa"/>
            <w:vAlign w:val="center"/>
          </w:tcPr>
          <w:p w14:paraId="51C6BFBB" w14:textId="2CBD4CCA" w:rsidR="00250E0C" w:rsidRPr="00250E0C" w:rsidRDefault="00250E0C" w:rsidP="009A553E">
            <w:pPr>
              <w:jc w:val="left"/>
              <w:rPr>
                <w:rFonts w:ascii="Arial Narrow" w:hAnsi="Arial Narrow"/>
                <w:color w:val="000000"/>
                <w:sz w:val="20"/>
                <w:szCs w:val="20"/>
                <w:highlight w:val="yellow"/>
              </w:rPr>
            </w:pPr>
            <w:r w:rsidRPr="00250E0C">
              <w:rPr>
                <w:rFonts w:ascii="Arial Narrow" w:hAnsi="Arial Narrow" w:cs="Calibri"/>
                <w:color w:val="000000"/>
                <w:sz w:val="20"/>
                <w:szCs w:val="20"/>
              </w:rPr>
              <w:t xml:space="preserve">All temperature values in Wolf Creek and the Roanoke River were within water quality standards. Several exceedances of the </w:t>
            </w:r>
            <w:proofErr w:type="spellStart"/>
            <w:r w:rsidRPr="00250E0C">
              <w:rPr>
                <w:rFonts w:ascii="Arial Narrow" w:hAnsi="Arial Narrow" w:cs="Calibri"/>
                <w:color w:val="000000"/>
                <w:sz w:val="20"/>
                <w:szCs w:val="20"/>
              </w:rPr>
              <w:t>stockable</w:t>
            </w:r>
            <w:proofErr w:type="spellEnd"/>
            <w:r w:rsidRPr="00250E0C">
              <w:rPr>
                <w:rFonts w:ascii="Arial Narrow" w:hAnsi="Arial Narrow" w:cs="Calibri"/>
                <w:color w:val="000000"/>
                <w:sz w:val="20"/>
                <w:szCs w:val="20"/>
              </w:rPr>
              <w:t xml:space="preserve"> trout temperature standard were observed in Tinker Creek, but this standard is designed to support </w:t>
            </w:r>
            <w:proofErr w:type="spellStart"/>
            <w:r w:rsidRPr="00250E0C">
              <w:rPr>
                <w:rFonts w:ascii="Arial Narrow" w:hAnsi="Arial Narrow" w:cs="Calibri"/>
                <w:color w:val="000000"/>
                <w:sz w:val="20"/>
                <w:szCs w:val="20"/>
              </w:rPr>
              <w:t>coldwater</w:t>
            </w:r>
            <w:proofErr w:type="spellEnd"/>
            <w:r w:rsidRPr="00250E0C">
              <w:rPr>
                <w:rFonts w:ascii="Arial Narrow" w:hAnsi="Arial Narrow" w:cs="Calibri"/>
                <w:color w:val="000000"/>
                <w:sz w:val="20"/>
                <w:szCs w:val="20"/>
              </w:rPr>
              <w:t xml:space="preserve"> fisheries and minor exceedances should not impact benthic macroinvertebrate health.</w:t>
            </w:r>
          </w:p>
        </w:tc>
      </w:tr>
      <w:tr w:rsidR="00250E0C" w:rsidRPr="007A0C83" w14:paraId="71C15C96" w14:textId="77777777" w:rsidTr="009A553E">
        <w:trPr>
          <w:trHeight w:val="247"/>
        </w:trPr>
        <w:tc>
          <w:tcPr>
            <w:tcW w:w="2437" w:type="dxa"/>
            <w:vAlign w:val="center"/>
          </w:tcPr>
          <w:p w14:paraId="6C1E573E" w14:textId="08ED6BFA" w:rsidR="00250E0C" w:rsidRPr="00250E0C" w:rsidRDefault="00250E0C" w:rsidP="009A553E">
            <w:pPr>
              <w:jc w:val="left"/>
              <w:rPr>
                <w:rFonts w:ascii="Arial Narrow" w:hAnsi="Arial Narrow" w:cs="Calibri"/>
                <w:b/>
                <w:bCs/>
                <w:color w:val="000000"/>
                <w:sz w:val="20"/>
                <w:szCs w:val="20"/>
              </w:rPr>
            </w:pPr>
            <w:r w:rsidRPr="00250E0C">
              <w:rPr>
                <w:rFonts w:ascii="Arial Narrow" w:hAnsi="Arial Narrow" w:cs="Calibri"/>
                <w:color w:val="000000"/>
                <w:sz w:val="20"/>
                <w:szCs w:val="20"/>
              </w:rPr>
              <w:t>Consistency of Evidence</w:t>
            </w:r>
          </w:p>
        </w:tc>
        <w:tc>
          <w:tcPr>
            <w:tcW w:w="720" w:type="dxa"/>
            <w:vAlign w:val="center"/>
          </w:tcPr>
          <w:p w14:paraId="6305E307" w14:textId="17541CC8" w:rsidR="00250E0C" w:rsidRPr="00250E0C" w:rsidRDefault="00250E0C" w:rsidP="009A553E">
            <w:pPr>
              <w:jc w:val="center"/>
              <w:rPr>
                <w:rFonts w:ascii="Arial Narrow" w:hAnsi="Arial Narrow" w:cs="Calibri"/>
                <w:b/>
                <w:color w:val="000000"/>
                <w:sz w:val="20"/>
                <w:szCs w:val="20"/>
              </w:rPr>
            </w:pPr>
            <w:r w:rsidRPr="00250E0C">
              <w:rPr>
                <w:rFonts w:ascii="Arial Narrow" w:hAnsi="Arial Narrow" w:cs="Calibri"/>
                <w:color w:val="000000"/>
                <w:sz w:val="20"/>
                <w:szCs w:val="20"/>
              </w:rPr>
              <w:t>-2</w:t>
            </w:r>
          </w:p>
        </w:tc>
        <w:tc>
          <w:tcPr>
            <w:tcW w:w="720" w:type="dxa"/>
            <w:vAlign w:val="center"/>
          </w:tcPr>
          <w:p w14:paraId="73E366F8" w14:textId="10E0D8A9" w:rsidR="00250E0C" w:rsidRPr="00250E0C" w:rsidRDefault="00250E0C" w:rsidP="009A553E">
            <w:pPr>
              <w:jc w:val="center"/>
              <w:rPr>
                <w:rFonts w:ascii="Arial Narrow" w:hAnsi="Arial Narrow" w:cs="Calibri"/>
                <w:b/>
                <w:color w:val="000000"/>
                <w:sz w:val="20"/>
                <w:szCs w:val="20"/>
              </w:rPr>
            </w:pPr>
            <w:r w:rsidRPr="00250E0C">
              <w:rPr>
                <w:rFonts w:ascii="Arial Narrow" w:hAnsi="Arial Narrow" w:cs="Calibri"/>
                <w:color w:val="000000"/>
                <w:sz w:val="20"/>
                <w:szCs w:val="20"/>
              </w:rPr>
              <w:t>-2</w:t>
            </w:r>
          </w:p>
        </w:tc>
        <w:tc>
          <w:tcPr>
            <w:tcW w:w="990" w:type="dxa"/>
            <w:vAlign w:val="center"/>
          </w:tcPr>
          <w:p w14:paraId="75F239B7" w14:textId="1CE4811F" w:rsidR="00250E0C" w:rsidRPr="00250E0C" w:rsidRDefault="00250E0C" w:rsidP="009A553E">
            <w:pPr>
              <w:jc w:val="center"/>
              <w:rPr>
                <w:rFonts w:ascii="Arial Narrow" w:hAnsi="Arial Narrow" w:cs="Calibri"/>
                <w:b/>
                <w:color w:val="000000"/>
                <w:sz w:val="20"/>
                <w:szCs w:val="20"/>
              </w:rPr>
            </w:pPr>
            <w:r w:rsidRPr="00250E0C">
              <w:rPr>
                <w:rFonts w:ascii="Arial Narrow" w:hAnsi="Arial Narrow" w:cs="Calibri"/>
                <w:color w:val="000000"/>
                <w:sz w:val="20"/>
                <w:szCs w:val="20"/>
              </w:rPr>
              <w:t>-2</w:t>
            </w:r>
          </w:p>
        </w:tc>
        <w:tc>
          <w:tcPr>
            <w:tcW w:w="990" w:type="dxa"/>
            <w:vAlign w:val="center"/>
          </w:tcPr>
          <w:p w14:paraId="689D2AF9" w14:textId="053A3ECF" w:rsidR="00250E0C" w:rsidRPr="00250E0C" w:rsidRDefault="00250E0C" w:rsidP="009A553E">
            <w:pPr>
              <w:jc w:val="center"/>
              <w:rPr>
                <w:rFonts w:ascii="Arial Narrow" w:hAnsi="Arial Narrow" w:cs="Calibri"/>
                <w:b/>
                <w:color w:val="000000"/>
                <w:sz w:val="20"/>
                <w:szCs w:val="20"/>
              </w:rPr>
            </w:pPr>
            <w:r w:rsidRPr="00250E0C">
              <w:rPr>
                <w:rFonts w:ascii="Arial Narrow" w:hAnsi="Arial Narrow" w:cs="Calibri"/>
                <w:color w:val="000000"/>
                <w:sz w:val="20"/>
                <w:szCs w:val="20"/>
              </w:rPr>
              <w:t>-2</w:t>
            </w:r>
          </w:p>
        </w:tc>
        <w:tc>
          <w:tcPr>
            <w:tcW w:w="3600" w:type="dxa"/>
            <w:vAlign w:val="center"/>
          </w:tcPr>
          <w:p w14:paraId="70867848" w14:textId="268835AF" w:rsidR="00250E0C" w:rsidRPr="00250E0C" w:rsidRDefault="00250E0C" w:rsidP="009A553E">
            <w:pPr>
              <w:jc w:val="left"/>
              <w:rPr>
                <w:rFonts w:ascii="Arial Narrow" w:hAnsi="Arial Narrow"/>
                <w:color w:val="000000"/>
                <w:sz w:val="20"/>
                <w:szCs w:val="20"/>
                <w:highlight w:val="yellow"/>
              </w:rPr>
            </w:pPr>
            <w:r w:rsidRPr="00250E0C">
              <w:rPr>
                <w:rFonts w:ascii="Arial Narrow" w:hAnsi="Arial Narrow" w:cs="Calibri"/>
                <w:color w:val="000000"/>
                <w:sz w:val="20"/>
                <w:szCs w:val="20"/>
              </w:rPr>
              <w:t>Most evidence consistently refuted temperature as a stressor.</w:t>
            </w:r>
          </w:p>
        </w:tc>
      </w:tr>
      <w:tr w:rsidR="00250E0C" w:rsidRPr="00223F05" w14:paraId="7A31ED9B" w14:textId="77777777" w:rsidTr="009A553E">
        <w:trPr>
          <w:trHeight w:val="247"/>
        </w:trPr>
        <w:tc>
          <w:tcPr>
            <w:tcW w:w="2437" w:type="dxa"/>
            <w:vAlign w:val="center"/>
          </w:tcPr>
          <w:p w14:paraId="05CE10FB" w14:textId="2024D8D4" w:rsidR="00250E0C" w:rsidRPr="00223F05" w:rsidRDefault="00250E0C" w:rsidP="009A553E">
            <w:pPr>
              <w:jc w:val="right"/>
              <w:rPr>
                <w:rFonts w:ascii="Arial Narrow" w:hAnsi="Arial Narrow" w:cs="Calibri"/>
                <w:b/>
                <w:bCs/>
                <w:color w:val="000000"/>
                <w:sz w:val="20"/>
                <w:szCs w:val="20"/>
              </w:rPr>
            </w:pPr>
            <w:r w:rsidRPr="00223F05">
              <w:rPr>
                <w:rFonts w:ascii="Arial Narrow" w:hAnsi="Arial Narrow" w:cs="Calibri"/>
                <w:b/>
                <w:bCs/>
                <w:color w:val="000000"/>
                <w:sz w:val="20"/>
                <w:szCs w:val="20"/>
              </w:rPr>
              <w:t>Sum</w:t>
            </w:r>
          </w:p>
        </w:tc>
        <w:tc>
          <w:tcPr>
            <w:tcW w:w="720" w:type="dxa"/>
            <w:vAlign w:val="center"/>
          </w:tcPr>
          <w:p w14:paraId="4D6E1C8A" w14:textId="2BE1906B" w:rsidR="00250E0C" w:rsidRPr="00223F05" w:rsidRDefault="00250E0C" w:rsidP="009A553E">
            <w:pPr>
              <w:jc w:val="center"/>
              <w:rPr>
                <w:rFonts w:ascii="Arial Narrow" w:hAnsi="Arial Narrow" w:cs="Calibri"/>
                <w:b/>
                <w:color w:val="000000"/>
                <w:sz w:val="20"/>
                <w:szCs w:val="20"/>
              </w:rPr>
            </w:pPr>
            <w:r w:rsidRPr="00223F05">
              <w:rPr>
                <w:rFonts w:ascii="Arial Narrow" w:hAnsi="Arial Narrow" w:cs="Calibri"/>
                <w:b/>
                <w:color w:val="000000"/>
                <w:sz w:val="20"/>
                <w:szCs w:val="20"/>
              </w:rPr>
              <w:t>-1</w:t>
            </w:r>
            <w:r w:rsidR="003145C8">
              <w:rPr>
                <w:rFonts w:ascii="Arial Narrow" w:hAnsi="Arial Narrow" w:cs="Calibri"/>
                <w:b/>
                <w:color w:val="000000"/>
                <w:sz w:val="20"/>
                <w:szCs w:val="20"/>
              </w:rPr>
              <w:t>4</w:t>
            </w:r>
          </w:p>
        </w:tc>
        <w:tc>
          <w:tcPr>
            <w:tcW w:w="720" w:type="dxa"/>
            <w:vAlign w:val="center"/>
          </w:tcPr>
          <w:p w14:paraId="1449AC2F" w14:textId="26497393" w:rsidR="00250E0C" w:rsidRPr="00223F05" w:rsidRDefault="00250E0C" w:rsidP="009A553E">
            <w:pPr>
              <w:jc w:val="center"/>
              <w:rPr>
                <w:rFonts w:ascii="Arial Narrow" w:hAnsi="Arial Narrow" w:cs="Calibri"/>
                <w:b/>
                <w:color w:val="000000"/>
                <w:sz w:val="20"/>
                <w:szCs w:val="20"/>
              </w:rPr>
            </w:pPr>
            <w:r w:rsidRPr="00223F05">
              <w:rPr>
                <w:rFonts w:ascii="Arial Narrow" w:hAnsi="Arial Narrow" w:cs="Calibri"/>
                <w:b/>
                <w:color w:val="000000"/>
                <w:sz w:val="20"/>
                <w:szCs w:val="20"/>
              </w:rPr>
              <w:t>-1</w:t>
            </w:r>
            <w:r w:rsidR="003145C8">
              <w:rPr>
                <w:rFonts w:ascii="Arial Narrow" w:hAnsi="Arial Narrow" w:cs="Calibri"/>
                <w:b/>
                <w:color w:val="000000"/>
                <w:sz w:val="20"/>
                <w:szCs w:val="20"/>
              </w:rPr>
              <w:t>2</w:t>
            </w:r>
          </w:p>
        </w:tc>
        <w:tc>
          <w:tcPr>
            <w:tcW w:w="990" w:type="dxa"/>
            <w:vAlign w:val="center"/>
          </w:tcPr>
          <w:p w14:paraId="695F3694" w14:textId="35F02B5B" w:rsidR="00250E0C" w:rsidRPr="00223F05" w:rsidRDefault="00250E0C" w:rsidP="009A553E">
            <w:pPr>
              <w:jc w:val="center"/>
              <w:rPr>
                <w:rFonts w:ascii="Arial Narrow" w:hAnsi="Arial Narrow" w:cs="Calibri"/>
                <w:b/>
                <w:color w:val="000000"/>
                <w:sz w:val="20"/>
                <w:szCs w:val="20"/>
              </w:rPr>
            </w:pPr>
            <w:r w:rsidRPr="00223F05">
              <w:rPr>
                <w:rFonts w:ascii="Arial Narrow" w:hAnsi="Arial Narrow" w:cs="Calibri"/>
                <w:b/>
                <w:color w:val="000000"/>
                <w:sz w:val="20"/>
                <w:szCs w:val="20"/>
              </w:rPr>
              <w:t>-</w:t>
            </w:r>
            <w:r w:rsidR="003145C8">
              <w:rPr>
                <w:rFonts w:ascii="Arial Narrow" w:hAnsi="Arial Narrow" w:cs="Calibri"/>
                <w:b/>
                <w:color w:val="000000"/>
                <w:sz w:val="20"/>
                <w:szCs w:val="20"/>
              </w:rPr>
              <w:t>6</w:t>
            </w:r>
          </w:p>
        </w:tc>
        <w:tc>
          <w:tcPr>
            <w:tcW w:w="990" w:type="dxa"/>
            <w:vAlign w:val="center"/>
          </w:tcPr>
          <w:p w14:paraId="04BDABC1" w14:textId="1C87C645" w:rsidR="00250E0C" w:rsidRPr="00223F05" w:rsidRDefault="00250E0C" w:rsidP="009A553E">
            <w:pPr>
              <w:jc w:val="center"/>
              <w:rPr>
                <w:rFonts w:ascii="Arial Narrow" w:hAnsi="Arial Narrow" w:cs="Calibri"/>
                <w:b/>
                <w:color w:val="000000"/>
                <w:sz w:val="20"/>
                <w:szCs w:val="20"/>
              </w:rPr>
            </w:pPr>
            <w:r w:rsidRPr="00223F05">
              <w:rPr>
                <w:rFonts w:ascii="Arial Narrow" w:hAnsi="Arial Narrow" w:cs="Calibri"/>
                <w:b/>
                <w:color w:val="000000"/>
                <w:sz w:val="20"/>
                <w:szCs w:val="20"/>
              </w:rPr>
              <w:t>-</w:t>
            </w:r>
            <w:r w:rsidR="003145C8">
              <w:rPr>
                <w:rFonts w:ascii="Arial Narrow" w:hAnsi="Arial Narrow" w:cs="Calibri"/>
                <w:b/>
                <w:color w:val="000000"/>
                <w:sz w:val="20"/>
                <w:szCs w:val="20"/>
              </w:rPr>
              <w:t>6</w:t>
            </w:r>
          </w:p>
        </w:tc>
        <w:tc>
          <w:tcPr>
            <w:tcW w:w="3600" w:type="dxa"/>
            <w:vAlign w:val="center"/>
          </w:tcPr>
          <w:p w14:paraId="7B72B25F" w14:textId="77777777" w:rsidR="00250E0C" w:rsidRPr="00223F05" w:rsidRDefault="00250E0C" w:rsidP="009A553E">
            <w:pPr>
              <w:jc w:val="left"/>
              <w:rPr>
                <w:rFonts w:ascii="Arial Narrow" w:hAnsi="Arial Narrow"/>
                <w:b/>
                <w:color w:val="000000"/>
                <w:sz w:val="20"/>
                <w:szCs w:val="20"/>
                <w:highlight w:val="yellow"/>
              </w:rPr>
            </w:pPr>
          </w:p>
        </w:tc>
      </w:tr>
    </w:tbl>
    <w:p w14:paraId="4775AEB5" w14:textId="77777777" w:rsidR="008A1F50" w:rsidRPr="007A0C83" w:rsidRDefault="008A1F50" w:rsidP="005E4B50">
      <w:pPr>
        <w:pStyle w:val="BlockText"/>
        <w:spacing w:before="0" w:after="0" w:line="240" w:lineRule="auto"/>
        <w:rPr>
          <w:highlight w:val="yellow"/>
        </w:rPr>
      </w:pPr>
    </w:p>
    <w:p w14:paraId="08BC1EF6" w14:textId="77777777" w:rsidR="008A1F50" w:rsidRPr="00C923AE" w:rsidRDefault="008A1F50" w:rsidP="003B49F8">
      <w:pPr>
        <w:pStyle w:val="Heading2"/>
      </w:pPr>
      <w:bookmarkStart w:id="208" w:name="_Ref51939562"/>
      <w:bookmarkStart w:id="209" w:name="_Toc162948189"/>
      <w:r w:rsidRPr="00C923AE">
        <w:t>pH</w:t>
      </w:r>
      <w:bookmarkEnd w:id="208"/>
      <w:bookmarkEnd w:id="209"/>
    </w:p>
    <w:p w14:paraId="33FC889A" w14:textId="0A13C889" w:rsidR="008A1F50" w:rsidRDefault="008A1F50" w:rsidP="008A1F50">
      <w:pPr>
        <w:pStyle w:val="BlockText"/>
      </w:pPr>
      <w:r w:rsidRPr="00C923AE">
        <w:fldChar w:fldCharType="begin"/>
      </w:r>
      <w:r w:rsidRPr="00C923AE">
        <w:instrText xml:space="preserve"> REF _Ref50628602 \h  \* MERGEFORMAT </w:instrText>
      </w:r>
      <w:r w:rsidRPr="00C923AE">
        <w:fldChar w:fldCharType="separate"/>
      </w:r>
      <w:r w:rsidR="004A78BF" w:rsidRPr="00C923AE">
        <w:t xml:space="preserve">Table </w:t>
      </w:r>
      <w:r w:rsidR="004A78BF">
        <w:rPr>
          <w:noProof/>
        </w:rPr>
        <w:t>29</w:t>
      </w:r>
      <w:r w:rsidRPr="00C923AE">
        <w:fldChar w:fldCharType="end"/>
      </w:r>
      <w:r w:rsidRPr="00C923AE">
        <w:t xml:space="preserve"> shows the causal analysis results for </w:t>
      </w:r>
      <w:proofErr w:type="spellStart"/>
      <w:r w:rsidRPr="00C923AE">
        <w:t>pH</w:t>
      </w:r>
      <w:r w:rsidR="00C923AE">
        <w:t>.</w:t>
      </w:r>
      <w:proofErr w:type="spellEnd"/>
      <w:r w:rsidRPr="00C923AE">
        <w:t xml:space="preserve"> Total causal analysis scores </w:t>
      </w:r>
      <w:r w:rsidR="005C4E8A">
        <w:t>ranged from -21 to -17</w:t>
      </w:r>
      <w:r w:rsidR="00C923AE">
        <w:t xml:space="preserve">, </w:t>
      </w:r>
      <w:r w:rsidRPr="00C923AE">
        <w:t xml:space="preserve">indicating that there is strong evidence that pH is a non-stressor in </w:t>
      </w:r>
      <w:r w:rsidR="005C4E8A">
        <w:t>Roanoke River Project s</w:t>
      </w:r>
      <w:r w:rsidRPr="00C923AE">
        <w:t xml:space="preserve">treams. All pH values were within water quality standards and were in the low probability range for stressor effects. For these reasons and others explained in </w:t>
      </w:r>
      <w:r w:rsidRPr="00C923AE">
        <w:fldChar w:fldCharType="begin"/>
      </w:r>
      <w:r w:rsidRPr="00C923AE">
        <w:instrText xml:space="preserve"> REF _Ref50628602 \h  \* MERGEFORMAT </w:instrText>
      </w:r>
      <w:r w:rsidRPr="00C923AE">
        <w:fldChar w:fldCharType="separate"/>
      </w:r>
      <w:r w:rsidR="004A78BF" w:rsidRPr="00C923AE">
        <w:t xml:space="preserve">Table </w:t>
      </w:r>
      <w:r w:rsidR="004A78BF">
        <w:rPr>
          <w:noProof/>
        </w:rPr>
        <w:t>29</w:t>
      </w:r>
      <w:r w:rsidRPr="00C923AE">
        <w:fldChar w:fldCharType="end"/>
      </w:r>
      <w:r w:rsidRPr="00C923AE">
        <w:t>, pH was categorized as a non-stressor</w:t>
      </w:r>
      <w:r w:rsidR="0073580A">
        <w:t xml:space="preserve"> in </w:t>
      </w:r>
      <w:r w:rsidR="005C4E8A">
        <w:t>Roanoke River Project</w:t>
      </w:r>
      <w:r w:rsidR="0073580A">
        <w:t xml:space="preserve"> streams</w:t>
      </w:r>
      <w:r w:rsidRPr="00C923AE">
        <w:t>.</w:t>
      </w:r>
    </w:p>
    <w:p w14:paraId="3A5BF92B" w14:textId="77777777" w:rsidR="00EE2FD8" w:rsidRPr="00C923AE" w:rsidRDefault="00EE2FD8" w:rsidP="005E4B50">
      <w:pPr>
        <w:pStyle w:val="BlockText"/>
        <w:spacing w:before="0" w:after="0" w:line="240" w:lineRule="auto"/>
      </w:pPr>
    </w:p>
    <w:p w14:paraId="05235C8F" w14:textId="28BF1A5D" w:rsidR="008A1F50" w:rsidRPr="00C923AE" w:rsidRDefault="008A1F50" w:rsidP="008A1F50">
      <w:pPr>
        <w:pStyle w:val="Caption"/>
      </w:pPr>
      <w:bookmarkStart w:id="210" w:name="_Ref50628602"/>
      <w:bookmarkStart w:id="211" w:name="_Toc162948296"/>
      <w:r w:rsidRPr="00C923AE">
        <w:t xml:space="preserve">Table </w:t>
      </w:r>
      <w:r w:rsidRPr="00C923AE">
        <w:rPr>
          <w:noProof/>
        </w:rPr>
        <w:fldChar w:fldCharType="begin"/>
      </w:r>
      <w:r w:rsidRPr="00C923AE">
        <w:rPr>
          <w:noProof/>
        </w:rPr>
        <w:instrText xml:space="preserve"> SEQ Table \* ARABIC </w:instrText>
      </w:r>
      <w:r w:rsidRPr="00C923AE">
        <w:rPr>
          <w:noProof/>
        </w:rPr>
        <w:fldChar w:fldCharType="separate"/>
      </w:r>
      <w:r w:rsidR="004A78BF">
        <w:rPr>
          <w:noProof/>
        </w:rPr>
        <w:t>29</w:t>
      </w:r>
      <w:r w:rsidRPr="00C923AE">
        <w:rPr>
          <w:noProof/>
        </w:rPr>
        <w:fldChar w:fldCharType="end"/>
      </w:r>
      <w:bookmarkEnd w:id="210"/>
      <w:r w:rsidRPr="00C923AE">
        <w:t>. Causal analysis results for pH as a stressor.</w:t>
      </w:r>
      <w:bookmarkEnd w:id="211"/>
    </w:p>
    <w:tbl>
      <w:tblPr>
        <w:tblW w:w="9457"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7"/>
        <w:gridCol w:w="720"/>
        <w:gridCol w:w="720"/>
        <w:gridCol w:w="990"/>
        <w:gridCol w:w="990"/>
        <w:gridCol w:w="3600"/>
      </w:tblGrid>
      <w:tr w:rsidR="00250E0C" w:rsidRPr="007A0C83" w14:paraId="42FEE1EA" w14:textId="77777777" w:rsidTr="009A553E">
        <w:trPr>
          <w:cantSplit/>
          <w:trHeight w:hRule="exact" w:val="1080"/>
        </w:trPr>
        <w:tc>
          <w:tcPr>
            <w:tcW w:w="2437" w:type="dxa"/>
            <w:shd w:val="clear" w:color="auto" w:fill="D9D9D9" w:themeFill="background1" w:themeFillShade="D9"/>
            <w:vAlign w:val="center"/>
          </w:tcPr>
          <w:p w14:paraId="453EC9EB" w14:textId="77777777" w:rsidR="00250E0C" w:rsidRPr="00396EC1" w:rsidRDefault="00250E0C" w:rsidP="009A553E">
            <w:pPr>
              <w:jc w:val="center"/>
              <w:rPr>
                <w:rFonts w:ascii="Arial Narrow" w:hAnsi="Arial Narrow"/>
                <w:b/>
                <w:sz w:val="20"/>
                <w:szCs w:val="20"/>
              </w:rPr>
            </w:pPr>
            <w:r w:rsidRPr="00396EC1">
              <w:rPr>
                <w:rFonts w:ascii="Arial Narrow" w:hAnsi="Arial Narrow"/>
                <w:b/>
                <w:sz w:val="20"/>
                <w:szCs w:val="20"/>
              </w:rPr>
              <w:t>Evidence</w:t>
            </w:r>
          </w:p>
        </w:tc>
        <w:tc>
          <w:tcPr>
            <w:tcW w:w="720" w:type="dxa"/>
            <w:shd w:val="clear" w:color="auto" w:fill="D9D9D9" w:themeFill="background1" w:themeFillShade="D9"/>
            <w:vAlign w:val="center"/>
          </w:tcPr>
          <w:p w14:paraId="14D502F5" w14:textId="77777777" w:rsidR="00250E0C" w:rsidRPr="00396EC1" w:rsidRDefault="00250E0C" w:rsidP="009A553E">
            <w:pPr>
              <w:jc w:val="center"/>
              <w:rPr>
                <w:rFonts w:ascii="Arial Narrow" w:hAnsi="Arial Narrow"/>
                <w:b/>
                <w:sz w:val="20"/>
                <w:szCs w:val="20"/>
              </w:rPr>
            </w:pPr>
            <w:r>
              <w:rPr>
                <w:rFonts w:ascii="Arial Narrow" w:hAnsi="Arial Narrow"/>
                <w:b/>
                <w:sz w:val="20"/>
                <w:szCs w:val="20"/>
              </w:rPr>
              <w:t>Wolf Creek</w:t>
            </w:r>
          </w:p>
        </w:tc>
        <w:tc>
          <w:tcPr>
            <w:tcW w:w="720" w:type="dxa"/>
            <w:shd w:val="clear" w:color="auto" w:fill="D9D9D9" w:themeFill="background1" w:themeFillShade="D9"/>
            <w:vAlign w:val="center"/>
          </w:tcPr>
          <w:p w14:paraId="4ADF2887" w14:textId="77777777" w:rsidR="00250E0C" w:rsidRPr="00396EC1" w:rsidRDefault="00250E0C" w:rsidP="009A553E">
            <w:pPr>
              <w:jc w:val="center"/>
              <w:rPr>
                <w:rFonts w:ascii="Arial Narrow" w:hAnsi="Arial Narrow"/>
                <w:b/>
                <w:sz w:val="20"/>
                <w:szCs w:val="20"/>
              </w:rPr>
            </w:pPr>
            <w:r>
              <w:rPr>
                <w:rFonts w:ascii="Arial Narrow" w:hAnsi="Arial Narrow"/>
                <w:b/>
                <w:sz w:val="20"/>
                <w:szCs w:val="20"/>
              </w:rPr>
              <w:t>Tinker Creek</w:t>
            </w:r>
          </w:p>
        </w:tc>
        <w:tc>
          <w:tcPr>
            <w:tcW w:w="990" w:type="dxa"/>
            <w:shd w:val="clear" w:color="auto" w:fill="D9D9D9" w:themeFill="background1" w:themeFillShade="D9"/>
            <w:vAlign w:val="center"/>
          </w:tcPr>
          <w:p w14:paraId="6E228D5F" w14:textId="77777777" w:rsidR="00250E0C" w:rsidRPr="00396EC1" w:rsidRDefault="00250E0C" w:rsidP="009A553E">
            <w:pPr>
              <w:jc w:val="center"/>
              <w:rPr>
                <w:rFonts w:ascii="Arial Narrow" w:hAnsi="Arial Narrow"/>
                <w:b/>
                <w:sz w:val="20"/>
                <w:szCs w:val="20"/>
              </w:rPr>
            </w:pPr>
            <w:r>
              <w:rPr>
                <w:rFonts w:ascii="Arial Narrow" w:hAnsi="Arial Narrow"/>
                <w:b/>
                <w:sz w:val="20"/>
                <w:szCs w:val="20"/>
              </w:rPr>
              <w:t>Roanoke River (202.20)</w:t>
            </w:r>
          </w:p>
        </w:tc>
        <w:tc>
          <w:tcPr>
            <w:tcW w:w="990" w:type="dxa"/>
            <w:shd w:val="clear" w:color="auto" w:fill="D9D9D9" w:themeFill="background1" w:themeFillShade="D9"/>
            <w:vAlign w:val="center"/>
          </w:tcPr>
          <w:p w14:paraId="3E96568B" w14:textId="77777777" w:rsidR="00250E0C" w:rsidRPr="00396EC1" w:rsidRDefault="00250E0C" w:rsidP="009A553E">
            <w:pPr>
              <w:jc w:val="center"/>
              <w:rPr>
                <w:rFonts w:ascii="Arial Narrow" w:hAnsi="Arial Narrow"/>
                <w:b/>
                <w:sz w:val="20"/>
                <w:szCs w:val="20"/>
              </w:rPr>
            </w:pPr>
            <w:r>
              <w:rPr>
                <w:rFonts w:ascii="Arial Narrow" w:hAnsi="Arial Narrow"/>
                <w:b/>
                <w:sz w:val="20"/>
                <w:szCs w:val="20"/>
              </w:rPr>
              <w:t>Roanoke River (198.08)</w:t>
            </w:r>
          </w:p>
        </w:tc>
        <w:tc>
          <w:tcPr>
            <w:tcW w:w="3600" w:type="dxa"/>
            <w:shd w:val="clear" w:color="auto" w:fill="D9D9D9" w:themeFill="background1" w:themeFillShade="D9"/>
            <w:vAlign w:val="center"/>
          </w:tcPr>
          <w:p w14:paraId="2882F507" w14:textId="77777777" w:rsidR="00250E0C" w:rsidRPr="00613B31" w:rsidRDefault="00250E0C" w:rsidP="009A553E">
            <w:pPr>
              <w:jc w:val="center"/>
              <w:rPr>
                <w:rFonts w:ascii="Arial Narrow" w:hAnsi="Arial Narrow"/>
                <w:b/>
                <w:sz w:val="20"/>
                <w:szCs w:val="20"/>
              </w:rPr>
            </w:pPr>
            <w:r w:rsidRPr="00396EC1">
              <w:rPr>
                <w:rFonts w:ascii="Arial Narrow" w:hAnsi="Arial Narrow"/>
                <w:b/>
                <w:sz w:val="20"/>
                <w:szCs w:val="20"/>
              </w:rPr>
              <w:t>Explanation</w:t>
            </w:r>
          </w:p>
        </w:tc>
      </w:tr>
      <w:tr w:rsidR="00223F05" w:rsidRPr="00223F05" w14:paraId="7DC8170E" w14:textId="77777777" w:rsidTr="009A553E">
        <w:trPr>
          <w:trHeight w:val="247"/>
        </w:trPr>
        <w:tc>
          <w:tcPr>
            <w:tcW w:w="2437" w:type="dxa"/>
            <w:vAlign w:val="center"/>
          </w:tcPr>
          <w:p w14:paraId="472D95B7" w14:textId="7C584621" w:rsidR="00223F05" w:rsidRPr="00223F05" w:rsidRDefault="00223F05" w:rsidP="009A553E">
            <w:pPr>
              <w:jc w:val="left"/>
              <w:rPr>
                <w:rFonts w:ascii="Arial Narrow" w:hAnsi="Arial Narrow"/>
                <w:sz w:val="20"/>
                <w:szCs w:val="20"/>
                <w:highlight w:val="yellow"/>
              </w:rPr>
            </w:pPr>
            <w:r w:rsidRPr="00223F05">
              <w:rPr>
                <w:rFonts w:ascii="Arial Narrow" w:hAnsi="Arial Narrow" w:cs="Calibri"/>
                <w:color w:val="000000"/>
                <w:sz w:val="20"/>
                <w:szCs w:val="20"/>
              </w:rPr>
              <w:t>Spatial Co-occurrence</w:t>
            </w:r>
          </w:p>
        </w:tc>
        <w:tc>
          <w:tcPr>
            <w:tcW w:w="720" w:type="dxa"/>
            <w:vAlign w:val="center"/>
          </w:tcPr>
          <w:p w14:paraId="3AD560CD" w14:textId="1F1AE53A" w:rsidR="00223F05" w:rsidRPr="00223F05" w:rsidRDefault="00223F05" w:rsidP="009A553E">
            <w:pPr>
              <w:jc w:val="center"/>
              <w:rPr>
                <w:rFonts w:ascii="Arial Narrow" w:hAnsi="Arial Narrow" w:cs="Calibri"/>
                <w:color w:val="000000"/>
                <w:sz w:val="20"/>
                <w:szCs w:val="20"/>
              </w:rPr>
            </w:pPr>
            <w:r w:rsidRPr="00223F05">
              <w:rPr>
                <w:rFonts w:ascii="Arial Narrow" w:hAnsi="Arial Narrow" w:cs="Calibri"/>
                <w:color w:val="000000"/>
                <w:sz w:val="20"/>
                <w:szCs w:val="20"/>
              </w:rPr>
              <w:t>1</w:t>
            </w:r>
          </w:p>
        </w:tc>
        <w:tc>
          <w:tcPr>
            <w:tcW w:w="720" w:type="dxa"/>
            <w:vAlign w:val="center"/>
          </w:tcPr>
          <w:p w14:paraId="26EF71B7" w14:textId="41D6C30E" w:rsidR="00223F05" w:rsidRPr="00223F05" w:rsidRDefault="00223F05" w:rsidP="009A553E">
            <w:pPr>
              <w:jc w:val="center"/>
              <w:rPr>
                <w:rFonts w:ascii="Arial Narrow" w:hAnsi="Arial Narrow" w:cs="Calibri"/>
                <w:color w:val="000000"/>
                <w:sz w:val="20"/>
                <w:szCs w:val="20"/>
              </w:rPr>
            </w:pPr>
            <w:r w:rsidRPr="00223F05">
              <w:rPr>
                <w:rFonts w:ascii="Arial Narrow" w:hAnsi="Arial Narrow" w:cs="Calibri"/>
                <w:color w:val="000000"/>
                <w:sz w:val="20"/>
                <w:szCs w:val="20"/>
              </w:rPr>
              <w:t>1</w:t>
            </w:r>
          </w:p>
        </w:tc>
        <w:tc>
          <w:tcPr>
            <w:tcW w:w="990" w:type="dxa"/>
            <w:vAlign w:val="center"/>
          </w:tcPr>
          <w:p w14:paraId="4AEA39C5" w14:textId="65C6E7C2" w:rsidR="00223F05" w:rsidRPr="00223F05" w:rsidRDefault="00223F05" w:rsidP="009A553E">
            <w:pPr>
              <w:jc w:val="center"/>
              <w:rPr>
                <w:rFonts w:ascii="Arial Narrow" w:hAnsi="Arial Narrow" w:cs="Calibri"/>
                <w:color w:val="000000"/>
                <w:sz w:val="20"/>
                <w:szCs w:val="20"/>
              </w:rPr>
            </w:pPr>
            <w:r w:rsidRPr="00223F05">
              <w:rPr>
                <w:rFonts w:ascii="Arial Narrow" w:hAnsi="Arial Narrow" w:cs="Calibri"/>
                <w:color w:val="000000"/>
                <w:sz w:val="20"/>
                <w:szCs w:val="20"/>
              </w:rPr>
              <w:t>1</w:t>
            </w:r>
          </w:p>
        </w:tc>
        <w:tc>
          <w:tcPr>
            <w:tcW w:w="990" w:type="dxa"/>
            <w:vAlign w:val="center"/>
          </w:tcPr>
          <w:p w14:paraId="16B70E90" w14:textId="4E346309" w:rsidR="00223F05" w:rsidRPr="00223F05" w:rsidRDefault="00223F05" w:rsidP="009A553E">
            <w:pPr>
              <w:jc w:val="center"/>
              <w:rPr>
                <w:rFonts w:ascii="Arial Narrow" w:hAnsi="Arial Narrow"/>
                <w:color w:val="000000"/>
                <w:sz w:val="20"/>
                <w:szCs w:val="20"/>
                <w:highlight w:val="yellow"/>
              </w:rPr>
            </w:pPr>
            <w:r w:rsidRPr="00223F05">
              <w:rPr>
                <w:rFonts w:ascii="Arial Narrow" w:hAnsi="Arial Narrow" w:cs="Calibri"/>
                <w:color w:val="000000"/>
                <w:sz w:val="20"/>
                <w:szCs w:val="20"/>
              </w:rPr>
              <w:t>-1</w:t>
            </w:r>
          </w:p>
        </w:tc>
        <w:tc>
          <w:tcPr>
            <w:tcW w:w="3600" w:type="dxa"/>
            <w:vAlign w:val="center"/>
          </w:tcPr>
          <w:p w14:paraId="07B6758B" w14:textId="7CD05CA8" w:rsidR="00223F05" w:rsidRPr="00223F05" w:rsidRDefault="00223F05" w:rsidP="009A553E">
            <w:pPr>
              <w:jc w:val="left"/>
              <w:rPr>
                <w:rFonts w:ascii="Arial Narrow" w:hAnsi="Arial Narrow"/>
                <w:color w:val="000000"/>
                <w:sz w:val="20"/>
                <w:szCs w:val="20"/>
                <w:highlight w:val="yellow"/>
              </w:rPr>
            </w:pPr>
            <w:r w:rsidRPr="00223F05">
              <w:rPr>
                <w:rFonts w:ascii="Arial Narrow" w:hAnsi="Arial Narrow" w:cs="Calibri"/>
                <w:color w:val="000000"/>
                <w:sz w:val="20"/>
                <w:szCs w:val="20"/>
              </w:rPr>
              <w:t>Impaired Wolf Creek and Tinker Creek stations were statistically higher in pH than the stream reference, and Roanoke River (202.20) was statistically lower in pH than the river reference. All pH values, however, were within water quality standards.</w:t>
            </w:r>
          </w:p>
        </w:tc>
      </w:tr>
      <w:tr w:rsidR="00223F05" w:rsidRPr="00223F05" w14:paraId="6D296B1E" w14:textId="77777777" w:rsidTr="009A553E">
        <w:trPr>
          <w:trHeight w:val="247"/>
        </w:trPr>
        <w:tc>
          <w:tcPr>
            <w:tcW w:w="2437" w:type="dxa"/>
            <w:vAlign w:val="center"/>
          </w:tcPr>
          <w:p w14:paraId="002971D2" w14:textId="1C3A2C8C" w:rsidR="00223F05" w:rsidRPr="00223F05" w:rsidRDefault="00223F05" w:rsidP="009A553E">
            <w:pPr>
              <w:jc w:val="left"/>
              <w:rPr>
                <w:rFonts w:ascii="Arial Narrow" w:hAnsi="Arial Narrow"/>
                <w:sz w:val="20"/>
                <w:szCs w:val="20"/>
                <w:highlight w:val="yellow"/>
              </w:rPr>
            </w:pPr>
            <w:r w:rsidRPr="00223F05">
              <w:rPr>
                <w:rFonts w:ascii="Arial Narrow" w:hAnsi="Arial Narrow" w:cs="Calibri"/>
                <w:color w:val="000000"/>
                <w:sz w:val="20"/>
                <w:szCs w:val="20"/>
              </w:rPr>
              <w:t>Temporal Co-occurrence</w:t>
            </w:r>
          </w:p>
        </w:tc>
        <w:tc>
          <w:tcPr>
            <w:tcW w:w="720" w:type="dxa"/>
            <w:vAlign w:val="center"/>
          </w:tcPr>
          <w:p w14:paraId="510030F9" w14:textId="66FC0F48" w:rsidR="00223F05" w:rsidRPr="00223F05" w:rsidRDefault="00223F05" w:rsidP="009A553E">
            <w:pPr>
              <w:jc w:val="center"/>
              <w:rPr>
                <w:rFonts w:ascii="Arial Narrow" w:hAnsi="Arial Narrow" w:cs="Calibri"/>
                <w:color w:val="000000"/>
                <w:sz w:val="20"/>
                <w:szCs w:val="20"/>
              </w:rPr>
            </w:pPr>
            <w:r w:rsidRPr="00223F05">
              <w:rPr>
                <w:rFonts w:ascii="Arial Narrow" w:hAnsi="Arial Narrow" w:cs="Calibri"/>
                <w:color w:val="000000"/>
                <w:sz w:val="20"/>
                <w:szCs w:val="20"/>
              </w:rPr>
              <w:t>-3</w:t>
            </w:r>
          </w:p>
        </w:tc>
        <w:tc>
          <w:tcPr>
            <w:tcW w:w="720" w:type="dxa"/>
            <w:vAlign w:val="center"/>
          </w:tcPr>
          <w:p w14:paraId="0F639654" w14:textId="1CB61B1E" w:rsidR="00223F05" w:rsidRPr="00223F05" w:rsidRDefault="00223F05" w:rsidP="009A553E">
            <w:pPr>
              <w:jc w:val="center"/>
              <w:rPr>
                <w:rFonts w:ascii="Arial Narrow" w:hAnsi="Arial Narrow" w:cs="Calibri"/>
                <w:color w:val="000000"/>
                <w:sz w:val="20"/>
                <w:szCs w:val="20"/>
              </w:rPr>
            </w:pPr>
            <w:r w:rsidRPr="00223F05">
              <w:rPr>
                <w:rFonts w:ascii="Arial Narrow" w:hAnsi="Arial Narrow" w:cs="Calibri"/>
                <w:color w:val="000000"/>
                <w:sz w:val="20"/>
                <w:szCs w:val="20"/>
              </w:rPr>
              <w:t>-3</w:t>
            </w:r>
          </w:p>
        </w:tc>
        <w:tc>
          <w:tcPr>
            <w:tcW w:w="990" w:type="dxa"/>
            <w:vAlign w:val="center"/>
          </w:tcPr>
          <w:p w14:paraId="7A8ADC85" w14:textId="20518A4F" w:rsidR="00223F05" w:rsidRPr="00223F05" w:rsidRDefault="00223F05" w:rsidP="009A553E">
            <w:pPr>
              <w:jc w:val="center"/>
              <w:rPr>
                <w:rFonts w:ascii="Arial Narrow" w:hAnsi="Arial Narrow" w:cs="Calibri"/>
                <w:color w:val="000000"/>
                <w:sz w:val="20"/>
                <w:szCs w:val="20"/>
              </w:rPr>
            </w:pPr>
            <w:r w:rsidRPr="00223F05">
              <w:rPr>
                <w:rFonts w:ascii="Arial Narrow" w:hAnsi="Arial Narrow" w:cs="Calibri"/>
                <w:color w:val="000000"/>
                <w:sz w:val="20"/>
                <w:szCs w:val="20"/>
              </w:rPr>
              <w:t>-3</w:t>
            </w:r>
          </w:p>
        </w:tc>
        <w:tc>
          <w:tcPr>
            <w:tcW w:w="990" w:type="dxa"/>
            <w:vAlign w:val="center"/>
          </w:tcPr>
          <w:p w14:paraId="3C3AC983" w14:textId="2038CDD5" w:rsidR="00223F05" w:rsidRPr="00223F05" w:rsidRDefault="00223F05" w:rsidP="009A553E">
            <w:pPr>
              <w:jc w:val="center"/>
              <w:rPr>
                <w:rFonts w:ascii="Arial Narrow" w:hAnsi="Arial Narrow"/>
                <w:color w:val="000000"/>
                <w:sz w:val="20"/>
                <w:szCs w:val="20"/>
                <w:highlight w:val="yellow"/>
              </w:rPr>
            </w:pPr>
            <w:r w:rsidRPr="00223F05">
              <w:rPr>
                <w:rFonts w:ascii="Arial Narrow" w:hAnsi="Arial Narrow" w:cs="Calibri"/>
                <w:color w:val="000000"/>
                <w:sz w:val="20"/>
                <w:szCs w:val="20"/>
              </w:rPr>
              <w:t>-3</w:t>
            </w:r>
          </w:p>
        </w:tc>
        <w:tc>
          <w:tcPr>
            <w:tcW w:w="3600" w:type="dxa"/>
            <w:vAlign w:val="center"/>
          </w:tcPr>
          <w:p w14:paraId="36516F59" w14:textId="4B9D5DA4" w:rsidR="00223F05" w:rsidRPr="00223F05" w:rsidRDefault="00223F05" w:rsidP="009A553E">
            <w:pPr>
              <w:jc w:val="left"/>
              <w:rPr>
                <w:rFonts w:ascii="Arial Narrow" w:hAnsi="Arial Narrow"/>
                <w:color w:val="000000"/>
                <w:sz w:val="20"/>
                <w:szCs w:val="20"/>
                <w:highlight w:val="yellow"/>
              </w:rPr>
            </w:pPr>
            <w:r w:rsidRPr="00223F05">
              <w:rPr>
                <w:rFonts w:ascii="Arial Narrow" w:hAnsi="Arial Narrow" w:cs="Calibri"/>
                <w:color w:val="000000"/>
                <w:sz w:val="20"/>
                <w:szCs w:val="20"/>
              </w:rPr>
              <w:t>At the time of benthic sample collection, pH at all sites met water quality standards.</w:t>
            </w:r>
          </w:p>
        </w:tc>
      </w:tr>
      <w:tr w:rsidR="00223F05" w:rsidRPr="00223F05" w14:paraId="08594F2D" w14:textId="77777777" w:rsidTr="009A553E">
        <w:trPr>
          <w:trHeight w:val="247"/>
        </w:trPr>
        <w:tc>
          <w:tcPr>
            <w:tcW w:w="2437" w:type="dxa"/>
            <w:vAlign w:val="center"/>
          </w:tcPr>
          <w:p w14:paraId="7C0A0E2A" w14:textId="6F846693" w:rsidR="00223F05" w:rsidRPr="00223F05" w:rsidRDefault="00223F05" w:rsidP="009A553E">
            <w:pPr>
              <w:jc w:val="left"/>
              <w:rPr>
                <w:rFonts w:ascii="Arial Narrow" w:hAnsi="Arial Narrow"/>
                <w:sz w:val="20"/>
                <w:szCs w:val="20"/>
                <w:highlight w:val="yellow"/>
              </w:rPr>
            </w:pPr>
            <w:r w:rsidRPr="00223F05">
              <w:rPr>
                <w:rFonts w:ascii="Arial Narrow" w:hAnsi="Arial Narrow" w:cs="Calibri"/>
                <w:color w:val="000000"/>
                <w:sz w:val="20"/>
                <w:szCs w:val="20"/>
              </w:rPr>
              <w:t>Stressor-Response Relationships from the Field</w:t>
            </w:r>
          </w:p>
        </w:tc>
        <w:tc>
          <w:tcPr>
            <w:tcW w:w="720" w:type="dxa"/>
            <w:vAlign w:val="center"/>
          </w:tcPr>
          <w:p w14:paraId="28CE5480" w14:textId="10F61AD2" w:rsidR="00223F05" w:rsidRPr="00223F05" w:rsidRDefault="00223F05" w:rsidP="009A553E">
            <w:pPr>
              <w:jc w:val="center"/>
              <w:rPr>
                <w:rFonts w:ascii="Arial Narrow" w:hAnsi="Arial Narrow" w:cs="Calibri"/>
                <w:color w:val="000000"/>
                <w:sz w:val="20"/>
                <w:szCs w:val="20"/>
              </w:rPr>
            </w:pPr>
            <w:r w:rsidRPr="00223F05">
              <w:rPr>
                <w:rFonts w:ascii="Arial Narrow" w:hAnsi="Arial Narrow" w:cs="Calibri"/>
                <w:color w:val="000000"/>
                <w:sz w:val="20"/>
                <w:szCs w:val="20"/>
              </w:rPr>
              <w:t>-2</w:t>
            </w:r>
          </w:p>
        </w:tc>
        <w:tc>
          <w:tcPr>
            <w:tcW w:w="720" w:type="dxa"/>
            <w:vAlign w:val="center"/>
          </w:tcPr>
          <w:p w14:paraId="0E8C7411" w14:textId="73CA39EE" w:rsidR="00223F05" w:rsidRPr="00223F05" w:rsidRDefault="00223F05" w:rsidP="009A553E">
            <w:pPr>
              <w:jc w:val="center"/>
              <w:rPr>
                <w:rFonts w:ascii="Arial Narrow" w:hAnsi="Arial Narrow" w:cs="Calibri"/>
                <w:color w:val="000000"/>
                <w:sz w:val="20"/>
                <w:szCs w:val="20"/>
              </w:rPr>
            </w:pPr>
            <w:r w:rsidRPr="00223F05">
              <w:rPr>
                <w:rFonts w:ascii="Arial Narrow" w:hAnsi="Arial Narrow" w:cs="Calibri"/>
                <w:color w:val="000000"/>
                <w:sz w:val="20"/>
                <w:szCs w:val="20"/>
              </w:rPr>
              <w:t>-2</w:t>
            </w:r>
          </w:p>
        </w:tc>
        <w:tc>
          <w:tcPr>
            <w:tcW w:w="990" w:type="dxa"/>
            <w:vAlign w:val="center"/>
          </w:tcPr>
          <w:p w14:paraId="3D4D612E" w14:textId="6EC9D282" w:rsidR="00223F05" w:rsidRPr="00223F05" w:rsidRDefault="00223F05" w:rsidP="009A553E">
            <w:pPr>
              <w:jc w:val="center"/>
              <w:rPr>
                <w:rFonts w:ascii="Arial Narrow" w:hAnsi="Arial Narrow" w:cs="Calibri"/>
                <w:color w:val="000000"/>
                <w:sz w:val="20"/>
                <w:szCs w:val="20"/>
              </w:rPr>
            </w:pPr>
            <w:r w:rsidRPr="00223F05">
              <w:rPr>
                <w:rFonts w:ascii="Arial Narrow" w:hAnsi="Arial Narrow" w:cs="Calibri"/>
                <w:color w:val="000000"/>
                <w:sz w:val="20"/>
                <w:szCs w:val="20"/>
              </w:rPr>
              <w:t>-2</w:t>
            </w:r>
          </w:p>
        </w:tc>
        <w:tc>
          <w:tcPr>
            <w:tcW w:w="990" w:type="dxa"/>
            <w:vAlign w:val="center"/>
          </w:tcPr>
          <w:p w14:paraId="5C95F39B" w14:textId="726F817F" w:rsidR="00223F05" w:rsidRPr="00223F05" w:rsidRDefault="00223F05" w:rsidP="009A553E">
            <w:pPr>
              <w:jc w:val="center"/>
              <w:rPr>
                <w:rFonts w:ascii="Arial Narrow" w:hAnsi="Arial Narrow"/>
                <w:color w:val="000000"/>
                <w:sz w:val="20"/>
                <w:szCs w:val="20"/>
                <w:highlight w:val="yellow"/>
              </w:rPr>
            </w:pPr>
            <w:r w:rsidRPr="00223F05">
              <w:rPr>
                <w:rFonts w:ascii="Arial Narrow" w:hAnsi="Arial Narrow" w:cs="Calibri"/>
                <w:color w:val="000000"/>
                <w:sz w:val="20"/>
                <w:szCs w:val="20"/>
              </w:rPr>
              <w:t>-2</w:t>
            </w:r>
          </w:p>
        </w:tc>
        <w:tc>
          <w:tcPr>
            <w:tcW w:w="3600" w:type="dxa"/>
            <w:vAlign w:val="center"/>
          </w:tcPr>
          <w:p w14:paraId="7FAF6F99" w14:textId="1F74466D" w:rsidR="00223F05" w:rsidRPr="00223F05" w:rsidRDefault="00223F05" w:rsidP="009A553E">
            <w:pPr>
              <w:jc w:val="left"/>
              <w:rPr>
                <w:rFonts w:ascii="Arial Narrow" w:hAnsi="Arial Narrow"/>
                <w:color w:val="000000"/>
                <w:sz w:val="20"/>
                <w:szCs w:val="20"/>
                <w:highlight w:val="yellow"/>
              </w:rPr>
            </w:pPr>
            <w:r w:rsidRPr="00223F05">
              <w:rPr>
                <w:rFonts w:ascii="Arial Narrow" w:hAnsi="Arial Narrow" w:cs="Calibri"/>
                <w:color w:val="000000"/>
                <w:sz w:val="20"/>
                <w:szCs w:val="20"/>
              </w:rPr>
              <w:t>pH was not significantly correlated with benthic health across sites.</w:t>
            </w:r>
          </w:p>
        </w:tc>
      </w:tr>
      <w:tr w:rsidR="00223F05" w:rsidRPr="00223F05" w14:paraId="7096F648" w14:textId="77777777" w:rsidTr="009A553E">
        <w:trPr>
          <w:trHeight w:val="247"/>
        </w:trPr>
        <w:tc>
          <w:tcPr>
            <w:tcW w:w="2437" w:type="dxa"/>
            <w:vAlign w:val="center"/>
          </w:tcPr>
          <w:p w14:paraId="653F17EF" w14:textId="07978954" w:rsidR="00223F05" w:rsidRPr="00223F05" w:rsidRDefault="00223F05" w:rsidP="009A553E">
            <w:pPr>
              <w:jc w:val="left"/>
              <w:rPr>
                <w:rFonts w:ascii="Arial Narrow" w:hAnsi="Arial Narrow" w:cs="Calibri"/>
                <w:b/>
                <w:bCs/>
                <w:color w:val="000000"/>
                <w:sz w:val="20"/>
                <w:szCs w:val="20"/>
                <w:highlight w:val="yellow"/>
              </w:rPr>
            </w:pPr>
            <w:r w:rsidRPr="00223F05">
              <w:rPr>
                <w:rFonts w:ascii="Arial Narrow" w:hAnsi="Arial Narrow" w:cs="Calibri"/>
                <w:color w:val="000000"/>
                <w:sz w:val="20"/>
                <w:szCs w:val="20"/>
              </w:rPr>
              <w:t>Laboratory Tests of Site Media</w:t>
            </w:r>
          </w:p>
        </w:tc>
        <w:tc>
          <w:tcPr>
            <w:tcW w:w="720" w:type="dxa"/>
            <w:vAlign w:val="center"/>
          </w:tcPr>
          <w:p w14:paraId="40861A92" w14:textId="5B7C12F6" w:rsidR="00223F05" w:rsidRPr="00223F05" w:rsidRDefault="00223F05" w:rsidP="009A553E">
            <w:pPr>
              <w:jc w:val="center"/>
              <w:rPr>
                <w:rFonts w:ascii="Arial Narrow" w:hAnsi="Arial Narrow" w:cs="Calibri"/>
                <w:color w:val="000000"/>
                <w:sz w:val="20"/>
                <w:szCs w:val="20"/>
              </w:rPr>
            </w:pPr>
            <w:r w:rsidRPr="00223F05">
              <w:rPr>
                <w:rFonts w:ascii="Arial Narrow" w:hAnsi="Arial Narrow" w:cs="Calibri"/>
                <w:color w:val="000000"/>
                <w:sz w:val="20"/>
                <w:szCs w:val="20"/>
              </w:rPr>
              <w:t>0</w:t>
            </w:r>
          </w:p>
        </w:tc>
        <w:tc>
          <w:tcPr>
            <w:tcW w:w="720" w:type="dxa"/>
            <w:vAlign w:val="center"/>
          </w:tcPr>
          <w:p w14:paraId="73B61858" w14:textId="41F05117" w:rsidR="00223F05" w:rsidRPr="00223F05" w:rsidRDefault="00223F05" w:rsidP="009A553E">
            <w:pPr>
              <w:jc w:val="center"/>
              <w:rPr>
                <w:rFonts w:ascii="Arial Narrow" w:hAnsi="Arial Narrow" w:cs="Calibri"/>
                <w:color w:val="000000"/>
                <w:sz w:val="20"/>
                <w:szCs w:val="20"/>
              </w:rPr>
            </w:pPr>
            <w:r w:rsidRPr="00223F05">
              <w:rPr>
                <w:rFonts w:ascii="Arial Narrow" w:hAnsi="Arial Narrow" w:cs="Calibri"/>
                <w:color w:val="000000"/>
                <w:sz w:val="20"/>
                <w:szCs w:val="20"/>
              </w:rPr>
              <w:t>0</w:t>
            </w:r>
          </w:p>
        </w:tc>
        <w:tc>
          <w:tcPr>
            <w:tcW w:w="990" w:type="dxa"/>
            <w:vAlign w:val="center"/>
          </w:tcPr>
          <w:p w14:paraId="2BD0E8D9" w14:textId="3B63C482" w:rsidR="00223F05" w:rsidRPr="00223F05" w:rsidRDefault="00223F05" w:rsidP="009A553E">
            <w:pPr>
              <w:jc w:val="center"/>
              <w:rPr>
                <w:rFonts w:ascii="Arial Narrow" w:hAnsi="Arial Narrow" w:cs="Calibri"/>
                <w:color w:val="000000"/>
                <w:sz w:val="20"/>
                <w:szCs w:val="20"/>
              </w:rPr>
            </w:pPr>
            <w:r w:rsidRPr="00223F05">
              <w:rPr>
                <w:rFonts w:ascii="Arial Narrow" w:hAnsi="Arial Narrow" w:cs="Calibri"/>
                <w:color w:val="000000"/>
                <w:sz w:val="20"/>
                <w:szCs w:val="20"/>
              </w:rPr>
              <w:t>-2</w:t>
            </w:r>
          </w:p>
        </w:tc>
        <w:tc>
          <w:tcPr>
            <w:tcW w:w="990" w:type="dxa"/>
            <w:vAlign w:val="center"/>
          </w:tcPr>
          <w:p w14:paraId="0881907F" w14:textId="7D76914E" w:rsidR="00223F05" w:rsidRPr="00223F05" w:rsidRDefault="00223F05" w:rsidP="009A553E">
            <w:pPr>
              <w:jc w:val="center"/>
              <w:rPr>
                <w:rFonts w:ascii="Arial Narrow" w:hAnsi="Arial Narrow" w:cs="Calibri"/>
                <w:b/>
                <w:color w:val="000000"/>
                <w:sz w:val="20"/>
                <w:szCs w:val="20"/>
                <w:highlight w:val="yellow"/>
              </w:rPr>
            </w:pPr>
            <w:r w:rsidRPr="00223F05">
              <w:rPr>
                <w:rFonts w:ascii="Arial Narrow" w:hAnsi="Arial Narrow" w:cs="Calibri"/>
                <w:color w:val="000000"/>
                <w:sz w:val="20"/>
                <w:szCs w:val="20"/>
              </w:rPr>
              <w:t>-2</w:t>
            </w:r>
          </w:p>
        </w:tc>
        <w:tc>
          <w:tcPr>
            <w:tcW w:w="3600" w:type="dxa"/>
            <w:vAlign w:val="center"/>
          </w:tcPr>
          <w:p w14:paraId="6D910C6F" w14:textId="48B1549F" w:rsidR="00223F05" w:rsidRPr="00223F05" w:rsidRDefault="00223F05" w:rsidP="009A553E">
            <w:pPr>
              <w:jc w:val="left"/>
              <w:rPr>
                <w:rFonts w:ascii="Arial Narrow" w:hAnsi="Arial Narrow"/>
                <w:color w:val="000000"/>
                <w:sz w:val="20"/>
                <w:szCs w:val="20"/>
                <w:highlight w:val="yellow"/>
              </w:rPr>
            </w:pPr>
            <w:r w:rsidRPr="00223F05">
              <w:rPr>
                <w:rFonts w:ascii="Arial Narrow" w:hAnsi="Arial Narrow" w:cs="Calibri"/>
                <w:color w:val="000000"/>
                <w:sz w:val="20"/>
                <w:szCs w:val="20"/>
              </w:rPr>
              <w:t xml:space="preserve">No toxicity (in IC25 endpoints) was observed in C. </w:t>
            </w:r>
            <w:proofErr w:type="spellStart"/>
            <w:r w:rsidRPr="00223F05">
              <w:rPr>
                <w:rFonts w:ascii="Arial Narrow" w:hAnsi="Arial Narrow" w:cs="Calibri"/>
                <w:color w:val="000000"/>
                <w:sz w:val="20"/>
                <w:szCs w:val="20"/>
              </w:rPr>
              <w:t>dubia</w:t>
            </w:r>
            <w:proofErr w:type="spellEnd"/>
            <w:r w:rsidRPr="00223F05">
              <w:rPr>
                <w:rFonts w:ascii="Arial Narrow" w:hAnsi="Arial Narrow" w:cs="Calibri"/>
                <w:color w:val="000000"/>
                <w:sz w:val="20"/>
                <w:szCs w:val="20"/>
              </w:rPr>
              <w:t xml:space="preserve"> and P. </w:t>
            </w:r>
            <w:proofErr w:type="spellStart"/>
            <w:r w:rsidRPr="00223F05">
              <w:rPr>
                <w:rFonts w:ascii="Arial Narrow" w:hAnsi="Arial Narrow" w:cs="Calibri"/>
                <w:color w:val="000000"/>
                <w:sz w:val="20"/>
                <w:szCs w:val="20"/>
              </w:rPr>
              <w:t>promelas</w:t>
            </w:r>
            <w:proofErr w:type="spellEnd"/>
            <w:r w:rsidRPr="00223F05">
              <w:rPr>
                <w:rFonts w:ascii="Arial Narrow" w:hAnsi="Arial Narrow" w:cs="Calibri"/>
                <w:color w:val="000000"/>
                <w:sz w:val="20"/>
                <w:szCs w:val="20"/>
              </w:rPr>
              <w:t xml:space="preserve"> laboratory toxicity testing of Roanoke River samples.</w:t>
            </w:r>
          </w:p>
        </w:tc>
      </w:tr>
      <w:tr w:rsidR="00223F05" w:rsidRPr="00223F05" w14:paraId="141D6D01" w14:textId="77777777" w:rsidTr="009A553E">
        <w:trPr>
          <w:trHeight w:val="247"/>
        </w:trPr>
        <w:tc>
          <w:tcPr>
            <w:tcW w:w="2437" w:type="dxa"/>
            <w:vAlign w:val="center"/>
          </w:tcPr>
          <w:p w14:paraId="6A732103" w14:textId="1460A73D" w:rsidR="00223F05" w:rsidRPr="00223F05" w:rsidRDefault="00223F05" w:rsidP="009A553E">
            <w:pPr>
              <w:jc w:val="left"/>
              <w:rPr>
                <w:rFonts w:ascii="Arial Narrow" w:hAnsi="Arial Narrow" w:cs="Calibri"/>
                <w:b/>
                <w:bCs/>
                <w:color w:val="000000"/>
                <w:sz w:val="20"/>
                <w:szCs w:val="20"/>
                <w:highlight w:val="yellow"/>
              </w:rPr>
            </w:pPr>
            <w:r w:rsidRPr="00223F05">
              <w:rPr>
                <w:rFonts w:ascii="Arial Narrow" w:hAnsi="Arial Narrow" w:cs="Calibri"/>
                <w:color w:val="000000"/>
                <w:sz w:val="20"/>
                <w:szCs w:val="20"/>
              </w:rPr>
              <w:t>Temporal Sequence</w:t>
            </w:r>
          </w:p>
        </w:tc>
        <w:tc>
          <w:tcPr>
            <w:tcW w:w="720" w:type="dxa"/>
            <w:vAlign w:val="center"/>
          </w:tcPr>
          <w:p w14:paraId="5DC66FD7" w14:textId="27401574" w:rsidR="00223F05" w:rsidRPr="00223F05" w:rsidRDefault="00223F05" w:rsidP="009A553E">
            <w:pPr>
              <w:jc w:val="center"/>
              <w:rPr>
                <w:rFonts w:ascii="Arial Narrow" w:hAnsi="Arial Narrow" w:cs="Calibri"/>
                <w:color w:val="000000"/>
                <w:sz w:val="20"/>
                <w:szCs w:val="20"/>
              </w:rPr>
            </w:pPr>
            <w:r w:rsidRPr="00223F05">
              <w:rPr>
                <w:rFonts w:ascii="Arial Narrow" w:hAnsi="Arial Narrow" w:cs="Calibri"/>
                <w:sz w:val="20"/>
                <w:szCs w:val="20"/>
              </w:rPr>
              <w:t>-2</w:t>
            </w:r>
          </w:p>
        </w:tc>
        <w:tc>
          <w:tcPr>
            <w:tcW w:w="720" w:type="dxa"/>
            <w:vAlign w:val="center"/>
          </w:tcPr>
          <w:p w14:paraId="20BD7FB2" w14:textId="3B31F858" w:rsidR="00223F05" w:rsidRPr="00223F05" w:rsidRDefault="00223F05" w:rsidP="009A553E">
            <w:pPr>
              <w:jc w:val="center"/>
              <w:rPr>
                <w:rFonts w:ascii="Arial Narrow" w:hAnsi="Arial Narrow" w:cs="Calibri"/>
                <w:color w:val="000000"/>
                <w:sz w:val="20"/>
                <w:szCs w:val="20"/>
              </w:rPr>
            </w:pPr>
            <w:r w:rsidRPr="00223F05">
              <w:rPr>
                <w:rFonts w:ascii="Arial Narrow" w:hAnsi="Arial Narrow" w:cs="Calibri"/>
                <w:sz w:val="20"/>
                <w:szCs w:val="20"/>
              </w:rPr>
              <w:t>-2</w:t>
            </w:r>
          </w:p>
        </w:tc>
        <w:tc>
          <w:tcPr>
            <w:tcW w:w="990" w:type="dxa"/>
            <w:vAlign w:val="center"/>
          </w:tcPr>
          <w:p w14:paraId="20D89B6B" w14:textId="344E3646" w:rsidR="00223F05" w:rsidRPr="00223F05" w:rsidRDefault="00223F05" w:rsidP="009A553E">
            <w:pPr>
              <w:jc w:val="center"/>
              <w:rPr>
                <w:rFonts w:ascii="Arial Narrow" w:hAnsi="Arial Narrow" w:cs="Calibri"/>
                <w:color w:val="000000"/>
                <w:sz w:val="20"/>
                <w:szCs w:val="20"/>
              </w:rPr>
            </w:pPr>
            <w:r w:rsidRPr="00223F05">
              <w:rPr>
                <w:rFonts w:ascii="Arial Narrow" w:hAnsi="Arial Narrow" w:cs="Calibri"/>
                <w:sz w:val="20"/>
                <w:szCs w:val="20"/>
              </w:rPr>
              <w:t>-2</w:t>
            </w:r>
          </w:p>
        </w:tc>
        <w:tc>
          <w:tcPr>
            <w:tcW w:w="990" w:type="dxa"/>
            <w:vAlign w:val="center"/>
          </w:tcPr>
          <w:p w14:paraId="30CF23DA" w14:textId="003E46B6" w:rsidR="00223F05" w:rsidRPr="00223F05" w:rsidRDefault="00223F05" w:rsidP="009A553E">
            <w:pPr>
              <w:jc w:val="center"/>
              <w:rPr>
                <w:rFonts w:ascii="Arial Narrow" w:hAnsi="Arial Narrow" w:cs="Calibri"/>
                <w:b/>
                <w:color w:val="000000"/>
                <w:sz w:val="20"/>
                <w:szCs w:val="20"/>
                <w:highlight w:val="yellow"/>
              </w:rPr>
            </w:pPr>
            <w:r w:rsidRPr="00223F05">
              <w:rPr>
                <w:rFonts w:ascii="Arial Narrow" w:hAnsi="Arial Narrow" w:cs="Calibri"/>
                <w:sz w:val="20"/>
                <w:szCs w:val="20"/>
              </w:rPr>
              <w:t>-2</w:t>
            </w:r>
          </w:p>
        </w:tc>
        <w:tc>
          <w:tcPr>
            <w:tcW w:w="3600" w:type="dxa"/>
            <w:vAlign w:val="center"/>
          </w:tcPr>
          <w:p w14:paraId="159F1CB8" w14:textId="4C7CC087" w:rsidR="00223F05" w:rsidRPr="00223F05" w:rsidRDefault="00223F05" w:rsidP="009A553E">
            <w:pPr>
              <w:jc w:val="left"/>
              <w:rPr>
                <w:rFonts w:ascii="Arial Narrow" w:hAnsi="Arial Narrow"/>
                <w:color w:val="000000"/>
                <w:sz w:val="20"/>
                <w:szCs w:val="20"/>
                <w:highlight w:val="yellow"/>
              </w:rPr>
            </w:pPr>
            <w:r w:rsidRPr="00223F05">
              <w:rPr>
                <w:rFonts w:ascii="Arial Narrow" w:hAnsi="Arial Narrow" w:cs="Calibri"/>
                <w:color w:val="000000"/>
                <w:sz w:val="20"/>
                <w:szCs w:val="20"/>
              </w:rPr>
              <w:t xml:space="preserve">Spring SCI scores were lower than fall scores in each of the impaired streams, however, no seasonal trend in pH was observed. </w:t>
            </w:r>
          </w:p>
        </w:tc>
      </w:tr>
      <w:tr w:rsidR="00223F05" w:rsidRPr="00223F05" w14:paraId="1048E698" w14:textId="77777777" w:rsidTr="009A553E">
        <w:trPr>
          <w:trHeight w:val="247"/>
        </w:trPr>
        <w:tc>
          <w:tcPr>
            <w:tcW w:w="2437" w:type="dxa"/>
            <w:vAlign w:val="center"/>
          </w:tcPr>
          <w:p w14:paraId="47EB6EA5" w14:textId="4A250E03" w:rsidR="00223F05" w:rsidRPr="00223F05" w:rsidRDefault="00223F05" w:rsidP="009A553E">
            <w:pPr>
              <w:jc w:val="left"/>
              <w:rPr>
                <w:rFonts w:ascii="Arial Narrow" w:hAnsi="Arial Narrow" w:cs="Calibri"/>
                <w:b/>
                <w:bCs/>
                <w:color w:val="000000"/>
                <w:sz w:val="20"/>
                <w:szCs w:val="20"/>
                <w:highlight w:val="yellow"/>
              </w:rPr>
            </w:pPr>
            <w:r w:rsidRPr="00223F05">
              <w:rPr>
                <w:rFonts w:ascii="Arial Narrow" w:hAnsi="Arial Narrow" w:cs="Calibri"/>
                <w:color w:val="000000"/>
                <w:sz w:val="20"/>
                <w:szCs w:val="20"/>
              </w:rPr>
              <w:t>Symptoms</w:t>
            </w:r>
          </w:p>
        </w:tc>
        <w:tc>
          <w:tcPr>
            <w:tcW w:w="720" w:type="dxa"/>
            <w:vAlign w:val="center"/>
          </w:tcPr>
          <w:p w14:paraId="2E007B05" w14:textId="0A975465" w:rsidR="00223F05" w:rsidRPr="00223F05" w:rsidRDefault="00223F05" w:rsidP="009A553E">
            <w:pPr>
              <w:jc w:val="center"/>
              <w:rPr>
                <w:rFonts w:ascii="Arial Narrow" w:hAnsi="Arial Narrow" w:cs="Calibri"/>
                <w:b/>
                <w:color w:val="000000"/>
                <w:sz w:val="20"/>
                <w:szCs w:val="20"/>
              </w:rPr>
            </w:pPr>
            <w:r w:rsidRPr="00223F05">
              <w:rPr>
                <w:rFonts w:ascii="Arial Narrow" w:hAnsi="Arial Narrow" w:cs="Calibri"/>
                <w:color w:val="000000"/>
                <w:sz w:val="20"/>
                <w:szCs w:val="20"/>
              </w:rPr>
              <w:t>-3</w:t>
            </w:r>
          </w:p>
        </w:tc>
        <w:tc>
          <w:tcPr>
            <w:tcW w:w="720" w:type="dxa"/>
            <w:vAlign w:val="center"/>
          </w:tcPr>
          <w:p w14:paraId="637C48CE" w14:textId="6A8D6F38" w:rsidR="00223F05" w:rsidRPr="00223F05" w:rsidRDefault="00223F05" w:rsidP="009A553E">
            <w:pPr>
              <w:jc w:val="center"/>
              <w:rPr>
                <w:rFonts w:ascii="Arial Narrow" w:hAnsi="Arial Narrow" w:cs="Calibri"/>
                <w:b/>
                <w:color w:val="000000"/>
                <w:sz w:val="20"/>
                <w:szCs w:val="20"/>
              </w:rPr>
            </w:pPr>
            <w:r w:rsidRPr="00223F05">
              <w:rPr>
                <w:rFonts w:ascii="Arial Narrow" w:hAnsi="Arial Narrow" w:cs="Calibri"/>
                <w:color w:val="000000"/>
                <w:sz w:val="20"/>
                <w:szCs w:val="20"/>
              </w:rPr>
              <w:t>-3</w:t>
            </w:r>
          </w:p>
        </w:tc>
        <w:tc>
          <w:tcPr>
            <w:tcW w:w="990" w:type="dxa"/>
            <w:vAlign w:val="center"/>
          </w:tcPr>
          <w:p w14:paraId="3201E672" w14:textId="4EF0B0F4" w:rsidR="00223F05" w:rsidRPr="00223F05" w:rsidRDefault="00223F05" w:rsidP="009A553E">
            <w:pPr>
              <w:jc w:val="center"/>
              <w:rPr>
                <w:rFonts w:ascii="Arial Narrow" w:hAnsi="Arial Narrow" w:cs="Calibri"/>
                <w:b/>
                <w:color w:val="000000"/>
                <w:sz w:val="20"/>
                <w:szCs w:val="20"/>
              </w:rPr>
            </w:pPr>
            <w:r w:rsidRPr="00223F05">
              <w:rPr>
                <w:rFonts w:ascii="Arial Narrow" w:hAnsi="Arial Narrow" w:cs="Calibri"/>
                <w:color w:val="000000"/>
                <w:sz w:val="20"/>
                <w:szCs w:val="20"/>
              </w:rPr>
              <w:t>-3</w:t>
            </w:r>
          </w:p>
        </w:tc>
        <w:tc>
          <w:tcPr>
            <w:tcW w:w="990" w:type="dxa"/>
            <w:vAlign w:val="center"/>
          </w:tcPr>
          <w:p w14:paraId="0DF27491" w14:textId="02C152EA" w:rsidR="00223F05" w:rsidRPr="00223F05" w:rsidRDefault="00223F05" w:rsidP="009A553E">
            <w:pPr>
              <w:jc w:val="center"/>
              <w:rPr>
                <w:rFonts w:ascii="Arial Narrow" w:hAnsi="Arial Narrow" w:cs="Calibri"/>
                <w:b/>
                <w:color w:val="000000"/>
                <w:sz w:val="20"/>
                <w:szCs w:val="20"/>
                <w:highlight w:val="yellow"/>
              </w:rPr>
            </w:pPr>
            <w:r w:rsidRPr="00223F05">
              <w:rPr>
                <w:rFonts w:ascii="Arial Narrow" w:hAnsi="Arial Narrow" w:cs="Calibri"/>
                <w:color w:val="000000"/>
                <w:sz w:val="20"/>
                <w:szCs w:val="20"/>
              </w:rPr>
              <w:t>-3</w:t>
            </w:r>
          </w:p>
        </w:tc>
        <w:tc>
          <w:tcPr>
            <w:tcW w:w="3600" w:type="dxa"/>
            <w:vAlign w:val="center"/>
          </w:tcPr>
          <w:p w14:paraId="296E874A" w14:textId="33258D67" w:rsidR="00223F05" w:rsidRPr="00223F05" w:rsidRDefault="00223F05" w:rsidP="009A553E">
            <w:pPr>
              <w:jc w:val="left"/>
              <w:rPr>
                <w:rFonts w:ascii="Arial Narrow" w:hAnsi="Arial Narrow"/>
                <w:color w:val="000000"/>
                <w:sz w:val="20"/>
                <w:szCs w:val="20"/>
                <w:highlight w:val="yellow"/>
              </w:rPr>
            </w:pPr>
            <w:r w:rsidRPr="00223F05">
              <w:rPr>
                <w:rFonts w:ascii="Arial Narrow" w:hAnsi="Arial Narrow" w:cs="Calibri"/>
                <w:color w:val="000000"/>
                <w:sz w:val="20"/>
                <w:szCs w:val="20"/>
              </w:rPr>
              <w:t xml:space="preserve">Biological Condition Gradient </w:t>
            </w:r>
            <w:r w:rsidR="007E2E2D">
              <w:rPr>
                <w:rFonts w:ascii="Arial Narrow" w:hAnsi="Arial Narrow" w:cs="Calibri"/>
                <w:color w:val="000000"/>
                <w:sz w:val="20"/>
                <w:szCs w:val="20"/>
              </w:rPr>
              <w:t xml:space="preserve">attribute </w:t>
            </w:r>
            <w:r w:rsidRPr="00223F05">
              <w:rPr>
                <w:rFonts w:ascii="Arial Narrow" w:hAnsi="Arial Narrow" w:cs="Calibri"/>
                <w:color w:val="000000"/>
                <w:sz w:val="20"/>
                <w:szCs w:val="20"/>
              </w:rPr>
              <w:t xml:space="preserve">analysis did not identify any of the top predominant taxa as increasing in abundance in the presence of acidity (score of 5), and average BCG </w:t>
            </w:r>
            <w:r w:rsidR="00CC60A2">
              <w:rPr>
                <w:rFonts w:ascii="Arial Narrow" w:hAnsi="Arial Narrow" w:cs="Calibri"/>
                <w:color w:val="000000"/>
                <w:sz w:val="20"/>
                <w:szCs w:val="20"/>
              </w:rPr>
              <w:t>attribut</w:t>
            </w:r>
            <w:r w:rsidR="007E2E2D">
              <w:rPr>
                <w:rFonts w:ascii="Arial Narrow" w:hAnsi="Arial Narrow" w:cs="Calibri"/>
                <w:color w:val="000000"/>
                <w:sz w:val="20"/>
                <w:szCs w:val="20"/>
              </w:rPr>
              <w:t>e</w:t>
            </w:r>
            <w:r w:rsidR="00CC60A2">
              <w:rPr>
                <w:rFonts w:ascii="Arial Narrow" w:hAnsi="Arial Narrow" w:cs="Calibri"/>
                <w:color w:val="000000"/>
                <w:sz w:val="20"/>
                <w:szCs w:val="20"/>
              </w:rPr>
              <w:t xml:space="preserve"> </w:t>
            </w:r>
            <w:r w:rsidRPr="00223F05">
              <w:rPr>
                <w:rFonts w:ascii="Arial Narrow" w:hAnsi="Arial Narrow" w:cs="Calibri"/>
                <w:color w:val="000000"/>
                <w:sz w:val="20"/>
                <w:szCs w:val="20"/>
              </w:rPr>
              <w:t>scores for acidity were ranked the lowest in Tinker Creek and Roanoke River and the second lowest in Wolf Creek.</w:t>
            </w:r>
          </w:p>
        </w:tc>
      </w:tr>
      <w:tr w:rsidR="00223F05" w:rsidRPr="00223F05" w14:paraId="0A6F0EAD" w14:textId="77777777" w:rsidTr="009A553E">
        <w:trPr>
          <w:trHeight w:val="247"/>
        </w:trPr>
        <w:tc>
          <w:tcPr>
            <w:tcW w:w="2437" w:type="dxa"/>
            <w:vAlign w:val="center"/>
          </w:tcPr>
          <w:p w14:paraId="57C31E59" w14:textId="7CE98A86" w:rsidR="00223F05" w:rsidRPr="00223F05" w:rsidRDefault="00223F05" w:rsidP="009A553E">
            <w:pPr>
              <w:jc w:val="left"/>
              <w:rPr>
                <w:rFonts w:ascii="Arial Narrow" w:hAnsi="Arial Narrow" w:cs="Calibri"/>
                <w:b/>
                <w:bCs/>
                <w:color w:val="000000"/>
                <w:sz w:val="20"/>
                <w:szCs w:val="20"/>
              </w:rPr>
            </w:pPr>
            <w:r w:rsidRPr="00223F05">
              <w:rPr>
                <w:rFonts w:ascii="Arial Narrow" w:hAnsi="Arial Narrow" w:cs="Calibri"/>
                <w:color w:val="000000"/>
                <w:sz w:val="20"/>
                <w:szCs w:val="20"/>
              </w:rPr>
              <w:t>Stressor-Response Relationships from Other Field Studies</w:t>
            </w:r>
          </w:p>
        </w:tc>
        <w:tc>
          <w:tcPr>
            <w:tcW w:w="720" w:type="dxa"/>
            <w:vAlign w:val="center"/>
          </w:tcPr>
          <w:p w14:paraId="737020F5" w14:textId="26742A25" w:rsidR="00223F05" w:rsidRPr="00223F05" w:rsidRDefault="00223F05" w:rsidP="009A553E">
            <w:pPr>
              <w:jc w:val="center"/>
              <w:rPr>
                <w:rFonts w:ascii="Arial Narrow" w:hAnsi="Arial Narrow" w:cs="Calibri"/>
                <w:b/>
                <w:color w:val="000000"/>
                <w:sz w:val="20"/>
                <w:szCs w:val="20"/>
              </w:rPr>
            </w:pPr>
            <w:r w:rsidRPr="00223F05">
              <w:rPr>
                <w:rFonts w:ascii="Arial Narrow" w:hAnsi="Arial Narrow" w:cs="Calibri"/>
                <w:color w:val="000000"/>
                <w:sz w:val="20"/>
                <w:szCs w:val="20"/>
              </w:rPr>
              <w:t>-3</w:t>
            </w:r>
          </w:p>
        </w:tc>
        <w:tc>
          <w:tcPr>
            <w:tcW w:w="720" w:type="dxa"/>
            <w:vAlign w:val="center"/>
          </w:tcPr>
          <w:p w14:paraId="2FAD5509" w14:textId="5181A3D5" w:rsidR="00223F05" w:rsidRPr="00223F05" w:rsidRDefault="00223F05" w:rsidP="009A553E">
            <w:pPr>
              <w:jc w:val="center"/>
              <w:rPr>
                <w:rFonts w:ascii="Arial Narrow" w:hAnsi="Arial Narrow" w:cs="Calibri"/>
                <w:b/>
                <w:color w:val="000000"/>
                <w:sz w:val="20"/>
                <w:szCs w:val="20"/>
              </w:rPr>
            </w:pPr>
            <w:r w:rsidRPr="00223F05">
              <w:rPr>
                <w:rFonts w:ascii="Arial Narrow" w:hAnsi="Arial Narrow" w:cs="Calibri"/>
                <w:color w:val="000000"/>
                <w:sz w:val="20"/>
                <w:szCs w:val="20"/>
              </w:rPr>
              <w:t>-3</w:t>
            </w:r>
          </w:p>
        </w:tc>
        <w:tc>
          <w:tcPr>
            <w:tcW w:w="990" w:type="dxa"/>
            <w:vAlign w:val="center"/>
          </w:tcPr>
          <w:p w14:paraId="27A401D4" w14:textId="75770CC6" w:rsidR="00223F05" w:rsidRPr="00223F05" w:rsidRDefault="00223F05" w:rsidP="009A553E">
            <w:pPr>
              <w:jc w:val="center"/>
              <w:rPr>
                <w:rFonts w:ascii="Arial Narrow" w:hAnsi="Arial Narrow" w:cs="Calibri"/>
                <w:b/>
                <w:color w:val="000000"/>
                <w:sz w:val="20"/>
                <w:szCs w:val="20"/>
              </w:rPr>
            </w:pPr>
            <w:r w:rsidRPr="00223F05">
              <w:rPr>
                <w:rFonts w:ascii="Arial Narrow" w:hAnsi="Arial Narrow" w:cs="Calibri"/>
                <w:color w:val="000000"/>
                <w:sz w:val="20"/>
                <w:szCs w:val="20"/>
              </w:rPr>
              <w:t>-3</w:t>
            </w:r>
          </w:p>
        </w:tc>
        <w:tc>
          <w:tcPr>
            <w:tcW w:w="990" w:type="dxa"/>
            <w:vAlign w:val="center"/>
          </w:tcPr>
          <w:p w14:paraId="59E6E766" w14:textId="7332056F" w:rsidR="00223F05" w:rsidRPr="00223F05" w:rsidRDefault="00223F05" w:rsidP="009A553E">
            <w:pPr>
              <w:jc w:val="center"/>
              <w:rPr>
                <w:rFonts w:ascii="Arial Narrow" w:hAnsi="Arial Narrow" w:cs="Calibri"/>
                <w:b/>
                <w:color w:val="000000"/>
                <w:sz w:val="20"/>
                <w:szCs w:val="20"/>
              </w:rPr>
            </w:pPr>
            <w:r w:rsidRPr="00223F05">
              <w:rPr>
                <w:rFonts w:ascii="Arial Narrow" w:hAnsi="Arial Narrow" w:cs="Calibri"/>
                <w:color w:val="000000"/>
                <w:sz w:val="20"/>
                <w:szCs w:val="20"/>
              </w:rPr>
              <w:t>-3</w:t>
            </w:r>
          </w:p>
        </w:tc>
        <w:tc>
          <w:tcPr>
            <w:tcW w:w="3600" w:type="dxa"/>
            <w:vAlign w:val="center"/>
          </w:tcPr>
          <w:p w14:paraId="0A48158A" w14:textId="610756C1" w:rsidR="00223F05" w:rsidRPr="00223F05" w:rsidRDefault="00223F05" w:rsidP="009A553E">
            <w:pPr>
              <w:jc w:val="left"/>
              <w:rPr>
                <w:rFonts w:ascii="Arial Narrow" w:hAnsi="Arial Narrow"/>
                <w:color w:val="000000"/>
                <w:sz w:val="20"/>
                <w:szCs w:val="20"/>
                <w:highlight w:val="yellow"/>
              </w:rPr>
            </w:pPr>
            <w:r w:rsidRPr="00223F05">
              <w:rPr>
                <w:rFonts w:ascii="Arial Narrow" w:hAnsi="Arial Narrow" w:cs="Calibri"/>
                <w:color w:val="000000"/>
                <w:sz w:val="20"/>
                <w:szCs w:val="20"/>
              </w:rPr>
              <w:t>In each impaired stream, all pH values were in the low probability range for stressor effects.</w:t>
            </w:r>
          </w:p>
        </w:tc>
      </w:tr>
      <w:tr w:rsidR="00223F05" w:rsidRPr="00223F05" w14:paraId="75B548F8" w14:textId="77777777" w:rsidTr="009A553E">
        <w:trPr>
          <w:trHeight w:val="247"/>
        </w:trPr>
        <w:tc>
          <w:tcPr>
            <w:tcW w:w="2437" w:type="dxa"/>
            <w:vAlign w:val="center"/>
          </w:tcPr>
          <w:p w14:paraId="6192B785" w14:textId="7015F6B9" w:rsidR="00223F05" w:rsidRPr="00223F05" w:rsidRDefault="00223F05" w:rsidP="009A553E">
            <w:pPr>
              <w:jc w:val="left"/>
              <w:rPr>
                <w:rFonts w:ascii="Arial Narrow" w:hAnsi="Arial Narrow" w:cs="Calibri"/>
                <w:b/>
                <w:bCs/>
                <w:color w:val="000000"/>
                <w:sz w:val="20"/>
                <w:szCs w:val="20"/>
              </w:rPr>
            </w:pPr>
            <w:r w:rsidRPr="00223F05">
              <w:rPr>
                <w:rFonts w:ascii="Arial Narrow" w:hAnsi="Arial Narrow" w:cs="Calibri"/>
                <w:color w:val="000000"/>
                <w:sz w:val="20"/>
                <w:szCs w:val="20"/>
              </w:rPr>
              <w:t>Stressor-Response Relationships from Laboratory Studies</w:t>
            </w:r>
          </w:p>
        </w:tc>
        <w:tc>
          <w:tcPr>
            <w:tcW w:w="720" w:type="dxa"/>
            <w:vAlign w:val="center"/>
          </w:tcPr>
          <w:p w14:paraId="54975DC1" w14:textId="4553F33D" w:rsidR="00223F05" w:rsidRPr="00223F05" w:rsidRDefault="00223F05" w:rsidP="009A553E">
            <w:pPr>
              <w:jc w:val="center"/>
              <w:rPr>
                <w:rFonts w:ascii="Arial Narrow" w:hAnsi="Arial Narrow" w:cs="Calibri"/>
                <w:b/>
                <w:color w:val="000000"/>
                <w:sz w:val="20"/>
                <w:szCs w:val="20"/>
              </w:rPr>
            </w:pPr>
            <w:r w:rsidRPr="00223F05">
              <w:rPr>
                <w:rFonts w:ascii="Arial Narrow" w:hAnsi="Arial Narrow" w:cs="Calibri"/>
                <w:color w:val="000000"/>
                <w:sz w:val="20"/>
                <w:szCs w:val="20"/>
              </w:rPr>
              <w:t>-3</w:t>
            </w:r>
          </w:p>
        </w:tc>
        <w:tc>
          <w:tcPr>
            <w:tcW w:w="720" w:type="dxa"/>
            <w:vAlign w:val="center"/>
          </w:tcPr>
          <w:p w14:paraId="4DF4994B" w14:textId="6AB31251" w:rsidR="00223F05" w:rsidRPr="00223F05" w:rsidRDefault="00223F05" w:rsidP="009A553E">
            <w:pPr>
              <w:jc w:val="center"/>
              <w:rPr>
                <w:rFonts w:ascii="Arial Narrow" w:hAnsi="Arial Narrow" w:cs="Calibri"/>
                <w:b/>
                <w:color w:val="000000"/>
                <w:sz w:val="20"/>
                <w:szCs w:val="20"/>
              </w:rPr>
            </w:pPr>
            <w:r w:rsidRPr="00223F05">
              <w:rPr>
                <w:rFonts w:ascii="Arial Narrow" w:hAnsi="Arial Narrow" w:cs="Calibri"/>
                <w:color w:val="000000"/>
                <w:sz w:val="20"/>
                <w:szCs w:val="20"/>
              </w:rPr>
              <w:t>-3</w:t>
            </w:r>
          </w:p>
        </w:tc>
        <w:tc>
          <w:tcPr>
            <w:tcW w:w="990" w:type="dxa"/>
            <w:vAlign w:val="center"/>
          </w:tcPr>
          <w:p w14:paraId="3BA9A677" w14:textId="1747AC11" w:rsidR="00223F05" w:rsidRPr="00223F05" w:rsidRDefault="00223F05" w:rsidP="009A553E">
            <w:pPr>
              <w:jc w:val="center"/>
              <w:rPr>
                <w:rFonts w:ascii="Arial Narrow" w:hAnsi="Arial Narrow" w:cs="Calibri"/>
                <w:b/>
                <w:color w:val="000000"/>
                <w:sz w:val="20"/>
                <w:szCs w:val="20"/>
              </w:rPr>
            </w:pPr>
            <w:r w:rsidRPr="00223F05">
              <w:rPr>
                <w:rFonts w:ascii="Arial Narrow" w:hAnsi="Arial Narrow" w:cs="Calibri"/>
                <w:color w:val="000000"/>
                <w:sz w:val="20"/>
                <w:szCs w:val="20"/>
              </w:rPr>
              <w:t>-3</w:t>
            </w:r>
          </w:p>
        </w:tc>
        <w:tc>
          <w:tcPr>
            <w:tcW w:w="990" w:type="dxa"/>
            <w:vAlign w:val="center"/>
          </w:tcPr>
          <w:p w14:paraId="7664035C" w14:textId="3C901632" w:rsidR="00223F05" w:rsidRPr="00223F05" w:rsidRDefault="00223F05" w:rsidP="009A553E">
            <w:pPr>
              <w:jc w:val="center"/>
              <w:rPr>
                <w:rFonts w:ascii="Arial Narrow" w:hAnsi="Arial Narrow" w:cs="Calibri"/>
                <w:b/>
                <w:color w:val="000000"/>
                <w:sz w:val="20"/>
                <w:szCs w:val="20"/>
              </w:rPr>
            </w:pPr>
            <w:r w:rsidRPr="00223F05">
              <w:rPr>
                <w:rFonts w:ascii="Arial Narrow" w:hAnsi="Arial Narrow" w:cs="Calibri"/>
                <w:color w:val="000000"/>
                <w:sz w:val="20"/>
                <w:szCs w:val="20"/>
              </w:rPr>
              <w:t>-3</w:t>
            </w:r>
          </w:p>
        </w:tc>
        <w:tc>
          <w:tcPr>
            <w:tcW w:w="3600" w:type="dxa"/>
            <w:vAlign w:val="center"/>
          </w:tcPr>
          <w:p w14:paraId="75E1E258" w14:textId="4ED76AEA" w:rsidR="00223F05" w:rsidRPr="00223F05" w:rsidRDefault="00223F05" w:rsidP="009A553E">
            <w:pPr>
              <w:jc w:val="left"/>
              <w:rPr>
                <w:rFonts w:ascii="Arial Narrow" w:hAnsi="Arial Narrow"/>
                <w:color w:val="000000"/>
                <w:sz w:val="20"/>
                <w:szCs w:val="20"/>
                <w:highlight w:val="yellow"/>
              </w:rPr>
            </w:pPr>
            <w:r w:rsidRPr="00223F05">
              <w:rPr>
                <w:rFonts w:ascii="Arial Narrow" w:hAnsi="Arial Narrow" w:cs="Calibri"/>
                <w:color w:val="000000"/>
                <w:sz w:val="20"/>
                <w:szCs w:val="20"/>
              </w:rPr>
              <w:t>In each impaired stream, all pH values were within water quality standards.</w:t>
            </w:r>
          </w:p>
        </w:tc>
      </w:tr>
      <w:tr w:rsidR="00223F05" w:rsidRPr="00223F05" w14:paraId="4B6B2DC5" w14:textId="77777777" w:rsidTr="009A553E">
        <w:trPr>
          <w:trHeight w:val="247"/>
        </w:trPr>
        <w:tc>
          <w:tcPr>
            <w:tcW w:w="2437" w:type="dxa"/>
            <w:vAlign w:val="center"/>
          </w:tcPr>
          <w:p w14:paraId="1A00FF06" w14:textId="451A15C8" w:rsidR="00223F05" w:rsidRPr="00223F05" w:rsidRDefault="00223F05" w:rsidP="009A553E">
            <w:pPr>
              <w:jc w:val="left"/>
              <w:rPr>
                <w:rFonts w:ascii="Arial Narrow" w:hAnsi="Arial Narrow" w:cs="Calibri"/>
                <w:b/>
                <w:bCs/>
                <w:color w:val="000000"/>
                <w:sz w:val="20"/>
                <w:szCs w:val="20"/>
              </w:rPr>
            </w:pPr>
            <w:r w:rsidRPr="00223F05">
              <w:rPr>
                <w:rFonts w:ascii="Arial Narrow" w:hAnsi="Arial Narrow" w:cs="Calibri"/>
                <w:color w:val="000000"/>
                <w:sz w:val="20"/>
                <w:szCs w:val="20"/>
              </w:rPr>
              <w:t>Consistency of Evidence</w:t>
            </w:r>
          </w:p>
        </w:tc>
        <w:tc>
          <w:tcPr>
            <w:tcW w:w="720" w:type="dxa"/>
            <w:vAlign w:val="center"/>
          </w:tcPr>
          <w:p w14:paraId="334442E0" w14:textId="016B711C" w:rsidR="00223F05" w:rsidRPr="00223F05" w:rsidRDefault="00223F05" w:rsidP="009A553E">
            <w:pPr>
              <w:jc w:val="center"/>
              <w:rPr>
                <w:rFonts w:ascii="Arial Narrow" w:hAnsi="Arial Narrow" w:cs="Calibri"/>
                <w:b/>
                <w:color w:val="000000"/>
                <w:sz w:val="20"/>
                <w:szCs w:val="20"/>
              </w:rPr>
            </w:pPr>
            <w:r w:rsidRPr="00223F05">
              <w:rPr>
                <w:rFonts w:ascii="Arial Narrow" w:hAnsi="Arial Narrow" w:cs="Calibri"/>
                <w:color w:val="000000"/>
                <w:sz w:val="20"/>
                <w:szCs w:val="20"/>
              </w:rPr>
              <w:t>-2</w:t>
            </w:r>
          </w:p>
        </w:tc>
        <w:tc>
          <w:tcPr>
            <w:tcW w:w="720" w:type="dxa"/>
            <w:vAlign w:val="center"/>
          </w:tcPr>
          <w:p w14:paraId="5CC65FF8" w14:textId="2E523B89" w:rsidR="00223F05" w:rsidRPr="00223F05" w:rsidRDefault="00223F05" w:rsidP="009A553E">
            <w:pPr>
              <w:jc w:val="center"/>
              <w:rPr>
                <w:rFonts w:ascii="Arial Narrow" w:hAnsi="Arial Narrow" w:cs="Calibri"/>
                <w:b/>
                <w:color w:val="000000"/>
                <w:sz w:val="20"/>
                <w:szCs w:val="20"/>
              </w:rPr>
            </w:pPr>
            <w:r w:rsidRPr="00223F05">
              <w:rPr>
                <w:rFonts w:ascii="Arial Narrow" w:hAnsi="Arial Narrow" w:cs="Calibri"/>
                <w:color w:val="000000"/>
                <w:sz w:val="20"/>
                <w:szCs w:val="20"/>
              </w:rPr>
              <w:t>-2</w:t>
            </w:r>
          </w:p>
        </w:tc>
        <w:tc>
          <w:tcPr>
            <w:tcW w:w="990" w:type="dxa"/>
            <w:vAlign w:val="center"/>
          </w:tcPr>
          <w:p w14:paraId="415C89B5" w14:textId="00E87385" w:rsidR="00223F05" w:rsidRPr="00223F05" w:rsidRDefault="00223F05" w:rsidP="009A553E">
            <w:pPr>
              <w:jc w:val="center"/>
              <w:rPr>
                <w:rFonts w:ascii="Arial Narrow" w:hAnsi="Arial Narrow" w:cs="Calibri"/>
                <w:b/>
                <w:color w:val="000000"/>
                <w:sz w:val="20"/>
                <w:szCs w:val="20"/>
              </w:rPr>
            </w:pPr>
            <w:r w:rsidRPr="00223F05">
              <w:rPr>
                <w:rFonts w:ascii="Arial Narrow" w:hAnsi="Arial Narrow" w:cs="Calibri"/>
                <w:color w:val="000000"/>
                <w:sz w:val="20"/>
                <w:szCs w:val="20"/>
              </w:rPr>
              <w:t>-2</w:t>
            </w:r>
          </w:p>
        </w:tc>
        <w:tc>
          <w:tcPr>
            <w:tcW w:w="990" w:type="dxa"/>
            <w:vAlign w:val="center"/>
          </w:tcPr>
          <w:p w14:paraId="161BABB7" w14:textId="6E92D2A3" w:rsidR="00223F05" w:rsidRPr="00223F05" w:rsidRDefault="00223F05" w:rsidP="009A553E">
            <w:pPr>
              <w:jc w:val="center"/>
              <w:rPr>
                <w:rFonts w:ascii="Arial Narrow" w:hAnsi="Arial Narrow" w:cs="Calibri"/>
                <w:b/>
                <w:color w:val="000000"/>
                <w:sz w:val="20"/>
                <w:szCs w:val="20"/>
              </w:rPr>
            </w:pPr>
            <w:r w:rsidRPr="00223F05">
              <w:rPr>
                <w:rFonts w:ascii="Arial Narrow" w:hAnsi="Arial Narrow" w:cs="Calibri"/>
                <w:color w:val="000000"/>
                <w:sz w:val="20"/>
                <w:szCs w:val="20"/>
              </w:rPr>
              <w:t>-2</w:t>
            </w:r>
          </w:p>
        </w:tc>
        <w:tc>
          <w:tcPr>
            <w:tcW w:w="3600" w:type="dxa"/>
            <w:vAlign w:val="center"/>
          </w:tcPr>
          <w:p w14:paraId="3E973F7B" w14:textId="6737B804" w:rsidR="00223F05" w:rsidRPr="00223F05" w:rsidRDefault="00223F05" w:rsidP="009A553E">
            <w:pPr>
              <w:jc w:val="left"/>
              <w:rPr>
                <w:rFonts w:ascii="Arial Narrow" w:hAnsi="Arial Narrow"/>
                <w:color w:val="000000"/>
                <w:sz w:val="20"/>
                <w:szCs w:val="20"/>
                <w:highlight w:val="yellow"/>
              </w:rPr>
            </w:pPr>
            <w:r w:rsidRPr="00223F05">
              <w:rPr>
                <w:rFonts w:ascii="Arial Narrow" w:hAnsi="Arial Narrow" w:cs="Calibri"/>
                <w:color w:val="000000"/>
                <w:sz w:val="20"/>
                <w:szCs w:val="20"/>
              </w:rPr>
              <w:t>Evidence consistently refuted pH as a stressor.</w:t>
            </w:r>
          </w:p>
        </w:tc>
      </w:tr>
      <w:tr w:rsidR="00223F05" w:rsidRPr="00223F05" w14:paraId="21CD6F96" w14:textId="77777777" w:rsidTr="009A553E">
        <w:trPr>
          <w:trHeight w:val="247"/>
        </w:trPr>
        <w:tc>
          <w:tcPr>
            <w:tcW w:w="2437" w:type="dxa"/>
            <w:vAlign w:val="center"/>
          </w:tcPr>
          <w:p w14:paraId="7FA60193" w14:textId="026CA953" w:rsidR="00223F05" w:rsidRPr="00223F05" w:rsidRDefault="00223F05" w:rsidP="009A553E">
            <w:pPr>
              <w:jc w:val="right"/>
              <w:rPr>
                <w:rFonts w:ascii="Arial Narrow" w:hAnsi="Arial Narrow" w:cs="Calibri"/>
                <w:b/>
                <w:bCs/>
                <w:color w:val="000000"/>
                <w:sz w:val="20"/>
                <w:szCs w:val="20"/>
              </w:rPr>
            </w:pPr>
            <w:r w:rsidRPr="00223F05">
              <w:rPr>
                <w:rFonts w:ascii="Arial Narrow" w:hAnsi="Arial Narrow" w:cs="Calibri"/>
                <w:b/>
                <w:bCs/>
                <w:color w:val="000000"/>
                <w:sz w:val="20"/>
                <w:szCs w:val="20"/>
              </w:rPr>
              <w:t>Sum</w:t>
            </w:r>
          </w:p>
        </w:tc>
        <w:tc>
          <w:tcPr>
            <w:tcW w:w="720" w:type="dxa"/>
            <w:vAlign w:val="center"/>
          </w:tcPr>
          <w:p w14:paraId="1E976522" w14:textId="639750CB" w:rsidR="00223F05" w:rsidRPr="00223F05" w:rsidRDefault="00223F05" w:rsidP="009A553E">
            <w:pPr>
              <w:jc w:val="center"/>
              <w:rPr>
                <w:rFonts w:ascii="Arial Narrow" w:hAnsi="Arial Narrow" w:cs="Calibri"/>
                <w:b/>
                <w:color w:val="000000"/>
                <w:sz w:val="20"/>
                <w:szCs w:val="20"/>
              </w:rPr>
            </w:pPr>
            <w:r w:rsidRPr="00223F05">
              <w:rPr>
                <w:rFonts w:ascii="Arial Narrow" w:hAnsi="Arial Narrow" w:cs="Calibri"/>
                <w:b/>
                <w:color w:val="000000"/>
                <w:sz w:val="20"/>
                <w:szCs w:val="20"/>
              </w:rPr>
              <w:t>-17</w:t>
            </w:r>
          </w:p>
        </w:tc>
        <w:tc>
          <w:tcPr>
            <w:tcW w:w="720" w:type="dxa"/>
            <w:vAlign w:val="center"/>
          </w:tcPr>
          <w:p w14:paraId="310F7F3A" w14:textId="00305390" w:rsidR="00223F05" w:rsidRPr="00223F05" w:rsidRDefault="00223F05" w:rsidP="009A553E">
            <w:pPr>
              <w:jc w:val="center"/>
              <w:rPr>
                <w:rFonts w:ascii="Arial Narrow" w:hAnsi="Arial Narrow" w:cs="Calibri"/>
                <w:b/>
                <w:color w:val="000000"/>
                <w:sz w:val="20"/>
                <w:szCs w:val="20"/>
              </w:rPr>
            </w:pPr>
            <w:r w:rsidRPr="00223F05">
              <w:rPr>
                <w:rFonts w:ascii="Arial Narrow" w:hAnsi="Arial Narrow" w:cs="Calibri"/>
                <w:b/>
                <w:color w:val="000000"/>
                <w:sz w:val="20"/>
                <w:szCs w:val="20"/>
              </w:rPr>
              <w:t>-17</w:t>
            </w:r>
          </w:p>
        </w:tc>
        <w:tc>
          <w:tcPr>
            <w:tcW w:w="990" w:type="dxa"/>
            <w:vAlign w:val="center"/>
          </w:tcPr>
          <w:p w14:paraId="3A909E8D" w14:textId="4BC31FAE" w:rsidR="00223F05" w:rsidRPr="00223F05" w:rsidRDefault="00223F05" w:rsidP="009A553E">
            <w:pPr>
              <w:jc w:val="center"/>
              <w:rPr>
                <w:rFonts w:ascii="Arial Narrow" w:hAnsi="Arial Narrow" w:cs="Calibri"/>
                <w:b/>
                <w:color w:val="000000"/>
                <w:sz w:val="20"/>
                <w:szCs w:val="20"/>
              </w:rPr>
            </w:pPr>
            <w:r w:rsidRPr="00223F05">
              <w:rPr>
                <w:rFonts w:ascii="Arial Narrow" w:hAnsi="Arial Narrow" w:cs="Calibri"/>
                <w:b/>
                <w:color w:val="000000"/>
                <w:sz w:val="20"/>
                <w:szCs w:val="20"/>
              </w:rPr>
              <w:t>-19</w:t>
            </w:r>
          </w:p>
        </w:tc>
        <w:tc>
          <w:tcPr>
            <w:tcW w:w="990" w:type="dxa"/>
            <w:vAlign w:val="center"/>
          </w:tcPr>
          <w:p w14:paraId="591F4FD4" w14:textId="697FFF84" w:rsidR="00223F05" w:rsidRPr="00223F05" w:rsidRDefault="00223F05" w:rsidP="009A553E">
            <w:pPr>
              <w:jc w:val="center"/>
              <w:rPr>
                <w:rFonts w:ascii="Arial Narrow" w:hAnsi="Arial Narrow" w:cs="Calibri"/>
                <w:b/>
                <w:color w:val="000000"/>
                <w:sz w:val="20"/>
                <w:szCs w:val="20"/>
              </w:rPr>
            </w:pPr>
            <w:r w:rsidRPr="00223F05">
              <w:rPr>
                <w:rFonts w:ascii="Arial Narrow" w:hAnsi="Arial Narrow" w:cs="Calibri"/>
                <w:b/>
                <w:color w:val="000000"/>
                <w:sz w:val="20"/>
                <w:szCs w:val="20"/>
              </w:rPr>
              <w:t>-21</w:t>
            </w:r>
          </w:p>
        </w:tc>
        <w:tc>
          <w:tcPr>
            <w:tcW w:w="3600" w:type="dxa"/>
            <w:vAlign w:val="center"/>
          </w:tcPr>
          <w:p w14:paraId="2146523B" w14:textId="77777777" w:rsidR="00223F05" w:rsidRPr="00223F05" w:rsidRDefault="00223F05" w:rsidP="009A553E">
            <w:pPr>
              <w:jc w:val="left"/>
              <w:rPr>
                <w:rFonts w:ascii="Arial Narrow" w:hAnsi="Arial Narrow"/>
                <w:b/>
                <w:color w:val="000000"/>
                <w:sz w:val="20"/>
                <w:szCs w:val="20"/>
                <w:highlight w:val="yellow"/>
              </w:rPr>
            </w:pPr>
          </w:p>
        </w:tc>
      </w:tr>
    </w:tbl>
    <w:p w14:paraId="0E11DE9E" w14:textId="77777777" w:rsidR="008A1F50" w:rsidRPr="0054327F" w:rsidRDefault="008A1F50" w:rsidP="008A1F50">
      <w:pPr>
        <w:pStyle w:val="BlockText"/>
      </w:pPr>
    </w:p>
    <w:p w14:paraId="5E9614F6" w14:textId="29D1BCFE" w:rsidR="008A1F50" w:rsidRPr="0054327F" w:rsidRDefault="008A1F50" w:rsidP="003B49F8">
      <w:pPr>
        <w:pStyle w:val="Heading2"/>
      </w:pPr>
      <w:bookmarkStart w:id="212" w:name="_Ref51932501"/>
      <w:bookmarkStart w:id="213" w:name="_Toc162948190"/>
      <w:r w:rsidRPr="0054327F">
        <w:t>Dissolved Oxygen</w:t>
      </w:r>
      <w:bookmarkEnd w:id="212"/>
      <w:bookmarkEnd w:id="213"/>
    </w:p>
    <w:p w14:paraId="76E64A22" w14:textId="5B0CF5E5" w:rsidR="00BF2BF2" w:rsidRDefault="008A1F50" w:rsidP="008A1F50">
      <w:pPr>
        <w:pStyle w:val="BlockText"/>
      </w:pPr>
      <w:r w:rsidRPr="0054327F">
        <w:fldChar w:fldCharType="begin"/>
      </w:r>
      <w:r w:rsidRPr="0054327F">
        <w:instrText xml:space="preserve"> REF _Ref50629419 \h  \* MERGEFORMAT </w:instrText>
      </w:r>
      <w:r w:rsidRPr="0054327F">
        <w:fldChar w:fldCharType="separate"/>
      </w:r>
      <w:r w:rsidR="004A78BF" w:rsidRPr="00CB1CBF">
        <w:t xml:space="preserve">Table </w:t>
      </w:r>
      <w:r w:rsidR="004A78BF">
        <w:rPr>
          <w:noProof/>
        </w:rPr>
        <w:t>30</w:t>
      </w:r>
      <w:r w:rsidRPr="0054327F">
        <w:fldChar w:fldCharType="end"/>
      </w:r>
      <w:r w:rsidRPr="0054327F">
        <w:t xml:space="preserve"> </w:t>
      </w:r>
      <w:r w:rsidR="003E474B" w:rsidRPr="0054327F">
        <w:t xml:space="preserve">shows the causal analysis results for dissolved oxygen. Total causal analysis scores </w:t>
      </w:r>
      <w:r w:rsidR="00FC6C54">
        <w:t>ranged from -21 to -18, indicating that t</w:t>
      </w:r>
      <w:r w:rsidR="00B32C1C">
        <w:t xml:space="preserve">here is strong evidence that dissolved oxygen is a non-stressor in </w:t>
      </w:r>
      <w:r w:rsidR="00FC6C54">
        <w:t xml:space="preserve">Roanoke River Project streams. </w:t>
      </w:r>
      <w:r w:rsidR="003E474B" w:rsidRPr="0054327F">
        <w:t xml:space="preserve">In </w:t>
      </w:r>
      <w:r w:rsidR="00FC6C54">
        <w:t>all streams</w:t>
      </w:r>
      <w:r w:rsidR="003E474B" w:rsidRPr="0054327F">
        <w:t xml:space="preserve">, median dissolved </w:t>
      </w:r>
      <w:r w:rsidR="00CB1CBF" w:rsidRPr="0054327F">
        <w:t>oxygen</w:t>
      </w:r>
      <w:r w:rsidR="003E474B" w:rsidRPr="0054327F">
        <w:t xml:space="preserve"> levels were in the </w:t>
      </w:r>
      <w:r w:rsidR="00FC6C54">
        <w:t xml:space="preserve">no to </w:t>
      </w:r>
      <w:r w:rsidR="003E474B" w:rsidRPr="0054327F">
        <w:t xml:space="preserve">low probability range for stressor effects, and concentrations were well </w:t>
      </w:r>
      <w:r w:rsidR="00CB1CBF" w:rsidRPr="0054327F">
        <w:t xml:space="preserve">above average and instantaneous water quality </w:t>
      </w:r>
      <w:r w:rsidR="0054327F">
        <w:t>standards</w:t>
      </w:r>
      <w:r w:rsidR="00CB1CBF" w:rsidRPr="0054327F">
        <w:t xml:space="preserve">. </w:t>
      </w:r>
      <w:r w:rsidR="00EE2FD8">
        <w:t xml:space="preserve">In addition, dissolved oxygen conditions </w:t>
      </w:r>
      <w:r w:rsidR="00EE2FD8" w:rsidRPr="00A83F5F">
        <w:t xml:space="preserve">are generally </w:t>
      </w:r>
      <w:r w:rsidR="00EE2FD8">
        <w:t xml:space="preserve">most critical </w:t>
      </w:r>
      <w:r w:rsidR="00EE2FD8" w:rsidRPr="00A83F5F">
        <w:t>in the late summer, however, fall benthic scores were higher than spring scores in each of the impaired streams.</w:t>
      </w:r>
      <w:r w:rsidR="00EE2FD8">
        <w:t xml:space="preserve"> </w:t>
      </w:r>
      <w:r w:rsidR="00BF2BF2" w:rsidRPr="0054327F">
        <w:t xml:space="preserve">For these reasons and others explained in </w:t>
      </w:r>
      <w:r w:rsidR="00BF2BF2" w:rsidRPr="0054327F">
        <w:fldChar w:fldCharType="begin"/>
      </w:r>
      <w:r w:rsidR="00BF2BF2" w:rsidRPr="0054327F">
        <w:instrText xml:space="preserve"> REF _Ref50629419 \h  \* MERGEFORMAT </w:instrText>
      </w:r>
      <w:r w:rsidR="00BF2BF2" w:rsidRPr="0054327F">
        <w:fldChar w:fldCharType="separate"/>
      </w:r>
      <w:r w:rsidR="004A78BF" w:rsidRPr="00CB1CBF">
        <w:t xml:space="preserve">Table </w:t>
      </w:r>
      <w:r w:rsidR="004A78BF">
        <w:rPr>
          <w:noProof/>
        </w:rPr>
        <w:t>30</w:t>
      </w:r>
      <w:r w:rsidR="00BF2BF2" w:rsidRPr="0054327F">
        <w:fldChar w:fldCharType="end"/>
      </w:r>
      <w:r w:rsidR="00BF2BF2" w:rsidRPr="0054327F">
        <w:t xml:space="preserve">, </w:t>
      </w:r>
      <w:r w:rsidR="00EE2FD8">
        <w:t>dissolved oxygen</w:t>
      </w:r>
      <w:r w:rsidR="00BF2BF2" w:rsidRPr="0054327F">
        <w:t xml:space="preserve"> was categorized as a non-stressor in </w:t>
      </w:r>
      <w:r w:rsidR="00FC6C54">
        <w:t>Roanoke River Project streams.</w:t>
      </w:r>
      <w:r w:rsidR="00BF2BF2">
        <w:t xml:space="preserve"> </w:t>
      </w:r>
    </w:p>
    <w:p w14:paraId="27CECAB8" w14:textId="77777777" w:rsidR="00EE2FD8" w:rsidRDefault="00EE2FD8" w:rsidP="005E4B50">
      <w:pPr>
        <w:pStyle w:val="BlockText"/>
        <w:spacing w:before="0" w:after="0" w:line="240" w:lineRule="auto"/>
      </w:pPr>
    </w:p>
    <w:p w14:paraId="7B254418" w14:textId="5F6BB795" w:rsidR="008A1F50" w:rsidRPr="00CB1CBF" w:rsidRDefault="008A1F50" w:rsidP="008A1F50">
      <w:pPr>
        <w:pStyle w:val="Caption"/>
      </w:pPr>
      <w:bookmarkStart w:id="214" w:name="_Ref50629419"/>
      <w:bookmarkStart w:id="215" w:name="_Toc162948297"/>
      <w:r w:rsidRPr="00CB1CBF">
        <w:t xml:space="preserve">Table </w:t>
      </w:r>
      <w:r w:rsidRPr="00CB1CBF">
        <w:rPr>
          <w:noProof/>
        </w:rPr>
        <w:fldChar w:fldCharType="begin"/>
      </w:r>
      <w:r w:rsidRPr="00CB1CBF">
        <w:rPr>
          <w:noProof/>
        </w:rPr>
        <w:instrText xml:space="preserve"> SEQ Table \* ARABIC </w:instrText>
      </w:r>
      <w:r w:rsidRPr="00CB1CBF">
        <w:rPr>
          <w:noProof/>
        </w:rPr>
        <w:fldChar w:fldCharType="separate"/>
      </w:r>
      <w:r w:rsidR="004A78BF">
        <w:rPr>
          <w:noProof/>
        </w:rPr>
        <w:t>30</w:t>
      </w:r>
      <w:r w:rsidRPr="00CB1CBF">
        <w:rPr>
          <w:noProof/>
        </w:rPr>
        <w:fldChar w:fldCharType="end"/>
      </w:r>
      <w:bookmarkEnd w:id="214"/>
      <w:r w:rsidRPr="00CB1CBF">
        <w:t>. Causal analysis results for dissolved oxygen as a stressor.</w:t>
      </w:r>
      <w:bookmarkEnd w:id="215"/>
    </w:p>
    <w:tbl>
      <w:tblPr>
        <w:tblW w:w="9457"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7"/>
        <w:gridCol w:w="720"/>
        <w:gridCol w:w="720"/>
        <w:gridCol w:w="990"/>
        <w:gridCol w:w="990"/>
        <w:gridCol w:w="3600"/>
      </w:tblGrid>
      <w:tr w:rsidR="00250E0C" w:rsidRPr="007A0C83" w14:paraId="7F025813" w14:textId="77777777" w:rsidTr="009A553E">
        <w:trPr>
          <w:cantSplit/>
          <w:trHeight w:hRule="exact" w:val="1080"/>
        </w:trPr>
        <w:tc>
          <w:tcPr>
            <w:tcW w:w="2437" w:type="dxa"/>
            <w:shd w:val="clear" w:color="auto" w:fill="D9D9D9" w:themeFill="background1" w:themeFillShade="D9"/>
            <w:vAlign w:val="center"/>
          </w:tcPr>
          <w:p w14:paraId="50A37DD1" w14:textId="77777777" w:rsidR="00250E0C" w:rsidRPr="00396EC1" w:rsidRDefault="00250E0C" w:rsidP="009A553E">
            <w:pPr>
              <w:jc w:val="center"/>
              <w:rPr>
                <w:rFonts w:ascii="Arial Narrow" w:hAnsi="Arial Narrow"/>
                <w:b/>
                <w:sz w:val="20"/>
                <w:szCs w:val="20"/>
              </w:rPr>
            </w:pPr>
            <w:r w:rsidRPr="00396EC1">
              <w:rPr>
                <w:rFonts w:ascii="Arial Narrow" w:hAnsi="Arial Narrow"/>
                <w:b/>
                <w:sz w:val="20"/>
                <w:szCs w:val="20"/>
              </w:rPr>
              <w:t>Evidence</w:t>
            </w:r>
          </w:p>
        </w:tc>
        <w:tc>
          <w:tcPr>
            <w:tcW w:w="720" w:type="dxa"/>
            <w:shd w:val="clear" w:color="auto" w:fill="D9D9D9" w:themeFill="background1" w:themeFillShade="D9"/>
            <w:vAlign w:val="center"/>
          </w:tcPr>
          <w:p w14:paraId="2B1EA6C0" w14:textId="77777777" w:rsidR="00250E0C" w:rsidRPr="00396EC1" w:rsidRDefault="00250E0C" w:rsidP="009A553E">
            <w:pPr>
              <w:jc w:val="center"/>
              <w:rPr>
                <w:rFonts w:ascii="Arial Narrow" w:hAnsi="Arial Narrow"/>
                <w:b/>
                <w:sz w:val="20"/>
                <w:szCs w:val="20"/>
              </w:rPr>
            </w:pPr>
            <w:r>
              <w:rPr>
                <w:rFonts w:ascii="Arial Narrow" w:hAnsi="Arial Narrow"/>
                <w:b/>
                <w:sz w:val="20"/>
                <w:szCs w:val="20"/>
              </w:rPr>
              <w:t>Wolf Creek</w:t>
            </w:r>
          </w:p>
        </w:tc>
        <w:tc>
          <w:tcPr>
            <w:tcW w:w="720" w:type="dxa"/>
            <w:shd w:val="clear" w:color="auto" w:fill="D9D9D9" w:themeFill="background1" w:themeFillShade="D9"/>
            <w:vAlign w:val="center"/>
          </w:tcPr>
          <w:p w14:paraId="51EFD5D6" w14:textId="77777777" w:rsidR="00250E0C" w:rsidRPr="00396EC1" w:rsidRDefault="00250E0C" w:rsidP="009A553E">
            <w:pPr>
              <w:jc w:val="center"/>
              <w:rPr>
                <w:rFonts w:ascii="Arial Narrow" w:hAnsi="Arial Narrow"/>
                <w:b/>
                <w:sz w:val="20"/>
                <w:szCs w:val="20"/>
              </w:rPr>
            </w:pPr>
            <w:r>
              <w:rPr>
                <w:rFonts w:ascii="Arial Narrow" w:hAnsi="Arial Narrow"/>
                <w:b/>
                <w:sz w:val="20"/>
                <w:szCs w:val="20"/>
              </w:rPr>
              <w:t>Tinker Creek</w:t>
            </w:r>
          </w:p>
        </w:tc>
        <w:tc>
          <w:tcPr>
            <w:tcW w:w="990" w:type="dxa"/>
            <w:shd w:val="clear" w:color="auto" w:fill="D9D9D9" w:themeFill="background1" w:themeFillShade="D9"/>
            <w:vAlign w:val="center"/>
          </w:tcPr>
          <w:p w14:paraId="78EB5485" w14:textId="77777777" w:rsidR="00250E0C" w:rsidRPr="00396EC1" w:rsidRDefault="00250E0C" w:rsidP="009A553E">
            <w:pPr>
              <w:jc w:val="center"/>
              <w:rPr>
                <w:rFonts w:ascii="Arial Narrow" w:hAnsi="Arial Narrow"/>
                <w:b/>
                <w:sz w:val="20"/>
                <w:szCs w:val="20"/>
              </w:rPr>
            </w:pPr>
            <w:r>
              <w:rPr>
                <w:rFonts w:ascii="Arial Narrow" w:hAnsi="Arial Narrow"/>
                <w:b/>
                <w:sz w:val="20"/>
                <w:szCs w:val="20"/>
              </w:rPr>
              <w:t>Roanoke River (202.20)</w:t>
            </w:r>
          </w:p>
        </w:tc>
        <w:tc>
          <w:tcPr>
            <w:tcW w:w="990" w:type="dxa"/>
            <w:shd w:val="clear" w:color="auto" w:fill="D9D9D9" w:themeFill="background1" w:themeFillShade="D9"/>
            <w:vAlign w:val="center"/>
          </w:tcPr>
          <w:p w14:paraId="77167417" w14:textId="77777777" w:rsidR="00250E0C" w:rsidRPr="00396EC1" w:rsidRDefault="00250E0C" w:rsidP="009A553E">
            <w:pPr>
              <w:jc w:val="center"/>
              <w:rPr>
                <w:rFonts w:ascii="Arial Narrow" w:hAnsi="Arial Narrow"/>
                <w:b/>
                <w:sz w:val="20"/>
                <w:szCs w:val="20"/>
              </w:rPr>
            </w:pPr>
            <w:r>
              <w:rPr>
                <w:rFonts w:ascii="Arial Narrow" w:hAnsi="Arial Narrow"/>
                <w:b/>
                <w:sz w:val="20"/>
                <w:szCs w:val="20"/>
              </w:rPr>
              <w:t>Roanoke River (198.08)</w:t>
            </w:r>
          </w:p>
        </w:tc>
        <w:tc>
          <w:tcPr>
            <w:tcW w:w="3600" w:type="dxa"/>
            <w:shd w:val="clear" w:color="auto" w:fill="D9D9D9" w:themeFill="background1" w:themeFillShade="D9"/>
            <w:vAlign w:val="center"/>
          </w:tcPr>
          <w:p w14:paraId="33708746" w14:textId="77777777" w:rsidR="00250E0C" w:rsidRPr="00613B31" w:rsidRDefault="00250E0C" w:rsidP="009A553E">
            <w:pPr>
              <w:jc w:val="center"/>
              <w:rPr>
                <w:rFonts w:ascii="Arial Narrow" w:hAnsi="Arial Narrow"/>
                <w:b/>
                <w:sz w:val="20"/>
                <w:szCs w:val="20"/>
              </w:rPr>
            </w:pPr>
            <w:r w:rsidRPr="00396EC1">
              <w:rPr>
                <w:rFonts w:ascii="Arial Narrow" w:hAnsi="Arial Narrow"/>
                <w:b/>
                <w:sz w:val="20"/>
                <w:szCs w:val="20"/>
              </w:rPr>
              <w:t>Explanation</w:t>
            </w:r>
          </w:p>
        </w:tc>
      </w:tr>
      <w:tr w:rsidR="00223F05" w:rsidRPr="007A0C83" w14:paraId="616E3BD6" w14:textId="77777777" w:rsidTr="009A553E">
        <w:trPr>
          <w:trHeight w:val="247"/>
        </w:trPr>
        <w:tc>
          <w:tcPr>
            <w:tcW w:w="2437" w:type="dxa"/>
            <w:vAlign w:val="center"/>
          </w:tcPr>
          <w:p w14:paraId="17F9D454" w14:textId="121CF1F2" w:rsidR="00223F05" w:rsidRPr="00223F05" w:rsidRDefault="00223F05" w:rsidP="009A553E">
            <w:pPr>
              <w:jc w:val="left"/>
              <w:rPr>
                <w:rFonts w:ascii="Arial Narrow" w:hAnsi="Arial Narrow"/>
                <w:sz w:val="20"/>
                <w:szCs w:val="20"/>
                <w:highlight w:val="yellow"/>
              </w:rPr>
            </w:pPr>
            <w:r w:rsidRPr="00223F05">
              <w:rPr>
                <w:rFonts w:ascii="Arial Narrow" w:hAnsi="Arial Narrow" w:cs="Calibri"/>
                <w:color w:val="000000"/>
                <w:sz w:val="20"/>
                <w:szCs w:val="20"/>
              </w:rPr>
              <w:t>Spatial Co-occurrence</w:t>
            </w:r>
          </w:p>
        </w:tc>
        <w:tc>
          <w:tcPr>
            <w:tcW w:w="720" w:type="dxa"/>
            <w:vAlign w:val="center"/>
          </w:tcPr>
          <w:p w14:paraId="66536511" w14:textId="24A0743D" w:rsidR="00223F05" w:rsidRPr="00223F05" w:rsidRDefault="00223F05" w:rsidP="009A553E">
            <w:pPr>
              <w:jc w:val="center"/>
              <w:rPr>
                <w:rFonts w:ascii="Arial Narrow" w:hAnsi="Arial Narrow" w:cs="Calibri"/>
                <w:color w:val="000000"/>
                <w:sz w:val="20"/>
                <w:szCs w:val="20"/>
              </w:rPr>
            </w:pPr>
            <w:r w:rsidRPr="00223F05">
              <w:rPr>
                <w:rFonts w:ascii="Arial Narrow" w:hAnsi="Arial Narrow" w:cs="Calibri"/>
                <w:color w:val="000000"/>
                <w:sz w:val="20"/>
                <w:szCs w:val="20"/>
              </w:rPr>
              <w:t>-3</w:t>
            </w:r>
          </w:p>
        </w:tc>
        <w:tc>
          <w:tcPr>
            <w:tcW w:w="720" w:type="dxa"/>
            <w:vAlign w:val="center"/>
          </w:tcPr>
          <w:p w14:paraId="2859331D" w14:textId="7466A4D5" w:rsidR="00223F05" w:rsidRPr="00223F05" w:rsidRDefault="00223F05" w:rsidP="009A553E">
            <w:pPr>
              <w:jc w:val="center"/>
              <w:rPr>
                <w:rFonts w:ascii="Arial Narrow" w:hAnsi="Arial Narrow" w:cs="Calibri"/>
                <w:color w:val="000000"/>
                <w:sz w:val="20"/>
                <w:szCs w:val="20"/>
              </w:rPr>
            </w:pPr>
            <w:r w:rsidRPr="00223F05">
              <w:rPr>
                <w:rFonts w:ascii="Arial Narrow" w:hAnsi="Arial Narrow" w:cs="Calibri"/>
                <w:color w:val="000000"/>
                <w:sz w:val="20"/>
                <w:szCs w:val="20"/>
              </w:rPr>
              <w:t>-3</w:t>
            </w:r>
          </w:p>
        </w:tc>
        <w:tc>
          <w:tcPr>
            <w:tcW w:w="990" w:type="dxa"/>
            <w:vAlign w:val="center"/>
          </w:tcPr>
          <w:p w14:paraId="010AB5A2" w14:textId="29F36C0E" w:rsidR="00223F05" w:rsidRPr="00223F05" w:rsidRDefault="00223F05" w:rsidP="009A553E">
            <w:pPr>
              <w:jc w:val="center"/>
              <w:rPr>
                <w:rFonts w:ascii="Arial Narrow" w:hAnsi="Arial Narrow" w:cs="Calibri"/>
                <w:color w:val="000000"/>
                <w:sz w:val="20"/>
                <w:szCs w:val="20"/>
              </w:rPr>
            </w:pPr>
            <w:r w:rsidRPr="00223F05">
              <w:rPr>
                <w:rFonts w:ascii="Arial Narrow" w:hAnsi="Arial Narrow" w:cs="Calibri"/>
                <w:color w:val="000000"/>
                <w:sz w:val="20"/>
                <w:szCs w:val="20"/>
              </w:rPr>
              <w:t>-3</w:t>
            </w:r>
          </w:p>
        </w:tc>
        <w:tc>
          <w:tcPr>
            <w:tcW w:w="990" w:type="dxa"/>
            <w:vAlign w:val="center"/>
          </w:tcPr>
          <w:p w14:paraId="12E6B004" w14:textId="5EE2543F" w:rsidR="00223F05" w:rsidRPr="00223F05" w:rsidRDefault="00223F05" w:rsidP="009A553E">
            <w:pPr>
              <w:jc w:val="center"/>
              <w:rPr>
                <w:rFonts w:ascii="Arial Narrow" w:hAnsi="Arial Narrow"/>
                <w:color w:val="000000"/>
                <w:sz w:val="20"/>
                <w:szCs w:val="20"/>
                <w:highlight w:val="yellow"/>
              </w:rPr>
            </w:pPr>
            <w:r w:rsidRPr="00223F05">
              <w:rPr>
                <w:rFonts w:ascii="Arial Narrow" w:hAnsi="Arial Narrow" w:cs="Calibri"/>
                <w:color w:val="000000"/>
                <w:sz w:val="20"/>
                <w:szCs w:val="20"/>
              </w:rPr>
              <w:t>-3</w:t>
            </w:r>
          </w:p>
        </w:tc>
        <w:tc>
          <w:tcPr>
            <w:tcW w:w="3600" w:type="dxa"/>
            <w:vAlign w:val="center"/>
          </w:tcPr>
          <w:p w14:paraId="36FB4AB8" w14:textId="087C1EA3" w:rsidR="00223F05" w:rsidRPr="00223F05" w:rsidRDefault="00223F05" w:rsidP="009A553E">
            <w:pPr>
              <w:jc w:val="left"/>
              <w:rPr>
                <w:rFonts w:ascii="Arial Narrow" w:hAnsi="Arial Narrow"/>
                <w:color w:val="000000"/>
                <w:sz w:val="20"/>
                <w:szCs w:val="20"/>
                <w:highlight w:val="yellow"/>
              </w:rPr>
            </w:pPr>
            <w:r w:rsidRPr="00223F05">
              <w:rPr>
                <w:rFonts w:ascii="Arial Narrow" w:hAnsi="Arial Narrow" w:cs="Calibri"/>
                <w:color w:val="000000"/>
                <w:sz w:val="20"/>
                <w:szCs w:val="20"/>
              </w:rPr>
              <w:t>SCI scores were impaired in each of the streams, but DO was not statistically different from the applicable reference.</w:t>
            </w:r>
          </w:p>
        </w:tc>
      </w:tr>
      <w:tr w:rsidR="00223F05" w:rsidRPr="007A0C83" w14:paraId="0553E087" w14:textId="77777777" w:rsidTr="009A553E">
        <w:trPr>
          <w:trHeight w:val="247"/>
        </w:trPr>
        <w:tc>
          <w:tcPr>
            <w:tcW w:w="2437" w:type="dxa"/>
            <w:vAlign w:val="center"/>
          </w:tcPr>
          <w:p w14:paraId="5CFA71BC" w14:textId="2978F4E7" w:rsidR="00223F05" w:rsidRPr="00223F05" w:rsidRDefault="00223F05" w:rsidP="009A553E">
            <w:pPr>
              <w:jc w:val="left"/>
              <w:rPr>
                <w:rFonts w:ascii="Arial Narrow" w:hAnsi="Arial Narrow"/>
                <w:sz w:val="20"/>
                <w:szCs w:val="20"/>
                <w:highlight w:val="yellow"/>
              </w:rPr>
            </w:pPr>
            <w:r w:rsidRPr="00223F05">
              <w:rPr>
                <w:rFonts w:ascii="Arial Narrow" w:hAnsi="Arial Narrow" w:cs="Calibri"/>
                <w:color w:val="000000"/>
                <w:sz w:val="20"/>
                <w:szCs w:val="20"/>
              </w:rPr>
              <w:t>Temporal Co-occurrence</w:t>
            </w:r>
          </w:p>
        </w:tc>
        <w:tc>
          <w:tcPr>
            <w:tcW w:w="720" w:type="dxa"/>
            <w:vAlign w:val="center"/>
          </w:tcPr>
          <w:p w14:paraId="0EEA0FD8" w14:textId="6E13FFD2" w:rsidR="00223F05" w:rsidRPr="00223F05" w:rsidRDefault="00223F05" w:rsidP="009A553E">
            <w:pPr>
              <w:jc w:val="center"/>
              <w:rPr>
                <w:rFonts w:ascii="Arial Narrow" w:hAnsi="Arial Narrow" w:cs="Calibri"/>
                <w:color w:val="000000"/>
                <w:sz w:val="20"/>
                <w:szCs w:val="20"/>
              </w:rPr>
            </w:pPr>
            <w:r w:rsidRPr="00223F05">
              <w:rPr>
                <w:rFonts w:ascii="Arial Narrow" w:hAnsi="Arial Narrow" w:cs="Calibri"/>
                <w:color w:val="000000"/>
                <w:sz w:val="20"/>
                <w:szCs w:val="20"/>
              </w:rPr>
              <w:t>-3</w:t>
            </w:r>
          </w:p>
        </w:tc>
        <w:tc>
          <w:tcPr>
            <w:tcW w:w="720" w:type="dxa"/>
            <w:vAlign w:val="center"/>
          </w:tcPr>
          <w:p w14:paraId="446E7D14" w14:textId="0344A299" w:rsidR="00223F05" w:rsidRPr="00223F05" w:rsidRDefault="00223F05" w:rsidP="009A553E">
            <w:pPr>
              <w:jc w:val="center"/>
              <w:rPr>
                <w:rFonts w:ascii="Arial Narrow" w:hAnsi="Arial Narrow" w:cs="Calibri"/>
                <w:color w:val="000000"/>
                <w:sz w:val="20"/>
                <w:szCs w:val="20"/>
              </w:rPr>
            </w:pPr>
            <w:r w:rsidRPr="00223F05">
              <w:rPr>
                <w:rFonts w:ascii="Arial Narrow" w:hAnsi="Arial Narrow" w:cs="Calibri"/>
                <w:color w:val="000000"/>
                <w:sz w:val="20"/>
                <w:szCs w:val="20"/>
              </w:rPr>
              <w:t>-3</w:t>
            </w:r>
          </w:p>
        </w:tc>
        <w:tc>
          <w:tcPr>
            <w:tcW w:w="990" w:type="dxa"/>
            <w:vAlign w:val="center"/>
          </w:tcPr>
          <w:p w14:paraId="5DC1372A" w14:textId="5A4CECAB" w:rsidR="00223F05" w:rsidRPr="00223F05" w:rsidRDefault="00223F05" w:rsidP="009A553E">
            <w:pPr>
              <w:jc w:val="center"/>
              <w:rPr>
                <w:rFonts w:ascii="Arial Narrow" w:hAnsi="Arial Narrow" w:cs="Calibri"/>
                <w:color w:val="000000"/>
                <w:sz w:val="20"/>
                <w:szCs w:val="20"/>
              </w:rPr>
            </w:pPr>
            <w:r w:rsidRPr="00223F05">
              <w:rPr>
                <w:rFonts w:ascii="Arial Narrow" w:hAnsi="Arial Narrow" w:cs="Calibri"/>
                <w:color w:val="000000"/>
                <w:sz w:val="20"/>
                <w:szCs w:val="20"/>
              </w:rPr>
              <w:t>-3</w:t>
            </w:r>
          </w:p>
        </w:tc>
        <w:tc>
          <w:tcPr>
            <w:tcW w:w="990" w:type="dxa"/>
            <w:vAlign w:val="center"/>
          </w:tcPr>
          <w:p w14:paraId="586E2A5C" w14:textId="72CE6F85" w:rsidR="00223F05" w:rsidRPr="00223F05" w:rsidRDefault="00223F05" w:rsidP="009A553E">
            <w:pPr>
              <w:jc w:val="center"/>
              <w:rPr>
                <w:rFonts w:ascii="Arial Narrow" w:hAnsi="Arial Narrow"/>
                <w:color w:val="000000"/>
                <w:sz w:val="20"/>
                <w:szCs w:val="20"/>
                <w:highlight w:val="yellow"/>
              </w:rPr>
            </w:pPr>
            <w:r w:rsidRPr="00223F05">
              <w:rPr>
                <w:rFonts w:ascii="Arial Narrow" w:hAnsi="Arial Narrow" w:cs="Calibri"/>
                <w:color w:val="000000"/>
                <w:sz w:val="20"/>
                <w:szCs w:val="20"/>
              </w:rPr>
              <w:t>-3</w:t>
            </w:r>
          </w:p>
        </w:tc>
        <w:tc>
          <w:tcPr>
            <w:tcW w:w="3600" w:type="dxa"/>
            <w:vAlign w:val="center"/>
          </w:tcPr>
          <w:p w14:paraId="155BFF0A" w14:textId="33E9BA4B" w:rsidR="00223F05" w:rsidRPr="00223F05" w:rsidRDefault="00223F05" w:rsidP="009A553E">
            <w:pPr>
              <w:jc w:val="left"/>
              <w:rPr>
                <w:rFonts w:ascii="Arial Narrow" w:hAnsi="Arial Narrow"/>
                <w:color w:val="000000"/>
                <w:sz w:val="20"/>
                <w:szCs w:val="20"/>
                <w:highlight w:val="yellow"/>
              </w:rPr>
            </w:pPr>
            <w:r w:rsidRPr="00223F05">
              <w:rPr>
                <w:rFonts w:ascii="Arial Narrow" w:hAnsi="Arial Narrow" w:cs="Calibri"/>
                <w:color w:val="000000"/>
                <w:sz w:val="20"/>
                <w:szCs w:val="20"/>
              </w:rPr>
              <w:t>At the time of benthic sample collection, DO was in the no to low probability range for stressor effects.</w:t>
            </w:r>
          </w:p>
        </w:tc>
      </w:tr>
      <w:tr w:rsidR="00223F05" w:rsidRPr="007A0C83" w14:paraId="74664603" w14:textId="77777777" w:rsidTr="009A553E">
        <w:trPr>
          <w:trHeight w:val="247"/>
        </w:trPr>
        <w:tc>
          <w:tcPr>
            <w:tcW w:w="2437" w:type="dxa"/>
            <w:vAlign w:val="center"/>
          </w:tcPr>
          <w:p w14:paraId="7DD94FDD" w14:textId="19E4E723" w:rsidR="00223F05" w:rsidRPr="00223F05" w:rsidRDefault="00223F05" w:rsidP="009A553E">
            <w:pPr>
              <w:jc w:val="left"/>
              <w:rPr>
                <w:rFonts w:ascii="Arial Narrow" w:hAnsi="Arial Narrow"/>
                <w:sz w:val="20"/>
                <w:szCs w:val="20"/>
                <w:highlight w:val="yellow"/>
              </w:rPr>
            </w:pPr>
            <w:r w:rsidRPr="00223F05">
              <w:rPr>
                <w:rFonts w:ascii="Arial Narrow" w:hAnsi="Arial Narrow" w:cs="Calibri"/>
                <w:color w:val="000000"/>
                <w:sz w:val="20"/>
                <w:szCs w:val="20"/>
              </w:rPr>
              <w:t>Causal Pathway</w:t>
            </w:r>
          </w:p>
        </w:tc>
        <w:tc>
          <w:tcPr>
            <w:tcW w:w="720" w:type="dxa"/>
            <w:vAlign w:val="center"/>
          </w:tcPr>
          <w:p w14:paraId="14D9D3AA" w14:textId="48675FD9" w:rsidR="00223F05" w:rsidRPr="00223F05" w:rsidRDefault="00223F05" w:rsidP="009A553E">
            <w:pPr>
              <w:jc w:val="center"/>
              <w:rPr>
                <w:rFonts w:ascii="Arial Narrow" w:hAnsi="Arial Narrow" w:cs="Calibri"/>
                <w:color w:val="000000"/>
                <w:sz w:val="20"/>
                <w:szCs w:val="20"/>
              </w:rPr>
            </w:pPr>
            <w:r w:rsidRPr="00223F05">
              <w:rPr>
                <w:rFonts w:ascii="Arial Narrow" w:hAnsi="Arial Narrow" w:cs="Calibri"/>
                <w:color w:val="000000"/>
                <w:sz w:val="20"/>
                <w:szCs w:val="20"/>
              </w:rPr>
              <w:t>-2</w:t>
            </w:r>
          </w:p>
        </w:tc>
        <w:tc>
          <w:tcPr>
            <w:tcW w:w="720" w:type="dxa"/>
            <w:vAlign w:val="center"/>
          </w:tcPr>
          <w:p w14:paraId="0399D656" w14:textId="44E4B27F" w:rsidR="00223F05" w:rsidRPr="00223F05" w:rsidRDefault="00223F05" w:rsidP="009A553E">
            <w:pPr>
              <w:jc w:val="center"/>
              <w:rPr>
                <w:rFonts w:ascii="Arial Narrow" w:hAnsi="Arial Narrow" w:cs="Calibri"/>
                <w:color w:val="000000"/>
                <w:sz w:val="20"/>
                <w:szCs w:val="20"/>
              </w:rPr>
            </w:pPr>
            <w:r w:rsidRPr="00223F05">
              <w:rPr>
                <w:rFonts w:ascii="Arial Narrow" w:hAnsi="Arial Narrow" w:cs="Calibri"/>
                <w:color w:val="000000"/>
                <w:sz w:val="20"/>
                <w:szCs w:val="20"/>
              </w:rPr>
              <w:t>1</w:t>
            </w:r>
          </w:p>
        </w:tc>
        <w:tc>
          <w:tcPr>
            <w:tcW w:w="990" w:type="dxa"/>
            <w:vAlign w:val="center"/>
          </w:tcPr>
          <w:p w14:paraId="3FC04FD9" w14:textId="6F4BFA4C" w:rsidR="00223F05" w:rsidRPr="00223F05" w:rsidRDefault="00223F05" w:rsidP="009A553E">
            <w:pPr>
              <w:jc w:val="center"/>
              <w:rPr>
                <w:rFonts w:ascii="Arial Narrow" w:hAnsi="Arial Narrow" w:cs="Calibri"/>
                <w:color w:val="000000"/>
                <w:sz w:val="20"/>
                <w:szCs w:val="20"/>
              </w:rPr>
            </w:pPr>
            <w:r w:rsidRPr="00223F05">
              <w:rPr>
                <w:rFonts w:ascii="Arial Narrow" w:hAnsi="Arial Narrow" w:cs="Calibri"/>
                <w:color w:val="000000"/>
                <w:sz w:val="20"/>
                <w:szCs w:val="20"/>
              </w:rPr>
              <w:t>1</w:t>
            </w:r>
          </w:p>
        </w:tc>
        <w:tc>
          <w:tcPr>
            <w:tcW w:w="990" w:type="dxa"/>
            <w:vAlign w:val="center"/>
          </w:tcPr>
          <w:p w14:paraId="4FC410EC" w14:textId="12213C3E" w:rsidR="00223F05" w:rsidRPr="00223F05" w:rsidRDefault="00223F05" w:rsidP="009A553E">
            <w:pPr>
              <w:jc w:val="center"/>
              <w:rPr>
                <w:rFonts w:ascii="Arial Narrow" w:hAnsi="Arial Narrow"/>
                <w:color w:val="000000"/>
                <w:sz w:val="20"/>
                <w:szCs w:val="20"/>
                <w:highlight w:val="yellow"/>
              </w:rPr>
            </w:pPr>
            <w:r w:rsidRPr="00223F05">
              <w:rPr>
                <w:rFonts w:ascii="Arial Narrow" w:hAnsi="Arial Narrow" w:cs="Calibri"/>
                <w:color w:val="000000"/>
                <w:sz w:val="20"/>
                <w:szCs w:val="20"/>
              </w:rPr>
              <w:t>1</w:t>
            </w:r>
          </w:p>
        </w:tc>
        <w:tc>
          <w:tcPr>
            <w:tcW w:w="3600" w:type="dxa"/>
            <w:vAlign w:val="center"/>
          </w:tcPr>
          <w:p w14:paraId="2FCA0673" w14:textId="41BA35CC" w:rsidR="00223F05" w:rsidRPr="00223F05" w:rsidRDefault="00223F05" w:rsidP="009A553E">
            <w:pPr>
              <w:jc w:val="left"/>
              <w:rPr>
                <w:rFonts w:ascii="Arial Narrow" w:hAnsi="Arial Narrow"/>
                <w:color w:val="000000"/>
                <w:sz w:val="20"/>
                <w:szCs w:val="20"/>
                <w:highlight w:val="yellow"/>
              </w:rPr>
            </w:pPr>
            <w:r w:rsidRPr="00223F05">
              <w:rPr>
                <w:rFonts w:ascii="Arial Narrow" w:hAnsi="Arial Narrow" w:cs="Calibri"/>
                <w:color w:val="000000"/>
                <w:sz w:val="20"/>
                <w:szCs w:val="20"/>
              </w:rPr>
              <w:t>Relatively high nutrient levels in the Roanoke River and Tinker Creek (to a lesser degree) suggest a pathway to low DO. However, DO levels remain high, so the pathway is incomplete.</w:t>
            </w:r>
          </w:p>
        </w:tc>
      </w:tr>
      <w:tr w:rsidR="00223F05" w:rsidRPr="007A0C83" w14:paraId="04F39EB9" w14:textId="77777777" w:rsidTr="009A553E">
        <w:trPr>
          <w:trHeight w:val="247"/>
        </w:trPr>
        <w:tc>
          <w:tcPr>
            <w:tcW w:w="2437" w:type="dxa"/>
            <w:vAlign w:val="center"/>
          </w:tcPr>
          <w:p w14:paraId="1298D1EF" w14:textId="0C2D8C71" w:rsidR="00223F05" w:rsidRPr="00223F05" w:rsidRDefault="00223F05" w:rsidP="009A553E">
            <w:pPr>
              <w:jc w:val="left"/>
              <w:rPr>
                <w:rFonts w:ascii="Arial Narrow" w:hAnsi="Arial Narrow"/>
                <w:sz w:val="20"/>
                <w:szCs w:val="20"/>
                <w:highlight w:val="yellow"/>
              </w:rPr>
            </w:pPr>
            <w:r w:rsidRPr="00223F05">
              <w:rPr>
                <w:rFonts w:ascii="Arial Narrow" w:hAnsi="Arial Narrow" w:cs="Calibri"/>
                <w:color w:val="000000"/>
                <w:sz w:val="20"/>
                <w:szCs w:val="20"/>
              </w:rPr>
              <w:t>Stressor-Response Relationships from the Field</w:t>
            </w:r>
          </w:p>
        </w:tc>
        <w:tc>
          <w:tcPr>
            <w:tcW w:w="720" w:type="dxa"/>
            <w:vAlign w:val="center"/>
          </w:tcPr>
          <w:p w14:paraId="0BBA8695" w14:textId="01855666" w:rsidR="00223F05" w:rsidRPr="00223F05" w:rsidRDefault="00223F05" w:rsidP="009A553E">
            <w:pPr>
              <w:jc w:val="center"/>
              <w:rPr>
                <w:rFonts w:ascii="Arial Narrow" w:hAnsi="Arial Narrow" w:cs="Calibri"/>
                <w:color w:val="000000"/>
                <w:sz w:val="20"/>
                <w:szCs w:val="20"/>
              </w:rPr>
            </w:pPr>
            <w:r w:rsidRPr="00223F05">
              <w:rPr>
                <w:rFonts w:ascii="Arial Narrow" w:hAnsi="Arial Narrow" w:cs="Calibri"/>
                <w:color w:val="000000"/>
                <w:sz w:val="20"/>
                <w:szCs w:val="20"/>
              </w:rPr>
              <w:t>-2</w:t>
            </w:r>
          </w:p>
        </w:tc>
        <w:tc>
          <w:tcPr>
            <w:tcW w:w="720" w:type="dxa"/>
            <w:vAlign w:val="center"/>
          </w:tcPr>
          <w:p w14:paraId="0DC9C3EB" w14:textId="64CBC8A4" w:rsidR="00223F05" w:rsidRPr="00223F05" w:rsidRDefault="00223F05" w:rsidP="009A553E">
            <w:pPr>
              <w:jc w:val="center"/>
              <w:rPr>
                <w:rFonts w:ascii="Arial Narrow" w:hAnsi="Arial Narrow" w:cs="Calibri"/>
                <w:color w:val="000000"/>
                <w:sz w:val="20"/>
                <w:szCs w:val="20"/>
              </w:rPr>
            </w:pPr>
            <w:r w:rsidRPr="00223F05">
              <w:rPr>
                <w:rFonts w:ascii="Arial Narrow" w:hAnsi="Arial Narrow" w:cs="Calibri"/>
                <w:color w:val="000000"/>
                <w:sz w:val="20"/>
                <w:szCs w:val="20"/>
              </w:rPr>
              <w:t>-2</w:t>
            </w:r>
          </w:p>
        </w:tc>
        <w:tc>
          <w:tcPr>
            <w:tcW w:w="990" w:type="dxa"/>
            <w:vAlign w:val="center"/>
          </w:tcPr>
          <w:p w14:paraId="106DD448" w14:textId="59540473" w:rsidR="00223F05" w:rsidRPr="00223F05" w:rsidRDefault="00223F05" w:rsidP="009A553E">
            <w:pPr>
              <w:jc w:val="center"/>
              <w:rPr>
                <w:rFonts w:ascii="Arial Narrow" w:hAnsi="Arial Narrow" w:cs="Calibri"/>
                <w:color w:val="000000"/>
                <w:sz w:val="20"/>
                <w:szCs w:val="20"/>
              </w:rPr>
            </w:pPr>
            <w:r w:rsidRPr="00223F05">
              <w:rPr>
                <w:rFonts w:ascii="Arial Narrow" w:hAnsi="Arial Narrow" w:cs="Calibri"/>
                <w:color w:val="000000"/>
                <w:sz w:val="20"/>
                <w:szCs w:val="20"/>
              </w:rPr>
              <w:t>-2</w:t>
            </w:r>
          </w:p>
        </w:tc>
        <w:tc>
          <w:tcPr>
            <w:tcW w:w="990" w:type="dxa"/>
            <w:vAlign w:val="center"/>
          </w:tcPr>
          <w:p w14:paraId="607593B0" w14:textId="1368B512" w:rsidR="00223F05" w:rsidRPr="00223F05" w:rsidRDefault="00223F05" w:rsidP="009A553E">
            <w:pPr>
              <w:jc w:val="center"/>
              <w:rPr>
                <w:rFonts w:ascii="Arial Narrow" w:hAnsi="Arial Narrow"/>
                <w:color w:val="000000"/>
                <w:sz w:val="20"/>
                <w:szCs w:val="20"/>
                <w:highlight w:val="yellow"/>
              </w:rPr>
            </w:pPr>
            <w:r w:rsidRPr="00223F05">
              <w:rPr>
                <w:rFonts w:ascii="Arial Narrow" w:hAnsi="Arial Narrow" w:cs="Calibri"/>
                <w:color w:val="000000"/>
                <w:sz w:val="20"/>
                <w:szCs w:val="20"/>
              </w:rPr>
              <w:t>-2</w:t>
            </w:r>
          </w:p>
        </w:tc>
        <w:tc>
          <w:tcPr>
            <w:tcW w:w="3600" w:type="dxa"/>
            <w:vAlign w:val="center"/>
          </w:tcPr>
          <w:p w14:paraId="19AFB65C" w14:textId="51A8B335" w:rsidR="00223F05" w:rsidRPr="00223F05" w:rsidRDefault="00223F05" w:rsidP="009A553E">
            <w:pPr>
              <w:jc w:val="left"/>
              <w:rPr>
                <w:rFonts w:ascii="Arial Narrow" w:hAnsi="Arial Narrow"/>
                <w:color w:val="000000"/>
                <w:sz w:val="20"/>
                <w:szCs w:val="20"/>
                <w:highlight w:val="yellow"/>
              </w:rPr>
            </w:pPr>
            <w:r w:rsidRPr="00223F05">
              <w:rPr>
                <w:rFonts w:ascii="Arial Narrow" w:hAnsi="Arial Narrow" w:cs="Calibri"/>
                <w:color w:val="000000"/>
                <w:sz w:val="20"/>
                <w:szCs w:val="20"/>
              </w:rPr>
              <w:t>DO was not significantly correlated with benthic health across sites.</w:t>
            </w:r>
          </w:p>
        </w:tc>
      </w:tr>
      <w:tr w:rsidR="00223F05" w:rsidRPr="007A0C83" w14:paraId="680180FB" w14:textId="77777777" w:rsidTr="009A553E">
        <w:trPr>
          <w:trHeight w:val="247"/>
        </w:trPr>
        <w:tc>
          <w:tcPr>
            <w:tcW w:w="2437" w:type="dxa"/>
            <w:vAlign w:val="center"/>
          </w:tcPr>
          <w:p w14:paraId="246906C4" w14:textId="71649472" w:rsidR="00223F05" w:rsidRPr="00223F05" w:rsidRDefault="00223F05" w:rsidP="009A553E">
            <w:pPr>
              <w:jc w:val="left"/>
              <w:rPr>
                <w:rFonts w:ascii="Arial Narrow" w:hAnsi="Arial Narrow" w:cs="Calibri"/>
                <w:b/>
                <w:bCs/>
                <w:color w:val="000000"/>
                <w:sz w:val="20"/>
                <w:szCs w:val="20"/>
                <w:highlight w:val="yellow"/>
              </w:rPr>
            </w:pPr>
            <w:r w:rsidRPr="00223F05">
              <w:rPr>
                <w:rFonts w:ascii="Arial Narrow" w:hAnsi="Arial Narrow" w:cs="Calibri"/>
                <w:color w:val="000000"/>
                <w:sz w:val="20"/>
                <w:szCs w:val="20"/>
              </w:rPr>
              <w:t>Temporal Sequence</w:t>
            </w:r>
          </w:p>
        </w:tc>
        <w:tc>
          <w:tcPr>
            <w:tcW w:w="720" w:type="dxa"/>
            <w:vAlign w:val="center"/>
          </w:tcPr>
          <w:p w14:paraId="6C354339" w14:textId="1DC8FE0D" w:rsidR="00223F05" w:rsidRPr="00223F05" w:rsidRDefault="00223F05" w:rsidP="009A553E">
            <w:pPr>
              <w:jc w:val="center"/>
              <w:rPr>
                <w:rFonts w:ascii="Arial Narrow" w:hAnsi="Arial Narrow" w:cs="Calibri"/>
                <w:color w:val="000000"/>
                <w:sz w:val="20"/>
                <w:szCs w:val="20"/>
              </w:rPr>
            </w:pPr>
            <w:r w:rsidRPr="00223F05">
              <w:rPr>
                <w:rFonts w:ascii="Arial Narrow" w:hAnsi="Arial Narrow" w:cs="Calibri"/>
                <w:color w:val="000000"/>
                <w:sz w:val="20"/>
                <w:szCs w:val="20"/>
              </w:rPr>
              <w:t>-2</w:t>
            </w:r>
          </w:p>
        </w:tc>
        <w:tc>
          <w:tcPr>
            <w:tcW w:w="720" w:type="dxa"/>
            <w:vAlign w:val="center"/>
          </w:tcPr>
          <w:p w14:paraId="5260E07C" w14:textId="643AD3E1" w:rsidR="00223F05" w:rsidRPr="00223F05" w:rsidRDefault="00223F05" w:rsidP="009A553E">
            <w:pPr>
              <w:jc w:val="center"/>
              <w:rPr>
                <w:rFonts w:ascii="Arial Narrow" w:hAnsi="Arial Narrow" w:cs="Calibri"/>
                <w:color w:val="000000"/>
                <w:sz w:val="20"/>
                <w:szCs w:val="20"/>
              </w:rPr>
            </w:pPr>
            <w:r w:rsidRPr="00223F05">
              <w:rPr>
                <w:rFonts w:ascii="Arial Narrow" w:hAnsi="Arial Narrow" w:cs="Calibri"/>
                <w:color w:val="000000"/>
                <w:sz w:val="20"/>
                <w:szCs w:val="20"/>
              </w:rPr>
              <w:t>-2</w:t>
            </w:r>
          </w:p>
        </w:tc>
        <w:tc>
          <w:tcPr>
            <w:tcW w:w="990" w:type="dxa"/>
            <w:vAlign w:val="center"/>
          </w:tcPr>
          <w:p w14:paraId="6990DBC5" w14:textId="73C09DF5" w:rsidR="00223F05" w:rsidRPr="00223F05" w:rsidRDefault="00223F05" w:rsidP="009A553E">
            <w:pPr>
              <w:jc w:val="center"/>
              <w:rPr>
                <w:rFonts w:ascii="Arial Narrow" w:hAnsi="Arial Narrow" w:cs="Calibri"/>
                <w:color w:val="000000"/>
                <w:sz w:val="20"/>
                <w:szCs w:val="20"/>
              </w:rPr>
            </w:pPr>
            <w:r w:rsidRPr="00223F05">
              <w:rPr>
                <w:rFonts w:ascii="Arial Narrow" w:hAnsi="Arial Narrow" w:cs="Calibri"/>
                <w:color w:val="000000"/>
                <w:sz w:val="20"/>
                <w:szCs w:val="20"/>
              </w:rPr>
              <w:t>-2</w:t>
            </w:r>
          </w:p>
        </w:tc>
        <w:tc>
          <w:tcPr>
            <w:tcW w:w="990" w:type="dxa"/>
            <w:vAlign w:val="center"/>
          </w:tcPr>
          <w:p w14:paraId="754C15E4" w14:textId="1572AE97" w:rsidR="00223F05" w:rsidRPr="00223F05" w:rsidRDefault="00223F05" w:rsidP="009A553E">
            <w:pPr>
              <w:jc w:val="center"/>
              <w:rPr>
                <w:rFonts w:ascii="Arial Narrow" w:hAnsi="Arial Narrow" w:cs="Calibri"/>
                <w:b/>
                <w:color w:val="000000"/>
                <w:sz w:val="20"/>
                <w:szCs w:val="20"/>
                <w:highlight w:val="yellow"/>
              </w:rPr>
            </w:pPr>
            <w:r w:rsidRPr="00223F05">
              <w:rPr>
                <w:rFonts w:ascii="Arial Narrow" w:hAnsi="Arial Narrow" w:cs="Calibri"/>
                <w:color w:val="000000"/>
                <w:sz w:val="20"/>
                <w:szCs w:val="20"/>
              </w:rPr>
              <w:t>-2</w:t>
            </w:r>
          </w:p>
        </w:tc>
        <w:tc>
          <w:tcPr>
            <w:tcW w:w="3600" w:type="dxa"/>
            <w:vAlign w:val="center"/>
          </w:tcPr>
          <w:p w14:paraId="02F0B94D" w14:textId="08665660" w:rsidR="00223F05" w:rsidRPr="00223F05" w:rsidRDefault="00223F05" w:rsidP="009A553E">
            <w:pPr>
              <w:jc w:val="left"/>
              <w:rPr>
                <w:rFonts w:ascii="Arial Narrow" w:hAnsi="Arial Narrow"/>
                <w:color w:val="000000"/>
                <w:sz w:val="20"/>
                <w:szCs w:val="20"/>
                <w:highlight w:val="yellow"/>
              </w:rPr>
            </w:pPr>
            <w:r w:rsidRPr="00223F05">
              <w:rPr>
                <w:rFonts w:ascii="Arial Narrow" w:hAnsi="Arial Narrow" w:cs="Calibri"/>
                <w:color w:val="000000"/>
                <w:sz w:val="20"/>
                <w:szCs w:val="20"/>
              </w:rPr>
              <w:t>DO is generally lowest in the late summer, however, fall benthic scores were higher than spring scores in each of the impaired streams.</w:t>
            </w:r>
          </w:p>
        </w:tc>
      </w:tr>
      <w:tr w:rsidR="00223F05" w:rsidRPr="007A0C83" w14:paraId="2D635533" w14:textId="77777777" w:rsidTr="009A553E">
        <w:trPr>
          <w:trHeight w:val="247"/>
        </w:trPr>
        <w:tc>
          <w:tcPr>
            <w:tcW w:w="2437" w:type="dxa"/>
            <w:vAlign w:val="center"/>
          </w:tcPr>
          <w:p w14:paraId="1CBE1E5D" w14:textId="480A1E02" w:rsidR="00223F05" w:rsidRPr="00223F05" w:rsidRDefault="00223F05" w:rsidP="009A553E">
            <w:pPr>
              <w:jc w:val="left"/>
              <w:rPr>
                <w:rFonts w:ascii="Arial Narrow" w:hAnsi="Arial Narrow" w:cs="Calibri"/>
                <w:b/>
                <w:bCs/>
                <w:color w:val="000000"/>
                <w:sz w:val="20"/>
                <w:szCs w:val="20"/>
                <w:highlight w:val="yellow"/>
              </w:rPr>
            </w:pPr>
            <w:r w:rsidRPr="00223F05">
              <w:rPr>
                <w:rFonts w:ascii="Arial Narrow" w:hAnsi="Arial Narrow" w:cs="Calibri"/>
                <w:color w:val="000000"/>
                <w:sz w:val="20"/>
                <w:szCs w:val="20"/>
              </w:rPr>
              <w:t>Symptoms</w:t>
            </w:r>
          </w:p>
        </w:tc>
        <w:tc>
          <w:tcPr>
            <w:tcW w:w="720" w:type="dxa"/>
            <w:vAlign w:val="center"/>
          </w:tcPr>
          <w:p w14:paraId="449FA5F5" w14:textId="472DFF61" w:rsidR="00223F05" w:rsidRPr="00223F05" w:rsidRDefault="00223F05" w:rsidP="009A553E">
            <w:pPr>
              <w:jc w:val="center"/>
              <w:rPr>
                <w:rFonts w:ascii="Arial Narrow" w:hAnsi="Arial Narrow" w:cs="Calibri"/>
                <w:b/>
                <w:color w:val="000000"/>
                <w:sz w:val="20"/>
                <w:szCs w:val="20"/>
              </w:rPr>
            </w:pPr>
            <w:r w:rsidRPr="00223F05">
              <w:rPr>
                <w:rFonts w:ascii="Arial Narrow" w:hAnsi="Arial Narrow" w:cs="Calibri"/>
                <w:color w:val="000000"/>
                <w:sz w:val="20"/>
                <w:szCs w:val="20"/>
              </w:rPr>
              <w:t>-3</w:t>
            </w:r>
          </w:p>
        </w:tc>
        <w:tc>
          <w:tcPr>
            <w:tcW w:w="720" w:type="dxa"/>
            <w:vAlign w:val="center"/>
          </w:tcPr>
          <w:p w14:paraId="3BAE8F7B" w14:textId="4AAAFF1C" w:rsidR="00223F05" w:rsidRPr="00223F05" w:rsidRDefault="00223F05" w:rsidP="009A553E">
            <w:pPr>
              <w:jc w:val="center"/>
              <w:rPr>
                <w:rFonts w:ascii="Arial Narrow" w:hAnsi="Arial Narrow" w:cs="Calibri"/>
                <w:b/>
                <w:color w:val="000000"/>
                <w:sz w:val="20"/>
                <w:szCs w:val="20"/>
              </w:rPr>
            </w:pPr>
            <w:r w:rsidRPr="00223F05">
              <w:rPr>
                <w:rFonts w:ascii="Arial Narrow" w:hAnsi="Arial Narrow" w:cs="Calibri"/>
                <w:color w:val="000000"/>
                <w:sz w:val="20"/>
                <w:szCs w:val="20"/>
              </w:rPr>
              <w:t>-3</w:t>
            </w:r>
          </w:p>
        </w:tc>
        <w:tc>
          <w:tcPr>
            <w:tcW w:w="990" w:type="dxa"/>
            <w:vAlign w:val="center"/>
          </w:tcPr>
          <w:p w14:paraId="32C3359B" w14:textId="1D09AAF8" w:rsidR="00223F05" w:rsidRPr="00223F05" w:rsidRDefault="00223F05" w:rsidP="009A553E">
            <w:pPr>
              <w:jc w:val="center"/>
              <w:rPr>
                <w:rFonts w:ascii="Arial Narrow" w:hAnsi="Arial Narrow" w:cs="Calibri"/>
                <w:b/>
                <w:color w:val="000000"/>
                <w:sz w:val="20"/>
                <w:szCs w:val="20"/>
              </w:rPr>
            </w:pPr>
            <w:r w:rsidRPr="00223F05">
              <w:rPr>
                <w:rFonts w:ascii="Arial Narrow" w:hAnsi="Arial Narrow" w:cs="Calibri"/>
                <w:color w:val="000000"/>
                <w:sz w:val="20"/>
                <w:szCs w:val="20"/>
              </w:rPr>
              <w:t>-3</w:t>
            </w:r>
          </w:p>
        </w:tc>
        <w:tc>
          <w:tcPr>
            <w:tcW w:w="990" w:type="dxa"/>
            <w:vAlign w:val="center"/>
          </w:tcPr>
          <w:p w14:paraId="05EC3F92" w14:textId="16F09EC0" w:rsidR="00223F05" w:rsidRPr="00223F05" w:rsidRDefault="00223F05" w:rsidP="009A553E">
            <w:pPr>
              <w:jc w:val="center"/>
              <w:rPr>
                <w:rFonts w:ascii="Arial Narrow" w:hAnsi="Arial Narrow" w:cs="Calibri"/>
                <w:b/>
                <w:color w:val="000000"/>
                <w:sz w:val="20"/>
                <w:szCs w:val="20"/>
                <w:highlight w:val="yellow"/>
              </w:rPr>
            </w:pPr>
            <w:r w:rsidRPr="00223F05">
              <w:rPr>
                <w:rFonts w:ascii="Arial Narrow" w:hAnsi="Arial Narrow" w:cs="Calibri"/>
                <w:color w:val="000000"/>
                <w:sz w:val="20"/>
                <w:szCs w:val="20"/>
              </w:rPr>
              <w:t>-3</w:t>
            </w:r>
          </w:p>
        </w:tc>
        <w:tc>
          <w:tcPr>
            <w:tcW w:w="3600" w:type="dxa"/>
            <w:vAlign w:val="center"/>
          </w:tcPr>
          <w:p w14:paraId="534F89B9" w14:textId="58BDC061" w:rsidR="00223F05" w:rsidRPr="00223F05" w:rsidRDefault="00223F05" w:rsidP="009A553E">
            <w:pPr>
              <w:jc w:val="left"/>
              <w:rPr>
                <w:rFonts w:ascii="Arial Narrow" w:hAnsi="Arial Narrow"/>
                <w:color w:val="000000"/>
                <w:sz w:val="20"/>
                <w:szCs w:val="20"/>
                <w:highlight w:val="yellow"/>
              </w:rPr>
            </w:pPr>
            <w:r w:rsidRPr="00223F05">
              <w:rPr>
                <w:rFonts w:ascii="Arial Narrow" w:hAnsi="Arial Narrow" w:cs="Calibri"/>
                <w:color w:val="000000"/>
                <w:sz w:val="20"/>
                <w:szCs w:val="20"/>
              </w:rPr>
              <w:t xml:space="preserve">Biological Condition Gradient </w:t>
            </w:r>
            <w:r w:rsidR="007E2E2D">
              <w:rPr>
                <w:rFonts w:ascii="Arial Narrow" w:hAnsi="Arial Narrow" w:cs="Calibri"/>
                <w:color w:val="000000"/>
                <w:sz w:val="20"/>
                <w:szCs w:val="20"/>
              </w:rPr>
              <w:t xml:space="preserve">attribute </w:t>
            </w:r>
            <w:r w:rsidRPr="00223F05">
              <w:rPr>
                <w:rFonts w:ascii="Arial Narrow" w:hAnsi="Arial Narrow" w:cs="Calibri"/>
                <w:color w:val="000000"/>
                <w:sz w:val="20"/>
                <w:szCs w:val="20"/>
              </w:rPr>
              <w:t xml:space="preserve">analysis did not identify any of the top predominant taxa as increasing in abundance in the presence of low DO (score of 5), and average BCG </w:t>
            </w:r>
            <w:r w:rsidR="00CC60A2">
              <w:rPr>
                <w:rFonts w:ascii="Arial Narrow" w:hAnsi="Arial Narrow" w:cs="Calibri"/>
                <w:color w:val="000000"/>
                <w:sz w:val="20"/>
                <w:szCs w:val="20"/>
              </w:rPr>
              <w:t>attribut</w:t>
            </w:r>
            <w:r w:rsidR="007E2E2D">
              <w:rPr>
                <w:rFonts w:ascii="Arial Narrow" w:hAnsi="Arial Narrow" w:cs="Calibri"/>
                <w:color w:val="000000"/>
                <w:sz w:val="20"/>
                <w:szCs w:val="20"/>
              </w:rPr>
              <w:t>e</w:t>
            </w:r>
            <w:r w:rsidR="00CC60A2">
              <w:rPr>
                <w:rFonts w:ascii="Arial Narrow" w:hAnsi="Arial Narrow" w:cs="Calibri"/>
                <w:color w:val="000000"/>
                <w:sz w:val="20"/>
                <w:szCs w:val="20"/>
              </w:rPr>
              <w:t xml:space="preserve"> </w:t>
            </w:r>
            <w:r w:rsidRPr="00223F05">
              <w:rPr>
                <w:rFonts w:ascii="Arial Narrow" w:hAnsi="Arial Narrow" w:cs="Calibri"/>
                <w:color w:val="000000"/>
                <w:sz w:val="20"/>
                <w:szCs w:val="20"/>
              </w:rPr>
              <w:t>scores for DO were ranked the lowest in Wolf Creek and the second lowest in Tinker Creek and Roanoke River.</w:t>
            </w:r>
          </w:p>
        </w:tc>
      </w:tr>
      <w:tr w:rsidR="00223F05" w:rsidRPr="007A0C83" w14:paraId="7734D933" w14:textId="77777777" w:rsidTr="009A553E">
        <w:trPr>
          <w:trHeight w:val="247"/>
        </w:trPr>
        <w:tc>
          <w:tcPr>
            <w:tcW w:w="2437" w:type="dxa"/>
            <w:vAlign w:val="center"/>
          </w:tcPr>
          <w:p w14:paraId="56C85AF2" w14:textId="7E98F738" w:rsidR="00223F05" w:rsidRPr="00223F05" w:rsidRDefault="00223F05" w:rsidP="009A553E">
            <w:pPr>
              <w:jc w:val="left"/>
              <w:rPr>
                <w:rFonts w:ascii="Arial Narrow" w:hAnsi="Arial Narrow" w:cs="Calibri"/>
                <w:b/>
                <w:bCs/>
                <w:color w:val="000000"/>
                <w:sz w:val="20"/>
                <w:szCs w:val="20"/>
              </w:rPr>
            </w:pPr>
            <w:r w:rsidRPr="00223F05">
              <w:rPr>
                <w:rFonts w:ascii="Arial Narrow" w:hAnsi="Arial Narrow" w:cs="Calibri"/>
                <w:color w:val="000000"/>
                <w:sz w:val="20"/>
                <w:szCs w:val="20"/>
              </w:rPr>
              <w:t>Stressor-Response Relationships from Other Field Studies</w:t>
            </w:r>
          </w:p>
        </w:tc>
        <w:tc>
          <w:tcPr>
            <w:tcW w:w="720" w:type="dxa"/>
            <w:vAlign w:val="center"/>
          </w:tcPr>
          <w:p w14:paraId="5F55D273" w14:textId="4D5111D5" w:rsidR="00223F05" w:rsidRPr="00223F05" w:rsidRDefault="00223F05" w:rsidP="009A553E">
            <w:pPr>
              <w:jc w:val="center"/>
              <w:rPr>
                <w:rFonts w:ascii="Arial Narrow" w:hAnsi="Arial Narrow" w:cs="Calibri"/>
                <w:b/>
                <w:color w:val="000000"/>
                <w:sz w:val="20"/>
                <w:szCs w:val="20"/>
              </w:rPr>
            </w:pPr>
            <w:r w:rsidRPr="00223F05">
              <w:rPr>
                <w:rFonts w:ascii="Arial Narrow" w:hAnsi="Arial Narrow" w:cs="Calibri"/>
                <w:color w:val="000000"/>
                <w:sz w:val="20"/>
                <w:szCs w:val="20"/>
              </w:rPr>
              <w:t>-3</w:t>
            </w:r>
          </w:p>
        </w:tc>
        <w:tc>
          <w:tcPr>
            <w:tcW w:w="720" w:type="dxa"/>
            <w:vAlign w:val="center"/>
          </w:tcPr>
          <w:p w14:paraId="7A776C20" w14:textId="3A260733" w:rsidR="00223F05" w:rsidRPr="00223F05" w:rsidRDefault="00223F05" w:rsidP="009A553E">
            <w:pPr>
              <w:jc w:val="center"/>
              <w:rPr>
                <w:rFonts w:ascii="Arial Narrow" w:hAnsi="Arial Narrow" w:cs="Calibri"/>
                <w:b/>
                <w:color w:val="000000"/>
                <w:sz w:val="20"/>
                <w:szCs w:val="20"/>
              </w:rPr>
            </w:pPr>
            <w:r w:rsidRPr="00223F05">
              <w:rPr>
                <w:rFonts w:ascii="Arial Narrow" w:hAnsi="Arial Narrow" w:cs="Calibri"/>
                <w:color w:val="000000"/>
                <w:sz w:val="20"/>
                <w:szCs w:val="20"/>
              </w:rPr>
              <w:t>-2</w:t>
            </w:r>
          </w:p>
        </w:tc>
        <w:tc>
          <w:tcPr>
            <w:tcW w:w="990" w:type="dxa"/>
            <w:vAlign w:val="center"/>
          </w:tcPr>
          <w:p w14:paraId="527C0C79" w14:textId="5FEEFBCD" w:rsidR="00223F05" w:rsidRPr="00223F05" w:rsidRDefault="00223F05" w:rsidP="009A553E">
            <w:pPr>
              <w:jc w:val="center"/>
              <w:rPr>
                <w:rFonts w:ascii="Arial Narrow" w:hAnsi="Arial Narrow" w:cs="Calibri"/>
                <w:b/>
                <w:color w:val="000000"/>
                <w:sz w:val="20"/>
                <w:szCs w:val="20"/>
              </w:rPr>
            </w:pPr>
            <w:r w:rsidRPr="00223F05">
              <w:rPr>
                <w:rFonts w:ascii="Arial Narrow" w:hAnsi="Arial Narrow" w:cs="Calibri"/>
                <w:color w:val="000000"/>
                <w:sz w:val="20"/>
                <w:szCs w:val="20"/>
              </w:rPr>
              <w:t>-1</w:t>
            </w:r>
          </w:p>
        </w:tc>
        <w:tc>
          <w:tcPr>
            <w:tcW w:w="990" w:type="dxa"/>
            <w:vAlign w:val="center"/>
          </w:tcPr>
          <w:p w14:paraId="7BF759BE" w14:textId="6E3EE43A" w:rsidR="00223F05" w:rsidRPr="00223F05" w:rsidRDefault="00223F05" w:rsidP="009A553E">
            <w:pPr>
              <w:jc w:val="center"/>
              <w:rPr>
                <w:rFonts w:ascii="Arial Narrow" w:hAnsi="Arial Narrow" w:cs="Calibri"/>
                <w:b/>
                <w:color w:val="000000"/>
                <w:sz w:val="20"/>
                <w:szCs w:val="20"/>
              </w:rPr>
            </w:pPr>
            <w:r w:rsidRPr="00223F05">
              <w:rPr>
                <w:rFonts w:ascii="Arial Narrow" w:hAnsi="Arial Narrow" w:cs="Calibri"/>
                <w:color w:val="000000"/>
                <w:sz w:val="20"/>
                <w:szCs w:val="20"/>
              </w:rPr>
              <w:t>-1</w:t>
            </w:r>
          </w:p>
        </w:tc>
        <w:tc>
          <w:tcPr>
            <w:tcW w:w="3600" w:type="dxa"/>
            <w:vAlign w:val="center"/>
          </w:tcPr>
          <w:p w14:paraId="5B3ABB6B" w14:textId="0071474F" w:rsidR="00223F05" w:rsidRPr="00223F05" w:rsidRDefault="00223F05" w:rsidP="009A553E">
            <w:pPr>
              <w:jc w:val="left"/>
              <w:rPr>
                <w:rFonts w:ascii="Arial Narrow" w:hAnsi="Arial Narrow"/>
                <w:color w:val="000000"/>
                <w:sz w:val="20"/>
                <w:szCs w:val="20"/>
                <w:highlight w:val="yellow"/>
              </w:rPr>
            </w:pPr>
            <w:r w:rsidRPr="00223F05">
              <w:rPr>
                <w:rFonts w:ascii="Arial Narrow" w:hAnsi="Arial Narrow" w:cs="Calibri"/>
                <w:color w:val="000000"/>
                <w:sz w:val="20"/>
                <w:szCs w:val="20"/>
              </w:rPr>
              <w:t>Median DO values were in the no probability range for stressor effects in Wolf Creek and Tinker Creek and the low probability range in the Roanoke River. Tinker Creek had several excu</w:t>
            </w:r>
            <w:r w:rsidR="00E20320">
              <w:rPr>
                <w:rFonts w:ascii="Arial Narrow" w:hAnsi="Arial Narrow" w:cs="Calibri"/>
                <w:color w:val="000000"/>
                <w:sz w:val="20"/>
                <w:szCs w:val="20"/>
              </w:rPr>
              <w:t>r</w:t>
            </w:r>
            <w:r w:rsidRPr="00223F05">
              <w:rPr>
                <w:rFonts w:ascii="Arial Narrow" w:hAnsi="Arial Narrow" w:cs="Calibri"/>
                <w:color w:val="000000"/>
                <w:sz w:val="20"/>
                <w:szCs w:val="20"/>
              </w:rPr>
              <w:t xml:space="preserve">sions into the medium probability range for stressor effects. </w:t>
            </w:r>
          </w:p>
        </w:tc>
      </w:tr>
      <w:tr w:rsidR="00223F05" w:rsidRPr="007A0C83" w14:paraId="51E89D75" w14:textId="77777777" w:rsidTr="009A553E">
        <w:trPr>
          <w:trHeight w:val="247"/>
        </w:trPr>
        <w:tc>
          <w:tcPr>
            <w:tcW w:w="2437" w:type="dxa"/>
            <w:vAlign w:val="center"/>
          </w:tcPr>
          <w:p w14:paraId="417D77DB" w14:textId="1A4780BB" w:rsidR="00223F05" w:rsidRPr="00223F05" w:rsidRDefault="00223F05" w:rsidP="009A553E">
            <w:pPr>
              <w:jc w:val="left"/>
              <w:rPr>
                <w:rFonts w:ascii="Arial Narrow" w:hAnsi="Arial Narrow" w:cs="Calibri"/>
                <w:b/>
                <w:bCs/>
                <w:color w:val="000000"/>
                <w:sz w:val="20"/>
                <w:szCs w:val="20"/>
              </w:rPr>
            </w:pPr>
            <w:r w:rsidRPr="00223F05">
              <w:rPr>
                <w:rFonts w:ascii="Arial Narrow" w:hAnsi="Arial Narrow" w:cs="Calibri"/>
                <w:color w:val="000000"/>
                <w:sz w:val="20"/>
                <w:szCs w:val="20"/>
              </w:rPr>
              <w:t>Stressor-Response Relationships from Laboratory Studies</w:t>
            </w:r>
          </w:p>
        </w:tc>
        <w:tc>
          <w:tcPr>
            <w:tcW w:w="720" w:type="dxa"/>
            <w:vAlign w:val="center"/>
          </w:tcPr>
          <w:p w14:paraId="056BEFFE" w14:textId="7037E05B" w:rsidR="00223F05" w:rsidRPr="00223F05" w:rsidRDefault="00223F05" w:rsidP="009A553E">
            <w:pPr>
              <w:jc w:val="center"/>
              <w:rPr>
                <w:rFonts w:ascii="Arial Narrow" w:hAnsi="Arial Narrow" w:cs="Calibri"/>
                <w:b/>
                <w:color w:val="000000"/>
                <w:sz w:val="20"/>
                <w:szCs w:val="20"/>
              </w:rPr>
            </w:pPr>
            <w:r w:rsidRPr="00223F05">
              <w:rPr>
                <w:rFonts w:ascii="Arial Narrow" w:hAnsi="Arial Narrow" w:cs="Calibri"/>
                <w:color w:val="000000"/>
                <w:sz w:val="20"/>
                <w:szCs w:val="20"/>
              </w:rPr>
              <w:t>-1</w:t>
            </w:r>
          </w:p>
        </w:tc>
        <w:tc>
          <w:tcPr>
            <w:tcW w:w="720" w:type="dxa"/>
            <w:vAlign w:val="center"/>
          </w:tcPr>
          <w:p w14:paraId="18E2982D" w14:textId="63E75680" w:rsidR="00223F05" w:rsidRPr="00223F05" w:rsidRDefault="00223F05" w:rsidP="009A553E">
            <w:pPr>
              <w:jc w:val="center"/>
              <w:rPr>
                <w:rFonts w:ascii="Arial Narrow" w:hAnsi="Arial Narrow" w:cs="Calibri"/>
                <w:b/>
                <w:color w:val="000000"/>
                <w:sz w:val="20"/>
                <w:szCs w:val="20"/>
              </w:rPr>
            </w:pPr>
            <w:r w:rsidRPr="00223F05">
              <w:rPr>
                <w:rFonts w:ascii="Arial Narrow" w:hAnsi="Arial Narrow" w:cs="Calibri"/>
                <w:color w:val="000000"/>
                <w:sz w:val="20"/>
                <w:szCs w:val="20"/>
              </w:rPr>
              <w:t>-3</w:t>
            </w:r>
          </w:p>
        </w:tc>
        <w:tc>
          <w:tcPr>
            <w:tcW w:w="990" w:type="dxa"/>
            <w:vAlign w:val="center"/>
          </w:tcPr>
          <w:p w14:paraId="47F4B2F7" w14:textId="21292E70" w:rsidR="00223F05" w:rsidRPr="00223F05" w:rsidRDefault="00223F05" w:rsidP="009A553E">
            <w:pPr>
              <w:jc w:val="center"/>
              <w:rPr>
                <w:rFonts w:ascii="Arial Narrow" w:hAnsi="Arial Narrow" w:cs="Calibri"/>
                <w:b/>
                <w:color w:val="000000"/>
                <w:sz w:val="20"/>
                <w:szCs w:val="20"/>
              </w:rPr>
            </w:pPr>
            <w:r w:rsidRPr="00223F05">
              <w:rPr>
                <w:rFonts w:ascii="Arial Narrow" w:hAnsi="Arial Narrow" w:cs="Calibri"/>
                <w:color w:val="000000"/>
                <w:sz w:val="20"/>
                <w:szCs w:val="20"/>
              </w:rPr>
              <w:t>-3</w:t>
            </w:r>
          </w:p>
        </w:tc>
        <w:tc>
          <w:tcPr>
            <w:tcW w:w="990" w:type="dxa"/>
            <w:vAlign w:val="center"/>
          </w:tcPr>
          <w:p w14:paraId="1182858D" w14:textId="18201F90" w:rsidR="00223F05" w:rsidRPr="00223F05" w:rsidRDefault="00223F05" w:rsidP="009A553E">
            <w:pPr>
              <w:jc w:val="center"/>
              <w:rPr>
                <w:rFonts w:ascii="Arial Narrow" w:hAnsi="Arial Narrow" w:cs="Calibri"/>
                <w:b/>
                <w:color w:val="000000"/>
                <w:sz w:val="20"/>
                <w:szCs w:val="20"/>
              </w:rPr>
            </w:pPr>
            <w:r w:rsidRPr="00223F05">
              <w:rPr>
                <w:rFonts w:ascii="Arial Narrow" w:hAnsi="Arial Narrow" w:cs="Calibri"/>
                <w:color w:val="000000"/>
                <w:sz w:val="20"/>
                <w:szCs w:val="20"/>
              </w:rPr>
              <w:t>-3</w:t>
            </w:r>
          </w:p>
        </w:tc>
        <w:tc>
          <w:tcPr>
            <w:tcW w:w="3600" w:type="dxa"/>
            <w:vAlign w:val="center"/>
          </w:tcPr>
          <w:p w14:paraId="574A2134" w14:textId="557DE1FA" w:rsidR="00223F05" w:rsidRPr="00223F05" w:rsidRDefault="00223F05" w:rsidP="009A553E">
            <w:pPr>
              <w:jc w:val="left"/>
              <w:rPr>
                <w:rFonts w:ascii="Arial Narrow" w:hAnsi="Arial Narrow"/>
                <w:color w:val="000000"/>
                <w:sz w:val="20"/>
                <w:szCs w:val="20"/>
                <w:highlight w:val="yellow"/>
              </w:rPr>
            </w:pPr>
            <w:r w:rsidRPr="00223F05">
              <w:rPr>
                <w:rFonts w:ascii="Arial Narrow" w:hAnsi="Arial Narrow" w:cs="Calibri"/>
                <w:color w:val="000000"/>
                <w:sz w:val="20"/>
                <w:szCs w:val="20"/>
              </w:rPr>
              <w:t>All DO values were above the water quality standard, even during continuous diurnal monitoring in Tinker Creek and Roanoke River. No diurnal monitoring was conducted in Wolf Creek.</w:t>
            </w:r>
          </w:p>
        </w:tc>
      </w:tr>
      <w:tr w:rsidR="00223F05" w:rsidRPr="007A0C83" w14:paraId="2A302BF4" w14:textId="77777777" w:rsidTr="009A553E">
        <w:trPr>
          <w:trHeight w:val="247"/>
        </w:trPr>
        <w:tc>
          <w:tcPr>
            <w:tcW w:w="2437" w:type="dxa"/>
            <w:vAlign w:val="center"/>
          </w:tcPr>
          <w:p w14:paraId="3DE7884D" w14:textId="48CE15A7" w:rsidR="00223F05" w:rsidRPr="00223F05" w:rsidRDefault="00223F05" w:rsidP="009A553E">
            <w:pPr>
              <w:jc w:val="left"/>
              <w:rPr>
                <w:rFonts w:ascii="Arial Narrow" w:hAnsi="Arial Narrow" w:cs="Calibri"/>
                <w:b/>
                <w:bCs/>
                <w:color w:val="000000"/>
                <w:sz w:val="20"/>
                <w:szCs w:val="20"/>
              </w:rPr>
            </w:pPr>
            <w:r w:rsidRPr="00223F05">
              <w:rPr>
                <w:rFonts w:ascii="Arial Narrow" w:hAnsi="Arial Narrow" w:cs="Calibri"/>
                <w:color w:val="000000"/>
                <w:sz w:val="20"/>
                <w:szCs w:val="20"/>
              </w:rPr>
              <w:t>Consistency of Evidence</w:t>
            </w:r>
          </w:p>
        </w:tc>
        <w:tc>
          <w:tcPr>
            <w:tcW w:w="720" w:type="dxa"/>
            <w:vAlign w:val="center"/>
          </w:tcPr>
          <w:p w14:paraId="7664D087" w14:textId="149425D2" w:rsidR="00223F05" w:rsidRPr="00223F05" w:rsidRDefault="00223F05" w:rsidP="009A553E">
            <w:pPr>
              <w:jc w:val="center"/>
              <w:rPr>
                <w:rFonts w:ascii="Arial Narrow" w:hAnsi="Arial Narrow" w:cs="Calibri"/>
                <w:b/>
                <w:color w:val="000000"/>
                <w:sz w:val="20"/>
                <w:szCs w:val="20"/>
              </w:rPr>
            </w:pPr>
            <w:r w:rsidRPr="00223F05">
              <w:rPr>
                <w:rFonts w:ascii="Arial Narrow" w:hAnsi="Arial Narrow" w:cs="Calibri"/>
                <w:color w:val="000000"/>
                <w:sz w:val="20"/>
                <w:szCs w:val="20"/>
              </w:rPr>
              <w:t>-2</w:t>
            </w:r>
          </w:p>
        </w:tc>
        <w:tc>
          <w:tcPr>
            <w:tcW w:w="720" w:type="dxa"/>
            <w:vAlign w:val="center"/>
          </w:tcPr>
          <w:p w14:paraId="14A0D417" w14:textId="2B53BBB6" w:rsidR="00223F05" w:rsidRPr="00223F05" w:rsidRDefault="00223F05" w:rsidP="009A553E">
            <w:pPr>
              <w:jc w:val="center"/>
              <w:rPr>
                <w:rFonts w:ascii="Arial Narrow" w:hAnsi="Arial Narrow" w:cs="Calibri"/>
                <w:b/>
                <w:color w:val="000000"/>
                <w:sz w:val="20"/>
                <w:szCs w:val="20"/>
              </w:rPr>
            </w:pPr>
            <w:r w:rsidRPr="00223F05">
              <w:rPr>
                <w:rFonts w:ascii="Arial Narrow" w:hAnsi="Arial Narrow" w:cs="Calibri"/>
                <w:color w:val="000000"/>
                <w:sz w:val="20"/>
                <w:szCs w:val="20"/>
              </w:rPr>
              <w:t>-2</w:t>
            </w:r>
          </w:p>
        </w:tc>
        <w:tc>
          <w:tcPr>
            <w:tcW w:w="990" w:type="dxa"/>
            <w:vAlign w:val="center"/>
          </w:tcPr>
          <w:p w14:paraId="78F5325F" w14:textId="484B3D41" w:rsidR="00223F05" w:rsidRPr="00223F05" w:rsidRDefault="00223F05" w:rsidP="009A553E">
            <w:pPr>
              <w:jc w:val="center"/>
              <w:rPr>
                <w:rFonts w:ascii="Arial Narrow" w:hAnsi="Arial Narrow" w:cs="Calibri"/>
                <w:b/>
                <w:color w:val="000000"/>
                <w:sz w:val="20"/>
                <w:szCs w:val="20"/>
              </w:rPr>
            </w:pPr>
            <w:r w:rsidRPr="00223F05">
              <w:rPr>
                <w:rFonts w:ascii="Arial Narrow" w:hAnsi="Arial Narrow" w:cs="Calibri"/>
                <w:color w:val="000000"/>
                <w:sz w:val="20"/>
                <w:szCs w:val="20"/>
              </w:rPr>
              <w:t>-2</w:t>
            </w:r>
          </w:p>
        </w:tc>
        <w:tc>
          <w:tcPr>
            <w:tcW w:w="990" w:type="dxa"/>
            <w:vAlign w:val="center"/>
          </w:tcPr>
          <w:p w14:paraId="719A534E" w14:textId="1DBC609E" w:rsidR="00223F05" w:rsidRPr="00223F05" w:rsidRDefault="00223F05" w:rsidP="009A553E">
            <w:pPr>
              <w:jc w:val="center"/>
              <w:rPr>
                <w:rFonts w:ascii="Arial Narrow" w:hAnsi="Arial Narrow" w:cs="Calibri"/>
                <w:b/>
                <w:color w:val="000000"/>
                <w:sz w:val="20"/>
                <w:szCs w:val="20"/>
              </w:rPr>
            </w:pPr>
            <w:r w:rsidRPr="00223F05">
              <w:rPr>
                <w:rFonts w:ascii="Arial Narrow" w:hAnsi="Arial Narrow" w:cs="Calibri"/>
                <w:color w:val="000000"/>
                <w:sz w:val="20"/>
                <w:szCs w:val="20"/>
              </w:rPr>
              <w:t>-2</w:t>
            </w:r>
          </w:p>
        </w:tc>
        <w:tc>
          <w:tcPr>
            <w:tcW w:w="3600" w:type="dxa"/>
            <w:vAlign w:val="center"/>
          </w:tcPr>
          <w:p w14:paraId="487ACDA6" w14:textId="6D0199CA" w:rsidR="00223F05" w:rsidRPr="00223F05" w:rsidRDefault="00223F05" w:rsidP="009A553E">
            <w:pPr>
              <w:jc w:val="left"/>
              <w:rPr>
                <w:rFonts w:ascii="Arial Narrow" w:hAnsi="Arial Narrow"/>
                <w:color w:val="000000"/>
                <w:sz w:val="20"/>
                <w:szCs w:val="20"/>
                <w:highlight w:val="yellow"/>
              </w:rPr>
            </w:pPr>
            <w:r w:rsidRPr="00223F05">
              <w:rPr>
                <w:rFonts w:ascii="Arial Narrow" w:hAnsi="Arial Narrow" w:cs="Calibri"/>
                <w:color w:val="000000"/>
                <w:sz w:val="20"/>
                <w:szCs w:val="20"/>
              </w:rPr>
              <w:t>Evidence consistently refuted DO as a stressor.</w:t>
            </w:r>
          </w:p>
        </w:tc>
      </w:tr>
      <w:tr w:rsidR="00223F05" w:rsidRPr="00223F05" w14:paraId="38AAA68D" w14:textId="77777777" w:rsidTr="009A553E">
        <w:trPr>
          <w:trHeight w:val="247"/>
        </w:trPr>
        <w:tc>
          <w:tcPr>
            <w:tcW w:w="2437" w:type="dxa"/>
            <w:vAlign w:val="center"/>
          </w:tcPr>
          <w:p w14:paraId="44D54A4E" w14:textId="7A43C367" w:rsidR="00223F05" w:rsidRPr="00223F05" w:rsidRDefault="00223F05" w:rsidP="009A553E">
            <w:pPr>
              <w:jc w:val="right"/>
              <w:rPr>
                <w:rFonts w:ascii="Arial Narrow" w:hAnsi="Arial Narrow" w:cs="Calibri"/>
                <w:b/>
                <w:bCs/>
                <w:color w:val="000000"/>
                <w:sz w:val="20"/>
                <w:szCs w:val="20"/>
              </w:rPr>
            </w:pPr>
            <w:r w:rsidRPr="00223F05">
              <w:rPr>
                <w:rFonts w:ascii="Arial Narrow" w:hAnsi="Arial Narrow" w:cs="Calibri"/>
                <w:b/>
                <w:bCs/>
                <w:color w:val="000000"/>
                <w:sz w:val="20"/>
                <w:szCs w:val="20"/>
              </w:rPr>
              <w:t>Sum</w:t>
            </w:r>
          </w:p>
        </w:tc>
        <w:tc>
          <w:tcPr>
            <w:tcW w:w="720" w:type="dxa"/>
            <w:vAlign w:val="center"/>
          </w:tcPr>
          <w:p w14:paraId="45906F79" w14:textId="2E1E6A88" w:rsidR="00223F05" w:rsidRPr="00223F05" w:rsidRDefault="00223F05" w:rsidP="009A553E">
            <w:pPr>
              <w:jc w:val="center"/>
              <w:rPr>
                <w:rFonts w:ascii="Arial Narrow" w:hAnsi="Arial Narrow" w:cs="Calibri"/>
                <w:b/>
                <w:color w:val="000000"/>
                <w:sz w:val="20"/>
                <w:szCs w:val="20"/>
              </w:rPr>
            </w:pPr>
            <w:r w:rsidRPr="00223F05">
              <w:rPr>
                <w:rFonts w:ascii="Arial Narrow" w:hAnsi="Arial Narrow" w:cs="Calibri"/>
                <w:b/>
                <w:color w:val="000000"/>
                <w:sz w:val="20"/>
                <w:szCs w:val="20"/>
              </w:rPr>
              <w:t>-21</w:t>
            </w:r>
          </w:p>
        </w:tc>
        <w:tc>
          <w:tcPr>
            <w:tcW w:w="720" w:type="dxa"/>
            <w:vAlign w:val="center"/>
          </w:tcPr>
          <w:p w14:paraId="51114654" w14:textId="20FA7A82" w:rsidR="00223F05" w:rsidRPr="00223F05" w:rsidRDefault="00223F05" w:rsidP="009A553E">
            <w:pPr>
              <w:jc w:val="center"/>
              <w:rPr>
                <w:rFonts w:ascii="Arial Narrow" w:hAnsi="Arial Narrow" w:cs="Calibri"/>
                <w:b/>
                <w:color w:val="000000"/>
                <w:sz w:val="20"/>
                <w:szCs w:val="20"/>
              </w:rPr>
            </w:pPr>
            <w:r w:rsidRPr="00223F05">
              <w:rPr>
                <w:rFonts w:ascii="Arial Narrow" w:hAnsi="Arial Narrow" w:cs="Calibri"/>
                <w:b/>
                <w:color w:val="000000"/>
                <w:sz w:val="20"/>
                <w:szCs w:val="20"/>
              </w:rPr>
              <w:t>-19</w:t>
            </w:r>
          </w:p>
        </w:tc>
        <w:tc>
          <w:tcPr>
            <w:tcW w:w="990" w:type="dxa"/>
            <w:vAlign w:val="center"/>
          </w:tcPr>
          <w:p w14:paraId="1EC3E866" w14:textId="134E6C3B" w:rsidR="00223F05" w:rsidRPr="00223F05" w:rsidRDefault="00223F05" w:rsidP="009A553E">
            <w:pPr>
              <w:jc w:val="center"/>
              <w:rPr>
                <w:rFonts w:ascii="Arial Narrow" w:hAnsi="Arial Narrow" w:cs="Calibri"/>
                <w:b/>
                <w:color w:val="000000"/>
                <w:sz w:val="20"/>
                <w:szCs w:val="20"/>
              </w:rPr>
            </w:pPr>
            <w:r w:rsidRPr="00223F05">
              <w:rPr>
                <w:rFonts w:ascii="Arial Narrow" w:hAnsi="Arial Narrow" w:cs="Calibri"/>
                <w:b/>
                <w:color w:val="000000"/>
                <w:sz w:val="20"/>
                <w:szCs w:val="20"/>
              </w:rPr>
              <w:t>-18</w:t>
            </w:r>
          </w:p>
        </w:tc>
        <w:tc>
          <w:tcPr>
            <w:tcW w:w="990" w:type="dxa"/>
            <w:vAlign w:val="center"/>
          </w:tcPr>
          <w:p w14:paraId="5CB74966" w14:textId="468B8D4A" w:rsidR="00223F05" w:rsidRPr="00223F05" w:rsidRDefault="00223F05" w:rsidP="009A553E">
            <w:pPr>
              <w:jc w:val="center"/>
              <w:rPr>
                <w:rFonts w:ascii="Arial Narrow" w:hAnsi="Arial Narrow" w:cs="Calibri"/>
                <w:b/>
                <w:color w:val="000000"/>
                <w:sz w:val="20"/>
                <w:szCs w:val="20"/>
              </w:rPr>
            </w:pPr>
            <w:r w:rsidRPr="00223F05">
              <w:rPr>
                <w:rFonts w:ascii="Arial Narrow" w:hAnsi="Arial Narrow" w:cs="Calibri"/>
                <w:b/>
                <w:color w:val="000000"/>
                <w:sz w:val="20"/>
                <w:szCs w:val="20"/>
              </w:rPr>
              <w:t>-18</w:t>
            </w:r>
          </w:p>
        </w:tc>
        <w:tc>
          <w:tcPr>
            <w:tcW w:w="3600" w:type="dxa"/>
            <w:vAlign w:val="center"/>
          </w:tcPr>
          <w:p w14:paraId="7E87BEAB" w14:textId="77777777" w:rsidR="00223F05" w:rsidRPr="00223F05" w:rsidRDefault="00223F05" w:rsidP="009A553E">
            <w:pPr>
              <w:jc w:val="left"/>
              <w:rPr>
                <w:rFonts w:ascii="Arial Narrow" w:hAnsi="Arial Narrow"/>
                <w:b/>
                <w:color w:val="000000"/>
                <w:sz w:val="20"/>
                <w:szCs w:val="20"/>
                <w:highlight w:val="yellow"/>
              </w:rPr>
            </w:pPr>
          </w:p>
        </w:tc>
      </w:tr>
    </w:tbl>
    <w:p w14:paraId="3CBCE947" w14:textId="6A50F292" w:rsidR="008A1F50" w:rsidRDefault="008A1F50" w:rsidP="005E4B50">
      <w:pPr>
        <w:pStyle w:val="BlockText"/>
        <w:spacing w:before="0" w:after="0" w:line="240" w:lineRule="auto"/>
        <w:rPr>
          <w:highlight w:val="yellow"/>
        </w:rPr>
      </w:pPr>
    </w:p>
    <w:p w14:paraId="0EA43839" w14:textId="77777777" w:rsidR="003B49F8" w:rsidRPr="007D6043" w:rsidRDefault="003B49F8" w:rsidP="003B49F8">
      <w:pPr>
        <w:pStyle w:val="Heading2"/>
      </w:pPr>
      <w:bookmarkStart w:id="216" w:name="_Toc162948191"/>
      <w:r w:rsidRPr="007D6043">
        <w:t>Conductivity and Total Dissolved Solids</w:t>
      </w:r>
      <w:bookmarkEnd w:id="216"/>
    </w:p>
    <w:p w14:paraId="2A8EBC94" w14:textId="3C706FE7" w:rsidR="006700BF" w:rsidRDefault="006700BF" w:rsidP="006700BF">
      <w:pPr>
        <w:pStyle w:val="BlockText"/>
      </w:pPr>
      <w:r>
        <w:fldChar w:fldCharType="begin"/>
      </w:r>
      <w:r>
        <w:instrText xml:space="preserve"> REF _Ref50645448 \h </w:instrText>
      </w:r>
      <w:r>
        <w:fldChar w:fldCharType="separate"/>
      </w:r>
      <w:r w:rsidR="004A78BF" w:rsidRPr="007D6043">
        <w:t xml:space="preserve">Table </w:t>
      </w:r>
      <w:r w:rsidR="004A78BF">
        <w:rPr>
          <w:noProof/>
        </w:rPr>
        <w:t>31</w:t>
      </w:r>
      <w:r>
        <w:fldChar w:fldCharType="end"/>
      </w:r>
      <w:r>
        <w:t xml:space="preserve"> </w:t>
      </w:r>
      <w:r w:rsidRPr="007D6043">
        <w:t>shows the causal analysis results for conductivity and total dissolved solids</w:t>
      </w:r>
      <w:r>
        <w:t>.</w:t>
      </w:r>
      <w:r w:rsidRPr="007D6043">
        <w:t xml:space="preserve"> Total causal analysis scores </w:t>
      </w:r>
      <w:r>
        <w:t>were -16 and -8 for Wolf Creek and Roanoke River (202.20), respectively, indicating that there is strong evidence that conductivity and total dissolved solids are non-stressors in these streams. Conductivity levels in Wolf Creek were lower than in the stream reference, and conductivity levels in Roanoke River (202.20) were not statistically different from the river reference. M</w:t>
      </w:r>
      <w:r w:rsidRPr="0054327F">
        <w:t xml:space="preserve">edian </w:t>
      </w:r>
      <w:r>
        <w:t>conductivity</w:t>
      </w:r>
      <w:r w:rsidRPr="0054327F">
        <w:t xml:space="preserve"> levels were </w:t>
      </w:r>
      <w:r>
        <w:t xml:space="preserve">also </w:t>
      </w:r>
      <w:r w:rsidRPr="0054327F">
        <w:t xml:space="preserve">in the </w:t>
      </w:r>
      <w:r>
        <w:t xml:space="preserve">no to </w:t>
      </w:r>
      <w:r w:rsidRPr="0054327F">
        <w:t>low probability range for stressor effects</w:t>
      </w:r>
      <w:r>
        <w:t xml:space="preserve"> in these streams. </w:t>
      </w:r>
      <w:r w:rsidRPr="0054327F">
        <w:t>For these reasons and others explained in</w:t>
      </w:r>
      <w:r>
        <w:t xml:space="preserve"> </w:t>
      </w:r>
      <w:r>
        <w:fldChar w:fldCharType="begin"/>
      </w:r>
      <w:r>
        <w:instrText xml:space="preserve"> REF _Ref50645448 \h </w:instrText>
      </w:r>
      <w:r>
        <w:fldChar w:fldCharType="separate"/>
      </w:r>
      <w:r w:rsidR="004A78BF" w:rsidRPr="007D6043">
        <w:t xml:space="preserve">Table </w:t>
      </w:r>
      <w:r w:rsidR="004A78BF">
        <w:rPr>
          <w:noProof/>
        </w:rPr>
        <w:t>31</w:t>
      </w:r>
      <w:r>
        <w:fldChar w:fldCharType="end"/>
      </w:r>
      <w:r w:rsidRPr="0054327F">
        <w:t xml:space="preserve">, </w:t>
      </w:r>
      <w:r>
        <w:t xml:space="preserve">conductivity and total dissolved solids </w:t>
      </w:r>
      <w:r w:rsidRPr="0054327F">
        <w:t>w</w:t>
      </w:r>
      <w:r>
        <w:t>ere</w:t>
      </w:r>
      <w:r w:rsidRPr="0054327F">
        <w:t xml:space="preserve"> categorized as non-stressor</w:t>
      </w:r>
      <w:r>
        <w:t>s</w:t>
      </w:r>
      <w:r w:rsidRPr="0054327F">
        <w:t xml:space="preserve"> in </w:t>
      </w:r>
      <w:r>
        <w:t xml:space="preserve">Wolf Creek and Roanoke River (202.20). </w:t>
      </w:r>
    </w:p>
    <w:p w14:paraId="5B210BBF" w14:textId="1A0C8C2C" w:rsidR="005116F3" w:rsidRDefault="006700BF" w:rsidP="006700BF">
      <w:pPr>
        <w:pStyle w:val="BlockText"/>
      </w:pPr>
      <w:r>
        <w:t xml:space="preserve">In Tinker Creek and Roanoke River (198.08), total causal analysis scores were +2 and +1, respectively, indicating that conductivity and total dissolved solids are a possible stressor in these streams. Some evidence supported conductivity as a stressor, while other evidence refuted it. Median conductivity values were in the medium probability range for stressor effects, but values were lower than in the unimpaired stream reference. Biological Condition Gradient attribute analysis also ranked conductivity as a top two or three ranked </w:t>
      </w:r>
      <w:proofErr w:type="gramStart"/>
      <w:r>
        <w:t>stressor</w:t>
      </w:r>
      <w:proofErr w:type="gramEnd"/>
      <w:r>
        <w:t xml:space="preserve">, but conductivity was not significantly correlated across benthic stations. </w:t>
      </w:r>
      <w:r w:rsidRPr="0054327F">
        <w:t>For these reasons and others explained in</w:t>
      </w:r>
      <w:r>
        <w:t xml:space="preserve"> </w:t>
      </w:r>
      <w:r>
        <w:fldChar w:fldCharType="begin"/>
      </w:r>
      <w:r>
        <w:instrText xml:space="preserve"> REF _Ref50645448 \h </w:instrText>
      </w:r>
      <w:r>
        <w:fldChar w:fldCharType="separate"/>
      </w:r>
      <w:r w:rsidR="004A78BF" w:rsidRPr="007D6043">
        <w:t xml:space="preserve">Table </w:t>
      </w:r>
      <w:r w:rsidR="004A78BF">
        <w:rPr>
          <w:noProof/>
        </w:rPr>
        <w:t>31</w:t>
      </w:r>
      <w:r>
        <w:fldChar w:fldCharType="end"/>
      </w:r>
      <w:r w:rsidRPr="0054327F">
        <w:t>,</w:t>
      </w:r>
      <w:r>
        <w:t xml:space="preserve"> </w:t>
      </w:r>
      <w:r w:rsidRPr="007D6043">
        <w:t xml:space="preserve">conductivity and total dissolved solids were categorized as </w:t>
      </w:r>
      <w:r>
        <w:t>possible stressors</w:t>
      </w:r>
      <w:r w:rsidRPr="007D6043">
        <w:t xml:space="preserve"> in </w:t>
      </w:r>
      <w:r>
        <w:t>Tinker Creek and Roanoke River (198.08).</w:t>
      </w:r>
    </w:p>
    <w:p w14:paraId="1BE6ABA1" w14:textId="77777777" w:rsidR="006700BF" w:rsidRDefault="006700BF" w:rsidP="006700BF">
      <w:pPr>
        <w:pStyle w:val="BlockText"/>
      </w:pPr>
    </w:p>
    <w:p w14:paraId="57580ED7" w14:textId="63C9CBC0" w:rsidR="003B49F8" w:rsidRPr="007D6043" w:rsidRDefault="003B49F8" w:rsidP="003B49F8">
      <w:pPr>
        <w:pStyle w:val="Caption"/>
      </w:pPr>
      <w:bookmarkStart w:id="217" w:name="_Ref50645448"/>
      <w:bookmarkStart w:id="218" w:name="_Toc162948298"/>
      <w:r w:rsidRPr="007D6043">
        <w:t xml:space="preserve">Table </w:t>
      </w:r>
      <w:r w:rsidRPr="007D6043">
        <w:rPr>
          <w:noProof/>
        </w:rPr>
        <w:fldChar w:fldCharType="begin"/>
      </w:r>
      <w:r w:rsidRPr="007D6043">
        <w:rPr>
          <w:noProof/>
        </w:rPr>
        <w:instrText xml:space="preserve"> SEQ Table \* ARABIC </w:instrText>
      </w:r>
      <w:r w:rsidRPr="007D6043">
        <w:rPr>
          <w:noProof/>
        </w:rPr>
        <w:fldChar w:fldCharType="separate"/>
      </w:r>
      <w:r w:rsidR="004A78BF">
        <w:rPr>
          <w:noProof/>
        </w:rPr>
        <w:t>31</w:t>
      </w:r>
      <w:r w:rsidRPr="007D6043">
        <w:rPr>
          <w:noProof/>
        </w:rPr>
        <w:fldChar w:fldCharType="end"/>
      </w:r>
      <w:bookmarkEnd w:id="217"/>
      <w:r w:rsidRPr="007D6043">
        <w:t>. Causal analysis results for conductivity and dissolved solids.</w:t>
      </w:r>
      <w:bookmarkEnd w:id="218"/>
    </w:p>
    <w:tbl>
      <w:tblPr>
        <w:tblW w:w="9457"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7"/>
        <w:gridCol w:w="720"/>
        <w:gridCol w:w="720"/>
        <w:gridCol w:w="990"/>
        <w:gridCol w:w="990"/>
        <w:gridCol w:w="3600"/>
      </w:tblGrid>
      <w:tr w:rsidR="00250E0C" w:rsidRPr="007A0C83" w14:paraId="7226872B" w14:textId="77777777" w:rsidTr="009A553E">
        <w:trPr>
          <w:cantSplit/>
          <w:trHeight w:hRule="exact" w:val="1080"/>
        </w:trPr>
        <w:tc>
          <w:tcPr>
            <w:tcW w:w="2437" w:type="dxa"/>
            <w:shd w:val="clear" w:color="auto" w:fill="D9D9D9" w:themeFill="background1" w:themeFillShade="D9"/>
            <w:vAlign w:val="center"/>
          </w:tcPr>
          <w:p w14:paraId="74F7057E" w14:textId="77777777" w:rsidR="00250E0C" w:rsidRPr="00396EC1" w:rsidRDefault="00250E0C" w:rsidP="009A553E">
            <w:pPr>
              <w:jc w:val="center"/>
              <w:rPr>
                <w:rFonts w:ascii="Arial Narrow" w:hAnsi="Arial Narrow"/>
                <w:b/>
                <w:sz w:val="20"/>
                <w:szCs w:val="20"/>
              </w:rPr>
            </w:pPr>
            <w:r w:rsidRPr="00396EC1">
              <w:rPr>
                <w:rFonts w:ascii="Arial Narrow" w:hAnsi="Arial Narrow"/>
                <w:b/>
                <w:sz w:val="20"/>
                <w:szCs w:val="20"/>
              </w:rPr>
              <w:t>Evidence</w:t>
            </w:r>
          </w:p>
        </w:tc>
        <w:tc>
          <w:tcPr>
            <w:tcW w:w="720" w:type="dxa"/>
            <w:shd w:val="clear" w:color="auto" w:fill="D9D9D9" w:themeFill="background1" w:themeFillShade="D9"/>
            <w:vAlign w:val="center"/>
          </w:tcPr>
          <w:p w14:paraId="439AB898" w14:textId="77777777" w:rsidR="00250E0C" w:rsidRPr="00396EC1" w:rsidRDefault="00250E0C" w:rsidP="009A553E">
            <w:pPr>
              <w:jc w:val="center"/>
              <w:rPr>
                <w:rFonts w:ascii="Arial Narrow" w:hAnsi="Arial Narrow"/>
                <w:b/>
                <w:sz w:val="20"/>
                <w:szCs w:val="20"/>
              </w:rPr>
            </w:pPr>
            <w:r>
              <w:rPr>
                <w:rFonts w:ascii="Arial Narrow" w:hAnsi="Arial Narrow"/>
                <w:b/>
                <w:sz w:val="20"/>
                <w:szCs w:val="20"/>
              </w:rPr>
              <w:t>Wolf Creek</w:t>
            </w:r>
          </w:p>
        </w:tc>
        <w:tc>
          <w:tcPr>
            <w:tcW w:w="720" w:type="dxa"/>
            <w:shd w:val="clear" w:color="auto" w:fill="D9D9D9" w:themeFill="background1" w:themeFillShade="D9"/>
            <w:vAlign w:val="center"/>
          </w:tcPr>
          <w:p w14:paraId="21A888F2" w14:textId="77777777" w:rsidR="00250E0C" w:rsidRPr="00396EC1" w:rsidRDefault="00250E0C" w:rsidP="009A553E">
            <w:pPr>
              <w:jc w:val="center"/>
              <w:rPr>
                <w:rFonts w:ascii="Arial Narrow" w:hAnsi="Arial Narrow"/>
                <w:b/>
                <w:sz w:val="20"/>
                <w:szCs w:val="20"/>
              </w:rPr>
            </w:pPr>
            <w:r>
              <w:rPr>
                <w:rFonts w:ascii="Arial Narrow" w:hAnsi="Arial Narrow"/>
                <w:b/>
                <w:sz w:val="20"/>
                <w:szCs w:val="20"/>
              </w:rPr>
              <w:t>Tinker Creek</w:t>
            </w:r>
          </w:p>
        </w:tc>
        <w:tc>
          <w:tcPr>
            <w:tcW w:w="990" w:type="dxa"/>
            <w:shd w:val="clear" w:color="auto" w:fill="D9D9D9" w:themeFill="background1" w:themeFillShade="D9"/>
            <w:vAlign w:val="center"/>
          </w:tcPr>
          <w:p w14:paraId="599A6AB4" w14:textId="77777777" w:rsidR="00250E0C" w:rsidRPr="00396EC1" w:rsidRDefault="00250E0C" w:rsidP="009A553E">
            <w:pPr>
              <w:jc w:val="center"/>
              <w:rPr>
                <w:rFonts w:ascii="Arial Narrow" w:hAnsi="Arial Narrow"/>
                <w:b/>
                <w:sz w:val="20"/>
                <w:szCs w:val="20"/>
              </w:rPr>
            </w:pPr>
            <w:r>
              <w:rPr>
                <w:rFonts w:ascii="Arial Narrow" w:hAnsi="Arial Narrow"/>
                <w:b/>
                <w:sz w:val="20"/>
                <w:szCs w:val="20"/>
              </w:rPr>
              <w:t>Roanoke River (202.20)</w:t>
            </w:r>
          </w:p>
        </w:tc>
        <w:tc>
          <w:tcPr>
            <w:tcW w:w="990" w:type="dxa"/>
            <w:shd w:val="clear" w:color="auto" w:fill="D9D9D9" w:themeFill="background1" w:themeFillShade="D9"/>
            <w:vAlign w:val="center"/>
          </w:tcPr>
          <w:p w14:paraId="13FC5D7A" w14:textId="77777777" w:rsidR="00250E0C" w:rsidRPr="00396EC1" w:rsidRDefault="00250E0C" w:rsidP="009A553E">
            <w:pPr>
              <w:jc w:val="center"/>
              <w:rPr>
                <w:rFonts w:ascii="Arial Narrow" w:hAnsi="Arial Narrow"/>
                <w:b/>
                <w:sz w:val="20"/>
                <w:szCs w:val="20"/>
              </w:rPr>
            </w:pPr>
            <w:r>
              <w:rPr>
                <w:rFonts w:ascii="Arial Narrow" w:hAnsi="Arial Narrow"/>
                <w:b/>
                <w:sz w:val="20"/>
                <w:szCs w:val="20"/>
              </w:rPr>
              <w:t>Roanoke River (198.08)</w:t>
            </w:r>
          </w:p>
        </w:tc>
        <w:tc>
          <w:tcPr>
            <w:tcW w:w="3600" w:type="dxa"/>
            <w:shd w:val="clear" w:color="auto" w:fill="D9D9D9" w:themeFill="background1" w:themeFillShade="D9"/>
            <w:vAlign w:val="center"/>
          </w:tcPr>
          <w:p w14:paraId="539ABBE1" w14:textId="77777777" w:rsidR="00250E0C" w:rsidRPr="00613B31" w:rsidRDefault="00250E0C" w:rsidP="009A553E">
            <w:pPr>
              <w:jc w:val="center"/>
              <w:rPr>
                <w:rFonts w:ascii="Arial Narrow" w:hAnsi="Arial Narrow"/>
                <w:b/>
                <w:sz w:val="20"/>
                <w:szCs w:val="20"/>
              </w:rPr>
            </w:pPr>
            <w:r w:rsidRPr="00396EC1">
              <w:rPr>
                <w:rFonts w:ascii="Arial Narrow" w:hAnsi="Arial Narrow"/>
                <w:b/>
                <w:sz w:val="20"/>
                <w:szCs w:val="20"/>
              </w:rPr>
              <w:t>Explanation</w:t>
            </w:r>
          </w:p>
        </w:tc>
      </w:tr>
      <w:tr w:rsidR="003145C8" w:rsidRPr="007A0C83" w14:paraId="74F65C97" w14:textId="77777777" w:rsidTr="009A553E">
        <w:trPr>
          <w:trHeight w:val="247"/>
        </w:trPr>
        <w:tc>
          <w:tcPr>
            <w:tcW w:w="2437" w:type="dxa"/>
            <w:vAlign w:val="center"/>
          </w:tcPr>
          <w:p w14:paraId="4B1C740E" w14:textId="61D5BD4C" w:rsidR="003145C8" w:rsidRPr="003145C8" w:rsidRDefault="003145C8" w:rsidP="009A553E">
            <w:pPr>
              <w:jc w:val="left"/>
              <w:rPr>
                <w:rFonts w:ascii="Arial Narrow" w:hAnsi="Arial Narrow"/>
                <w:sz w:val="20"/>
                <w:szCs w:val="20"/>
                <w:highlight w:val="yellow"/>
              </w:rPr>
            </w:pPr>
            <w:r w:rsidRPr="003145C8">
              <w:rPr>
                <w:rFonts w:ascii="Arial Narrow" w:hAnsi="Arial Narrow" w:cs="Calibri"/>
                <w:color w:val="000000"/>
                <w:sz w:val="20"/>
                <w:szCs w:val="20"/>
              </w:rPr>
              <w:t>Spatial Co-occurrence</w:t>
            </w:r>
          </w:p>
        </w:tc>
        <w:tc>
          <w:tcPr>
            <w:tcW w:w="720" w:type="dxa"/>
            <w:vAlign w:val="center"/>
          </w:tcPr>
          <w:p w14:paraId="1D9D2B9C" w14:textId="2C127E6D" w:rsidR="003145C8" w:rsidRPr="003145C8" w:rsidRDefault="003145C8" w:rsidP="009A553E">
            <w:pPr>
              <w:jc w:val="center"/>
              <w:rPr>
                <w:rFonts w:ascii="Arial Narrow" w:hAnsi="Arial Narrow" w:cs="Calibri"/>
                <w:color w:val="000000"/>
                <w:sz w:val="20"/>
                <w:szCs w:val="20"/>
              </w:rPr>
            </w:pPr>
            <w:r w:rsidRPr="003145C8">
              <w:rPr>
                <w:rFonts w:ascii="Arial Narrow" w:hAnsi="Arial Narrow" w:cs="Calibri"/>
                <w:color w:val="000000"/>
                <w:sz w:val="20"/>
                <w:szCs w:val="20"/>
              </w:rPr>
              <w:t>-3</w:t>
            </w:r>
          </w:p>
        </w:tc>
        <w:tc>
          <w:tcPr>
            <w:tcW w:w="720" w:type="dxa"/>
            <w:vAlign w:val="center"/>
          </w:tcPr>
          <w:p w14:paraId="319EB014" w14:textId="0A205F30" w:rsidR="003145C8" w:rsidRPr="003145C8" w:rsidRDefault="003145C8" w:rsidP="009A553E">
            <w:pPr>
              <w:jc w:val="center"/>
              <w:rPr>
                <w:rFonts w:ascii="Arial Narrow" w:hAnsi="Arial Narrow" w:cs="Calibri"/>
                <w:color w:val="000000"/>
                <w:sz w:val="20"/>
                <w:szCs w:val="20"/>
              </w:rPr>
            </w:pPr>
            <w:r w:rsidRPr="003145C8">
              <w:rPr>
                <w:rFonts w:ascii="Arial Narrow" w:hAnsi="Arial Narrow" w:cs="Calibri"/>
                <w:color w:val="000000"/>
                <w:sz w:val="20"/>
                <w:szCs w:val="20"/>
              </w:rPr>
              <w:t>-2</w:t>
            </w:r>
          </w:p>
        </w:tc>
        <w:tc>
          <w:tcPr>
            <w:tcW w:w="990" w:type="dxa"/>
            <w:vAlign w:val="center"/>
          </w:tcPr>
          <w:p w14:paraId="2FD5AFC8" w14:textId="1E56BEA0" w:rsidR="003145C8" w:rsidRPr="003145C8" w:rsidRDefault="003145C8" w:rsidP="009A553E">
            <w:pPr>
              <w:jc w:val="center"/>
              <w:rPr>
                <w:rFonts w:ascii="Arial Narrow" w:hAnsi="Arial Narrow" w:cs="Calibri"/>
                <w:color w:val="000000"/>
                <w:sz w:val="20"/>
                <w:szCs w:val="20"/>
              </w:rPr>
            </w:pPr>
            <w:r w:rsidRPr="003145C8">
              <w:rPr>
                <w:rFonts w:ascii="Arial Narrow" w:hAnsi="Arial Narrow" w:cs="Calibri"/>
                <w:color w:val="000000"/>
                <w:sz w:val="20"/>
                <w:szCs w:val="20"/>
              </w:rPr>
              <w:t>-1</w:t>
            </w:r>
          </w:p>
        </w:tc>
        <w:tc>
          <w:tcPr>
            <w:tcW w:w="990" w:type="dxa"/>
            <w:vAlign w:val="center"/>
          </w:tcPr>
          <w:p w14:paraId="33C54E32" w14:textId="07DF089D" w:rsidR="003145C8" w:rsidRPr="003145C8" w:rsidRDefault="003145C8" w:rsidP="009A553E">
            <w:pPr>
              <w:jc w:val="center"/>
              <w:rPr>
                <w:rFonts w:ascii="Arial Narrow" w:hAnsi="Arial Narrow"/>
                <w:color w:val="000000"/>
                <w:sz w:val="20"/>
                <w:szCs w:val="20"/>
                <w:highlight w:val="yellow"/>
              </w:rPr>
            </w:pPr>
            <w:r w:rsidRPr="003145C8">
              <w:rPr>
                <w:rFonts w:ascii="Arial Narrow" w:hAnsi="Arial Narrow" w:cs="Calibri"/>
                <w:color w:val="000000"/>
                <w:sz w:val="20"/>
                <w:szCs w:val="20"/>
              </w:rPr>
              <w:t>1</w:t>
            </w:r>
          </w:p>
        </w:tc>
        <w:tc>
          <w:tcPr>
            <w:tcW w:w="3600" w:type="dxa"/>
            <w:vAlign w:val="center"/>
          </w:tcPr>
          <w:p w14:paraId="33559308" w14:textId="24F3CF66" w:rsidR="003145C8" w:rsidRPr="003145C8" w:rsidRDefault="003145C8" w:rsidP="009A553E">
            <w:pPr>
              <w:jc w:val="left"/>
              <w:rPr>
                <w:rFonts w:ascii="Arial Narrow" w:hAnsi="Arial Narrow"/>
                <w:color w:val="000000"/>
                <w:sz w:val="20"/>
                <w:szCs w:val="20"/>
                <w:highlight w:val="yellow"/>
              </w:rPr>
            </w:pPr>
            <w:r w:rsidRPr="003145C8">
              <w:rPr>
                <w:rFonts w:ascii="Arial Narrow" w:hAnsi="Arial Narrow" w:cs="Calibri"/>
                <w:color w:val="000000"/>
                <w:sz w:val="20"/>
                <w:szCs w:val="20"/>
              </w:rPr>
              <w:t>Conductivity was statistically higher at Roanoke River (198.08) than at the river reference. Conductivity was lower in Wolf Creek and Tinker Creek than in the stream reference.</w:t>
            </w:r>
          </w:p>
        </w:tc>
      </w:tr>
      <w:tr w:rsidR="003145C8" w:rsidRPr="007A0C83" w14:paraId="24DFE68F" w14:textId="77777777" w:rsidTr="009A553E">
        <w:trPr>
          <w:trHeight w:val="247"/>
        </w:trPr>
        <w:tc>
          <w:tcPr>
            <w:tcW w:w="2437" w:type="dxa"/>
            <w:vAlign w:val="center"/>
          </w:tcPr>
          <w:p w14:paraId="2A4B0006" w14:textId="10ECEAE5" w:rsidR="003145C8" w:rsidRPr="003145C8" w:rsidRDefault="003145C8" w:rsidP="009A553E">
            <w:pPr>
              <w:jc w:val="left"/>
              <w:rPr>
                <w:rFonts w:ascii="Arial Narrow" w:hAnsi="Arial Narrow"/>
                <w:sz w:val="20"/>
                <w:szCs w:val="20"/>
                <w:highlight w:val="yellow"/>
              </w:rPr>
            </w:pPr>
            <w:r w:rsidRPr="003145C8">
              <w:rPr>
                <w:rFonts w:ascii="Arial Narrow" w:hAnsi="Arial Narrow" w:cs="Calibri"/>
                <w:color w:val="000000"/>
                <w:sz w:val="20"/>
                <w:szCs w:val="20"/>
              </w:rPr>
              <w:t>Temporal Co-occurrence</w:t>
            </w:r>
          </w:p>
        </w:tc>
        <w:tc>
          <w:tcPr>
            <w:tcW w:w="720" w:type="dxa"/>
            <w:vAlign w:val="center"/>
          </w:tcPr>
          <w:p w14:paraId="1A4CA0B4" w14:textId="3FBAF2BB" w:rsidR="003145C8" w:rsidRPr="003145C8" w:rsidRDefault="003145C8" w:rsidP="009A553E">
            <w:pPr>
              <w:jc w:val="center"/>
              <w:rPr>
                <w:rFonts w:ascii="Arial Narrow" w:hAnsi="Arial Narrow" w:cs="Calibri"/>
                <w:color w:val="000000"/>
                <w:sz w:val="20"/>
                <w:szCs w:val="20"/>
              </w:rPr>
            </w:pPr>
            <w:r w:rsidRPr="003145C8">
              <w:rPr>
                <w:rFonts w:ascii="Arial Narrow" w:hAnsi="Arial Narrow" w:cs="Calibri"/>
                <w:color w:val="000000"/>
                <w:sz w:val="20"/>
                <w:szCs w:val="20"/>
              </w:rPr>
              <w:t>-3</w:t>
            </w:r>
          </w:p>
        </w:tc>
        <w:tc>
          <w:tcPr>
            <w:tcW w:w="720" w:type="dxa"/>
            <w:vAlign w:val="center"/>
          </w:tcPr>
          <w:p w14:paraId="08BDC78D" w14:textId="275E794B" w:rsidR="003145C8" w:rsidRPr="003145C8" w:rsidRDefault="003145C8" w:rsidP="009A553E">
            <w:pPr>
              <w:jc w:val="center"/>
              <w:rPr>
                <w:rFonts w:ascii="Arial Narrow" w:hAnsi="Arial Narrow" w:cs="Calibri"/>
                <w:color w:val="000000"/>
                <w:sz w:val="20"/>
                <w:szCs w:val="20"/>
              </w:rPr>
            </w:pPr>
            <w:r w:rsidRPr="003145C8">
              <w:rPr>
                <w:rFonts w:ascii="Arial Narrow" w:hAnsi="Arial Narrow" w:cs="Calibri"/>
                <w:color w:val="000000"/>
                <w:sz w:val="20"/>
                <w:szCs w:val="20"/>
              </w:rPr>
              <w:t>1</w:t>
            </w:r>
          </w:p>
        </w:tc>
        <w:tc>
          <w:tcPr>
            <w:tcW w:w="990" w:type="dxa"/>
            <w:vAlign w:val="center"/>
          </w:tcPr>
          <w:p w14:paraId="739D1B80" w14:textId="71728211" w:rsidR="003145C8" w:rsidRPr="003145C8" w:rsidRDefault="003145C8" w:rsidP="009A553E">
            <w:pPr>
              <w:jc w:val="center"/>
              <w:rPr>
                <w:rFonts w:ascii="Arial Narrow" w:hAnsi="Arial Narrow" w:cs="Calibri"/>
                <w:color w:val="000000"/>
                <w:sz w:val="20"/>
                <w:szCs w:val="20"/>
              </w:rPr>
            </w:pPr>
            <w:r w:rsidRPr="003145C8">
              <w:rPr>
                <w:rFonts w:ascii="Arial Narrow" w:hAnsi="Arial Narrow" w:cs="Calibri"/>
                <w:color w:val="000000"/>
                <w:sz w:val="20"/>
                <w:szCs w:val="20"/>
              </w:rPr>
              <w:t>-1</w:t>
            </w:r>
          </w:p>
        </w:tc>
        <w:tc>
          <w:tcPr>
            <w:tcW w:w="990" w:type="dxa"/>
            <w:vAlign w:val="center"/>
          </w:tcPr>
          <w:p w14:paraId="6D34EEF0" w14:textId="5834D6F3" w:rsidR="003145C8" w:rsidRPr="003145C8" w:rsidRDefault="003145C8" w:rsidP="009A553E">
            <w:pPr>
              <w:jc w:val="center"/>
              <w:rPr>
                <w:rFonts w:ascii="Arial Narrow" w:hAnsi="Arial Narrow"/>
                <w:color w:val="000000"/>
                <w:sz w:val="20"/>
                <w:szCs w:val="20"/>
                <w:highlight w:val="yellow"/>
              </w:rPr>
            </w:pPr>
            <w:r w:rsidRPr="003145C8">
              <w:rPr>
                <w:rFonts w:ascii="Arial Narrow" w:hAnsi="Arial Narrow" w:cs="Calibri"/>
                <w:color w:val="000000"/>
                <w:sz w:val="20"/>
                <w:szCs w:val="20"/>
              </w:rPr>
              <w:t>1</w:t>
            </w:r>
          </w:p>
        </w:tc>
        <w:tc>
          <w:tcPr>
            <w:tcW w:w="3600" w:type="dxa"/>
            <w:vAlign w:val="center"/>
          </w:tcPr>
          <w:p w14:paraId="22BF6DB1" w14:textId="3DF8777D" w:rsidR="003145C8" w:rsidRPr="003145C8" w:rsidRDefault="003145C8" w:rsidP="009A553E">
            <w:pPr>
              <w:jc w:val="left"/>
              <w:rPr>
                <w:rFonts w:ascii="Arial Narrow" w:hAnsi="Arial Narrow"/>
                <w:color w:val="000000"/>
                <w:sz w:val="20"/>
                <w:szCs w:val="20"/>
                <w:highlight w:val="yellow"/>
              </w:rPr>
            </w:pPr>
            <w:r w:rsidRPr="003145C8">
              <w:rPr>
                <w:rFonts w:ascii="Arial Narrow" w:hAnsi="Arial Narrow" w:cs="Calibri"/>
                <w:color w:val="000000"/>
                <w:sz w:val="20"/>
                <w:szCs w:val="20"/>
              </w:rPr>
              <w:t xml:space="preserve">At the time of impaired benthic sample collections, conductivity levels were in the high probability range for stress effects on one occasion in the Roanoke River (198.08) and two occasions in Tinker Creek. In Roanoke River (202.20), conductivity was in the low to medium probability range for stressor effects. In Wolf Creek, conductivity was consistently in the no probability range. </w:t>
            </w:r>
          </w:p>
        </w:tc>
      </w:tr>
      <w:tr w:rsidR="003145C8" w:rsidRPr="007A0C83" w14:paraId="1D024B6F" w14:textId="77777777" w:rsidTr="009A553E">
        <w:trPr>
          <w:trHeight w:val="247"/>
        </w:trPr>
        <w:tc>
          <w:tcPr>
            <w:tcW w:w="2437" w:type="dxa"/>
            <w:vAlign w:val="center"/>
          </w:tcPr>
          <w:p w14:paraId="3C9CCBD3" w14:textId="04145627" w:rsidR="003145C8" w:rsidRPr="003145C8" w:rsidRDefault="003145C8" w:rsidP="009A553E">
            <w:pPr>
              <w:jc w:val="left"/>
              <w:rPr>
                <w:rFonts w:ascii="Arial Narrow" w:hAnsi="Arial Narrow"/>
                <w:sz w:val="20"/>
                <w:szCs w:val="20"/>
                <w:highlight w:val="yellow"/>
              </w:rPr>
            </w:pPr>
            <w:r w:rsidRPr="003145C8">
              <w:rPr>
                <w:rFonts w:ascii="Arial Narrow" w:hAnsi="Arial Narrow" w:cs="Calibri"/>
                <w:sz w:val="20"/>
                <w:szCs w:val="20"/>
              </w:rPr>
              <w:t>Causal Pathway</w:t>
            </w:r>
          </w:p>
        </w:tc>
        <w:tc>
          <w:tcPr>
            <w:tcW w:w="720" w:type="dxa"/>
            <w:vAlign w:val="center"/>
          </w:tcPr>
          <w:p w14:paraId="66442941" w14:textId="14808CAF" w:rsidR="003145C8" w:rsidRPr="003145C8" w:rsidRDefault="003145C8" w:rsidP="009A553E">
            <w:pPr>
              <w:jc w:val="center"/>
              <w:rPr>
                <w:rFonts w:ascii="Arial Narrow" w:hAnsi="Arial Narrow" w:cs="Calibri"/>
                <w:color w:val="000000"/>
                <w:sz w:val="20"/>
                <w:szCs w:val="20"/>
              </w:rPr>
            </w:pPr>
            <w:r w:rsidRPr="003145C8">
              <w:rPr>
                <w:rFonts w:ascii="Arial Narrow" w:hAnsi="Arial Narrow" w:cs="Calibri"/>
                <w:sz w:val="20"/>
                <w:szCs w:val="20"/>
              </w:rPr>
              <w:t>1</w:t>
            </w:r>
          </w:p>
        </w:tc>
        <w:tc>
          <w:tcPr>
            <w:tcW w:w="720" w:type="dxa"/>
            <w:vAlign w:val="center"/>
          </w:tcPr>
          <w:p w14:paraId="5FEF8704" w14:textId="3500DA01" w:rsidR="003145C8" w:rsidRPr="003145C8" w:rsidRDefault="003145C8" w:rsidP="009A553E">
            <w:pPr>
              <w:jc w:val="center"/>
              <w:rPr>
                <w:rFonts w:ascii="Arial Narrow" w:hAnsi="Arial Narrow" w:cs="Calibri"/>
                <w:color w:val="000000"/>
                <w:sz w:val="20"/>
                <w:szCs w:val="20"/>
              </w:rPr>
            </w:pPr>
            <w:r w:rsidRPr="003145C8">
              <w:rPr>
                <w:rFonts w:ascii="Arial Narrow" w:hAnsi="Arial Narrow" w:cs="Calibri"/>
                <w:sz w:val="20"/>
                <w:szCs w:val="20"/>
              </w:rPr>
              <w:t>1</w:t>
            </w:r>
          </w:p>
        </w:tc>
        <w:tc>
          <w:tcPr>
            <w:tcW w:w="990" w:type="dxa"/>
            <w:vAlign w:val="center"/>
          </w:tcPr>
          <w:p w14:paraId="031B8D95" w14:textId="429898FC" w:rsidR="003145C8" w:rsidRPr="003145C8" w:rsidRDefault="003145C8" w:rsidP="009A553E">
            <w:pPr>
              <w:jc w:val="center"/>
              <w:rPr>
                <w:rFonts w:ascii="Arial Narrow" w:hAnsi="Arial Narrow" w:cs="Calibri"/>
                <w:color w:val="000000"/>
                <w:sz w:val="20"/>
                <w:szCs w:val="20"/>
              </w:rPr>
            </w:pPr>
            <w:r w:rsidRPr="003145C8">
              <w:rPr>
                <w:rFonts w:ascii="Arial Narrow" w:hAnsi="Arial Narrow" w:cs="Calibri"/>
                <w:sz w:val="20"/>
                <w:szCs w:val="20"/>
              </w:rPr>
              <w:t>1</w:t>
            </w:r>
          </w:p>
        </w:tc>
        <w:tc>
          <w:tcPr>
            <w:tcW w:w="990" w:type="dxa"/>
            <w:vAlign w:val="center"/>
          </w:tcPr>
          <w:p w14:paraId="53133A89" w14:textId="582A9BC7" w:rsidR="003145C8" w:rsidRPr="003145C8" w:rsidRDefault="003145C8" w:rsidP="009A553E">
            <w:pPr>
              <w:jc w:val="center"/>
              <w:rPr>
                <w:rFonts w:ascii="Arial Narrow" w:hAnsi="Arial Narrow"/>
                <w:color w:val="000000"/>
                <w:sz w:val="20"/>
                <w:szCs w:val="20"/>
                <w:highlight w:val="yellow"/>
              </w:rPr>
            </w:pPr>
            <w:r w:rsidRPr="003145C8">
              <w:rPr>
                <w:rFonts w:ascii="Arial Narrow" w:hAnsi="Arial Narrow" w:cs="Calibri"/>
                <w:sz w:val="20"/>
                <w:szCs w:val="20"/>
              </w:rPr>
              <w:t>1</w:t>
            </w:r>
          </w:p>
        </w:tc>
        <w:tc>
          <w:tcPr>
            <w:tcW w:w="3600" w:type="dxa"/>
            <w:vAlign w:val="center"/>
          </w:tcPr>
          <w:p w14:paraId="23B97676" w14:textId="215C2045" w:rsidR="003145C8" w:rsidRPr="003145C8" w:rsidRDefault="003145C8" w:rsidP="009A553E">
            <w:pPr>
              <w:jc w:val="left"/>
              <w:rPr>
                <w:rFonts w:ascii="Arial Narrow" w:hAnsi="Arial Narrow"/>
                <w:color w:val="000000"/>
                <w:sz w:val="20"/>
                <w:szCs w:val="20"/>
                <w:highlight w:val="yellow"/>
              </w:rPr>
            </w:pPr>
            <w:r w:rsidRPr="003145C8">
              <w:rPr>
                <w:rFonts w:ascii="Arial Narrow" w:hAnsi="Arial Narrow" w:cs="Calibri"/>
                <w:sz w:val="20"/>
                <w:szCs w:val="20"/>
              </w:rPr>
              <w:t xml:space="preserve">The causal pathway from imperviousness to runoff of roadway deicing salts is intact for all streams. </w:t>
            </w:r>
          </w:p>
        </w:tc>
      </w:tr>
      <w:tr w:rsidR="003145C8" w:rsidRPr="007A0C83" w14:paraId="1CAB839E" w14:textId="77777777" w:rsidTr="009A553E">
        <w:trPr>
          <w:trHeight w:val="247"/>
        </w:trPr>
        <w:tc>
          <w:tcPr>
            <w:tcW w:w="2437" w:type="dxa"/>
            <w:vAlign w:val="center"/>
          </w:tcPr>
          <w:p w14:paraId="7C14AE7F" w14:textId="72FCE7A6" w:rsidR="003145C8" w:rsidRPr="003145C8" w:rsidRDefault="003145C8" w:rsidP="009A553E">
            <w:pPr>
              <w:jc w:val="left"/>
              <w:rPr>
                <w:rFonts w:ascii="Arial Narrow" w:hAnsi="Arial Narrow"/>
                <w:sz w:val="20"/>
                <w:szCs w:val="20"/>
                <w:highlight w:val="yellow"/>
              </w:rPr>
            </w:pPr>
            <w:r w:rsidRPr="003145C8">
              <w:rPr>
                <w:rFonts w:ascii="Arial Narrow" w:hAnsi="Arial Narrow" w:cs="Calibri"/>
                <w:color w:val="000000"/>
                <w:sz w:val="20"/>
                <w:szCs w:val="20"/>
              </w:rPr>
              <w:t>Stressor-Response Relationships from the Field</w:t>
            </w:r>
          </w:p>
        </w:tc>
        <w:tc>
          <w:tcPr>
            <w:tcW w:w="720" w:type="dxa"/>
            <w:vAlign w:val="center"/>
          </w:tcPr>
          <w:p w14:paraId="407741C9" w14:textId="6CB56933" w:rsidR="003145C8" w:rsidRPr="003145C8" w:rsidRDefault="003145C8" w:rsidP="009A553E">
            <w:pPr>
              <w:jc w:val="center"/>
              <w:rPr>
                <w:rFonts w:ascii="Arial Narrow" w:hAnsi="Arial Narrow" w:cs="Calibri"/>
                <w:color w:val="000000"/>
                <w:sz w:val="20"/>
                <w:szCs w:val="20"/>
              </w:rPr>
            </w:pPr>
            <w:r w:rsidRPr="003145C8">
              <w:rPr>
                <w:rFonts w:ascii="Arial Narrow" w:hAnsi="Arial Narrow" w:cs="Calibri"/>
                <w:color w:val="000000"/>
                <w:sz w:val="20"/>
                <w:szCs w:val="20"/>
              </w:rPr>
              <w:t>-2</w:t>
            </w:r>
          </w:p>
        </w:tc>
        <w:tc>
          <w:tcPr>
            <w:tcW w:w="720" w:type="dxa"/>
            <w:vAlign w:val="center"/>
          </w:tcPr>
          <w:p w14:paraId="3A239B67" w14:textId="1ECA4127" w:rsidR="003145C8" w:rsidRPr="003145C8" w:rsidRDefault="003145C8" w:rsidP="009A553E">
            <w:pPr>
              <w:jc w:val="center"/>
              <w:rPr>
                <w:rFonts w:ascii="Arial Narrow" w:hAnsi="Arial Narrow" w:cs="Calibri"/>
                <w:color w:val="000000"/>
                <w:sz w:val="20"/>
                <w:szCs w:val="20"/>
              </w:rPr>
            </w:pPr>
            <w:r w:rsidRPr="003145C8">
              <w:rPr>
                <w:rFonts w:ascii="Arial Narrow" w:hAnsi="Arial Narrow" w:cs="Calibri"/>
                <w:color w:val="000000"/>
                <w:sz w:val="20"/>
                <w:szCs w:val="20"/>
              </w:rPr>
              <w:t>-2</w:t>
            </w:r>
          </w:p>
        </w:tc>
        <w:tc>
          <w:tcPr>
            <w:tcW w:w="990" w:type="dxa"/>
            <w:vAlign w:val="center"/>
          </w:tcPr>
          <w:p w14:paraId="030DA107" w14:textId="31F754F7" w:rsidR="003145C8" w:rsidRPr="003145C8" w:rsidRDefault="003145C8" w:rsidP="009A553E">
            <w:pPr>
              <w:jc w:val="center"/>
              <w:rPr>
                <w:rFonts w:ascii="Arial Narrow" w:hAnsi="Arial Narrow" w:cs="Calibri"/>
                <w:color w:val="000000"/>
                <w:sz w:val="20"/>
                <w:szCs w:val="20"/>
              </w:rPr>
            </w:pPr>
            <w:r w:rsidRPr="003145C8">
              <w:rPr>
                <w:rFonts w:ascii="Arial Narrow" w:hAnsi="Arial Narrow" w:cs="Calibri"/>
                <w:color w:val="000000"/>
                <w:sz w:val="20"/>
                <w:szCs w:val="20"/>
              </w:rPr>
              <w:t>-2</w:t>
            </w:r>
          </w:p>
        </w:tc>
        <w:tc>
          <w:tcPr>
            <w:tcW w:w="990" w:type="dxa"/>
            <w:vAlign w:val="center"/>
          </w:tcPr>
          <w:p w14:paraId="3CE73E85" w14:textId="608E2EE0" w:rsidR="003145C8" w:rsidRPr="003145C8" w:rsidRDefault="003145C8" w:rsidP="009A553E">
            <w:pPr>
              <w:jc w:val="center"/>
              <w:rPr>
                <w:rFonts w:ascii="Arial Narrow" w:hAnsi="Arial Narrow"/>
                <w:color w:val="000000"/>
                <w:sz w:val="20"/>
                <w:szCs w:val="20"/>
                <w:highlight w:val="yellow"/>
              </w:rPr>
            </w:pPr>
            <w:r w:rsidRPr="003145C8">
              <w:rPr>
                <w:rFonts w:ascii="Arial Narrow" w:hAnsi="Arial Narrow" w:cs="Calibri"/>
                <w:color w:val="000000"/>
                <w:sz w:val="20"/>
                <w:szCs w:val="20"/>
              </w:rPr>
              <w:t>-2</w:t>
            </w:r>
          </w:p>
        </w:tc>
        <w:tc>
          <w:tcPr>
            <w:tcW w:w="3600" w:type="dxa"/>
            <w:vAlign w:val="center"/>
          </w:tcPr>
          <w:p w14:paraId="0E5637E8" w14:textId="7D799274" w:rsidR="003145C8" w:rsidRPr="003145C8" w:rsidRDefault="003145C8" w:rsidP="009A553E">
            <w:pPr>
              <w:jc w:val="left"/>
              <w:rPr>
                <w:rFonts w:ascii="Arial Narrow" w:hAnsi="Arial Narrow"/>
                <w:color w:val="000000"/>
                <w:sz w:val="20"/>
                <w:szCs w:val="20"/>
                <w:highlight w:val="yellow"/>
              </w:rPr>
            </w:pPr>
            <w:r w:rsidRPr="003145C8">
              <w:rPr>
                <w:rFonts w:ascii="Arial Narrow" w:hAnsi="Arial Narrow" w:cs="Calibri"/>
                <w:color w:val="000000"/>
                <w:sz w:val="20"/>
                <w:szCs w:val="20"/>
              </w:rPr>
              <w:t>Conductivity was not significantly correlated with SCI scores across sites.</w:t>
            </w:r>
          </w:p>
        </w:tc>
      </w:tr>
      <w:tr w:rsidR="003145C8" w:rsidRPr="007A0C83" w14:paraId="71FFF389" w14:textId="77777777" w:rsidTr="009A553E">
        <w:trPr>
          <w:trHeight w:val="247"/>
        </w:trPr>
        <w:tc>
          <w:tcPr>
            <w:tcW w:w="2437" w:type="dxa"/>
            <w:vAlign w:val="center"/>
          </w:tcPr>
          <w:p w14:paraId="7AE5110C" w14:textId="28E7D4FF" w:rsidR="003145C8" w:rsidRPr="003145C8" w:rsidRDefault="003145C8" w:rsidP="009A553E">
            <w:pPr>
              <w:jc w:val="left"/>
              <w:rPr>
                <w:rFonts w:ascii="Arial Narrow" w:hAnsi="Arial Narrow" w:cs="Calibri"/>
                <w:b/>
                <w:bCs/>
                <w:color w:val="000000"/>
                <w:sz w:val="20"/>
                <w:szCs w:val="20"/>
                <w:highlight w:val="yellow"/>
              </w:rPr>
            </w:pPr>
            <w:r w:rsidRPr="003145C8">
              <w:rPr>
                <w:rFonts w:ascii="Arial Narrow" w:hAnsi="Arial Narrow" w:cs="Calibri"/>
                <w:color w:val="000000"/>
                <w:sz w:val="20"/>
                <w:szCs w:val="20"/>
              </w:rPr>
              <w:t>Laboratory Tests of Site Media</w:t>
            </w:r>
          </w:p>
        </w:tc>
        <w:tc>
          <w:tcPr>
            <w:tcW w:w="720" w:type="dxa"/>
            <w:vAlign w:val="center"/>
          </w:tcPr>
          <w:p w14:paraId="40CBF298" w14:textId="60E30184" w:rsidR="003145C8" w:rsidRPr="003145C8" w:rsidRDefault="003145C8" w:rsidP="009A553E">
            <w:pPr>
              <w:jc w:val="center"/>
              <w:rPr>
                <w:rFonts w:ascii="Arial Narrow" w:hAnsi="Arial Narrow" w:cs="Calibri"/>
                <w:color w:val="000000"/>
                <w:sz w:val="20"/>
                <w:szCs w:val="20"/>
              </w:rPr>
            </w:pPr>
            <w:r w:rsidRPr="003145C8">
              <w:rPr>
                <w:rFonts w:ascii="Arial Narrow" w:hAnsi="Arial Narrow" w:cs="Calibri"/>
                <w:color w:val="000000"/>
                <w:sz w:val="20"/>
                <w:szCs w:val="20"/>
              </w:rPr>
              <w:t>0</w:t>
            </w:r>
          </w:p>
        </w:tc>
        <w:tc>
          <w:tcPr>
            <w:tcW w:w="720" w:type="dxa"/>
            <w:vAlign w:val="center"/>
          </w:tcPr>
          <w:p w14:paraId="6B268729" w14:textId="7FBE1EB5" w:rsidR="003145C8" w:rsidRPr="003145C8" w:rsidRDefault="003145C8" w:rsidP="009A553E">
            <w:pPr>
              <w:jc w:val="center"/>
              <w:rPr>
                <w:rFonts w:ascii="Arial Narrow" w:hAnsi="Arial Narrow" w:cs="Calibri"/>
                <w:color w:val="000000"/>
                <w:sz w:val="20"/>
                <w:szCs w:val="20"/>
              </w:rPr>
            </w:pPr>
            <w:r w:rsidRPr="003145C8">
              <w:rPr>
                <w:rFonts w:ascii="Arial Narrow" w:hAnsi="Arial Narrow" w:cs="Calibri"/>
                <w:color w:val="000000"/>
                <w:sz w:val="20"/>
                <w:szCs w:val="20"/>
              </w:rPr>
              <w:t>0</w:t>
            </w:r>
          </w:p>
        </w:tc>
        <w:tc>
          <w:tcPr>
            <w:tcW w:w="990" w:type="dxa"/>
            <w:vAlign w:val="center"/>
          </w:tcPr>
          <w:p w14:paraId="401C16D9" w14:textId="3BAD0C53" w:rsidR="003145C8" w:rsidRPr="003145C8" w:rsidRDefault="003145C8" w:rsidP="009A553E">
            <w:pPr>
              <w:jc w:val="center"/>
              <w:rPr>
                <w:rFonts w:ascii="Arial Narrow" w:hAnsi="Arial Narrow" w:cs="Calibri"/>
                <w:color w:val="000000"/>
                <w:sz w:val="20"/>
                <w:szCs w:val="20"/>
              </w:rPr>
            </w:pPr>
            <w:r w:rsidRPr="003145C8">
              <w:rPr>
                <w:rFonts w:ascii="Arial Narrow" w:hAnsi="Arial Narrow" w:cs="Calibri"/>
                <w:color w:val="000000"/>
                <w:sz w:val="20"/>
                <w:szCs w:val="20"/>
              </w:rPr>
              <w:t>-2</w:t>
            </w:r>
          </w:p>
        </w:tc>
        <w:tc>
          <w:tcPr>
            <w:tcW w:w="990" w:type="dxa"/>
            <w:vAlign w:val="center"/>
          </w:tcPr>
          <w:p w14:paraId="10A54C7D" w14:textId="78BEAEAE" w:rsidR="003145C8" w:rsidRPr="003145C8" w:rsidRDefault="003145C8" w:rsidP="009A553E">
            <w:pPr>
              <w:jc w:val="center"/>
              <w:rPr>
                <w:rFonts w:ascii="Arial Narrow" w:hAnsi="Arial Narrow" w:cs="Calibri"/>
                <w:b/>
                <w:color w:val="000000"/>
                <w:sz w:val="20"/>
                <w:szCs w:val="20"/>
                <w:highlight w:val="yellow"/>
              </w:rPr>
            </w:pPr>
            <w:r w:rsidRPr="003145C8">
              <w:rPr>
                <w:rFonts w:ascii="Arial Narrow" w:hAnsi="Arial Narrow" w:cs="Calibri"/>
                <w:color w:val="000000"/>
                <w:sz w:val="20"/>
                <w:szCs w:val="20"/>
              </w:rPr>
              <w:t>-2</w:t>
            </w:r>
          </w:p>
        </w:tc>
        <w:tc>
          <w:tcPr>
            <w:tcW w:w="3600" w:type="dxa"/>
            <w:vAlign w:val="center"/>
          </w:tcPr>
          <w:p w14:paraId="30742018" w14:textId="464043F2" w:rsidR="003145C8" w:rsidRPr="003145C8" w:rsidRDefault="003145C8" w:rsidP="009A553E">
            <w:pPr>
              <w:jc w:val="left"/>
              <w:rPr>
                <w:rFonts w:ascii="Arial Narrow" w:hAnsi="Arial Narrow"/>
                <w:color w:val="000000"/>
                <w:sz w:val="20"/>
                <w:szCs w:val="20"/>
                <w:highlight w:val="yellow"/>
              </w:rPr>
            </w:pPr>
            <w:r w:rsidRPr="003145C8">
              <w:rPr>
                <w:rFonts w:ascii="Arial Narrow" w:hAnsi="Arial Narrow" w:cs="Calibri"/>
                <w:color w:val="000000"/>
                <w:sz w:val="20"/>
                <w:szCs w:val="20"/>
              </w:rPr>
              <w:t xml:space="preserve">No toxicity (in IC25 endpoints) was observed in C. </w:t>
            </w:r>
            <w:proofErr w:type="spellStart"/>
            <w:r w:rsidRPr="003145C8">
              <w:rPr>
                <w:rFonts w:ascii="Arial Narrow" w:hAnsi="Arial Narrow" w:cs="Calibri"/>
                <w:color w:val="000000"/>
                <w:sz w:val="20"/>
                <w:szCs w:val="20"/>
              </w:rPr>
              <w:t>dubia</w:t>
            </w:r>
            <w:proofErr w:type="spellEnd"/>
            <w:r w:rsidRPr="003145C8">
              <w:rPr>
                <w:rFonts w:ascii="Arial Narrow" w:hAnsi="Arial Narrow" w:cs="Calibri"/>
                <w:color w:val="000000"/>
                <w:sz w:val="20"/>
                <w:szCs w:val="20"/>
              </w:rPr>
              <w:t xml:space="preserve"> and P. </w:t>
            </w:r>
            <w:proofErr w:type="spellStart"/>
            <w:r w:rsidRPr="003145C8">
              <w:rPr>
                <w:rFonts w:ascii="Arial Narrow" w:hAnsi="Arial Narrow" w:cs="Calibri"/>
                <w:color w:val="000000"/>
                <w:sz w:val="20"/>
                <w:szCs w:val="20"/>
              </w:rPr>
              <w:t>promelas</w:t>
            </w:r>
            <w:proofErr w:type="spellEnd"/>
            <w:r w:rsidRPr="003145C8">
              <w:rPr>
                <w:rFonts w:ascii="Arial Narrow" w:hAnsi="Arial Narrow" w:cs="Calibri"/>
                <w:color w:val="000000"/>
                <w:sz w:val="20"/>
                <w:szCs w:val="20"/>
              </w:rPr>
              <w:t xml:space="preserve"> laboratory toxicity testing of Roanoke River samples.</w:t>
            </w:r>
          </w:p>
        </w:tc>
      </w:tr>
      <w:tr w:rsidR="003145C8" w:rsidRPr="007A0C83" w14:paraId="79567338" w14:textId="77777777" w:rsidTr="009A553E">
        <w:trPr>
          <w:trHeight w:val="247"/>
        </w:trPr>
        <w:tc>
          <w:tcPr>
            <w:tcW w:w="2437" w:type="dxa"/>
            <w:vAlign w:val="center"/>
          </w:tcPr>
          <w:p w14:paraId="032EBF2A" w14:textId="5A8900D2" w:rsidR="003145C8" w:rsidRPr="003145C8" w:rsidRDefault="003145C8" w:rsidP="009A553E">
            <w:pPr>
              <w:jc w:val="left"/>
              <w:rPr>
                <w:rFonts w:ascii="Arial Narrow" w:hAnsi="Arial Narrow" w:cs="Calibri"/>
                <w:b/>
                <w:bCs/>
                <w:color w:val="000000"/>
                <w:sz w:val="20"/>
                <w:szCs w:val="20"/>
                <w:highlight w:val="yellow"/>
              </w:rPr>
            </w:pPr>
            <w:r w:rsidRPr="003145C8">
              <w:rPr>
                <w:rFonts w:ascii="Arial Narrow" w:hAnsi="Arial Narrow" w:cs="Calibri"/>
                <w:color w:val="000000"/>
                <w:sz w:val="20"/>
                <w:szCs w:val="20"/>
              </w:rPr>
              <w:t>Temporal Sequence</w:t>
            </w:r>
          </w:p>
        </w:tc>
        <w:tc>
          <w:tcPr>
            <w:tcW w:w="720" w:type="dxa"/>
            <w:vAlign w:val="center"/>
          </w:tcPr>
          <w:p w14:paraId="3368736B" w14:textId="4D551AB5" w:rsidR="003145C8" w:rsidRPr="003145C8" w:rsidRDefault="003145C8" w:rsidP="009A553E">
            <w:pPr>
              <w:jc w:val="center"/>
              <w:rPr>
                <w:rFonts w:ascii="Arial Narrow" w:hAnsi="Arial Narrow" w:cs="Calibri"/>
                <w:color w:val="000000"/>
                <w:sz w:val="20"/>
                <w:szCs w:val="20"/>
              </w:rPr>
            </w:pPr>
            <w:r w:rsidRPr="003145C8">
              <w:rPr>
                <w:rFonts w:ascii="Arial Narrow" w:hAnsi="Arial Narrow" w:cs="Calibri"/>
                <w:sz w:val="20"/>
                <w:szCs w:val="20"/>
              </w:rPr>
              <w:t>-2</w:t>
            </w:r>
          </w:p>
        </w:tc>
        <w:tc>
          <w:tcPr>
            <w:tcW w:w="720" w:type="dxa"/>
            <w:vAlign w:val="center"/>
          </w:tcPr>
          <w:p w14:paraId="49209C73" w14:textId="57B40E22" w:rsidR="003145C8" w:rsidRPr="003145C8" w:rsidRDefault="003145C8" w:rsidP="009A553E">
            <w:pPr>
              <w:jc w:val="center"/>
              <w:rPr>
                <w:rFonts w:ascii="Arial Narrow" w:hAnsi="Arial Narrow" w:cs="Calibri"/>
                <w:color w:val="000000"/>
                <w:sz w:val="20"/>
                <w:szCs w:val="20"/>
              </w:rPr>
            </w:pPr>
            <w:r w:rsidRPr="003145C8">
              <w:rPr>
                <w:rFonts w:ascii="Arial Narrow" w:hAnsi="Arial Narrow" w:cs="Calibri"/>
                <w:sz w:val="20"/>
                <w:szCs w:val="20"/>
              </w:rPr>
              <w:t>1</w:t>
            </w:r>
          </w:p>
        </w:tc>
        <w:tc>
          <w:tcPr>
            <w:tcW w:w="990" w:type="dxa"/>
            <w:vAlign w:val="center"/>
          </w:tcPr>
          <w:p w14:paraId="031ECAB0" w14:textId="59E632B1" w:rsidR="003145C8" w:rsidRPr="003145C8" w:rsidRDefault="003145C8" w:rsidP="009A553E">
            <w:pPr>
              <w:jc w:val="center"/>
              <w:rPr>
                <w:rFonts w:ascii="Arial Narrow" w:hAnsi="Arial Narrow" w:cs="Calibri"/>
                <w:color w:val="000000"/>
                <w:sz w:val="20"/>
                <w:szCs w:val="20"/>
              </w:rPr>
            </w:pPr>
            <w:r w:rsidRPr="003145C8">
              <w:rPr>
                <w:rFonts w:ascii="Arial Narrow" w:hAnsi="Arial Narrow" w:cs="Calibri"/>
                <w:sz w:val="20"/>
                <w:szCs w:val="20"/>
              </w:rPr>
              <w:t>1</w:t>
            </w:r>
          </w:p>
        </w:tc>
        <w:tc>
          <w:tcPr>
            <w:tcW w:w="990" w:type="dxa"/>
            <w:vAlign w:val="center"/>
          </w:tcPr>
          <w:p w14:paraId="4F526C6C" w14:textId="29B43CD1" w:rsidR="003145C8" w:rsidRPr="003145C8" w:rsidRDefault="003145C8" w:rsidP="009A553E">
            <w:pPr>
              <w:jc w:val="center"/>
              <w:rPr>
                <w:rFonts w:ascii="Arial Narrow" w:hAnsi="Arial Narrow" w:cs="Calibri"/>
                <w:b/>
                <w:color w:val="000000"/>
                <w:sz w:val="20"/>
                <w:szCs w:val="20"/>
                <w:highlight w:val="yellow"/>
              </w:rPr>
            </w:pPr>
            <w:r w:rsidRPr="003145C8">
              <w:rPr>
                <w:rFonts w:ascii="Arial Narrow" w:hAnsi="Arial Narrow" w:cs="Calibri"/>
                <w:sz w:val="20"/>
                <w:szCs w:val="20"/>
              </w:rPr>
              <w:t>1</w:t>
            </w:r>
          </w:p>
        </w:tc>
        <w:tc>
          <w:tcPr>
            <w:tcW w:w="3600" w:type="dxa"/>
            <w:vAlign w:val="center"/>
          </w:tcPr>
          <w:p w14:paraId="281644B4" w14:textId="1A3079D8" w:rsidR="003145C8" w:rsidRPr="003145C8" w:rsidRDefault="003145C8" w:rsidP="009A553E">
            <w:pPr>
              <w:jc w:val="left"/>
              <w:rPr>
                <w:rFonts w:ascii="Arial Narrow" w:hAnsi="Arial Narrow"/>
                <w:color w:val="000000"/>
                <w:sz w:val="20"/>
                <w:szCs w:val="20"/>
                <w:highlight w:val="yellow"/>
              </w:rPr>
            </w:pPr>
            <w:r w:rsidRPr="003145C8">
              <w:rPr>
                <w:rFonts w:ascii="Arial Narrow" w:hAnsi="Arial Narrow" w:cs="Calibri"/>
                <w:color w:val="000000"/>
                <w:sz w:val="20"/>
                <w:szCs w:val="20"/>
              </w:rPr>
              <w:t xml:space="preserve">Spring SCI scores were lower than fall scores in each impaired stream, and conductivity peaks in Tinker Creek and the Roanoke River were highest in the winter prior to spring benthic collections. In Wolf Creek, conductivity was consistently low. </w:t>
            </w:r>
          </w:p>
        </w:tc>
      </w:tr>
      <w:tr w:rsidR="003145C8" w:rsidRPr="007A0C83" w14:paraId="115162B0" w14:textId="77777777" w:rsidTr="009A553E">
        <w:trPr>
          <w:trHeight w:val="247"/>
        </w:trPr>
        <w:tc>
          <w:tcPr>
            <w:tcW w:w="2437" w:type="dxa"/>
            <w:vAlign w:val="center"/>
          </w:tcPr>
          <w:p w14:paraId="048F36A4" w14:textId="4EDE7388" w:rsidR="003145C8" w:rsidRPr="003145C8" w:rsidRDefault="003145C8" w:rsidP="009A553E">
            <w:pPr>
              <w:jc w:val="left"/>
              <w:rPr>
                <w:rFonts w:ascii="Arial Narrow" w:hAnsi="Arial Narrow" w:cs="Calibri"/>
                <w:b/>
                <w:bCs/>
                <w:color w:val="000000"/>
                <w:sz w:val="20"/>
                <w:szCs w:val="20"/>
                <w:highlight w:val="yellow"/>
              </w:rPr>
            </w:pPr>
            <w:r w:rsidRPr="003145C8">
              <w:rPr>
                <w:rFonts w:ascii="Arial Narrow" w:hAnsi="Arial Narrow" w:cs="Calibri"/>
                <w:color w:val="000000"/>
                <w:sz w:val="20"/>
                <w:szCs w:val="20"/>
              </w:rPr>
              <w:t>Symptoms</w:t>
            </w:r>
          </w:p>
        </w:tc>
        <w:tc>
          <w:tcPr>
            <w:tcW w:w="720" w:type="dxa"/>
            <w:vAlign w:val="center"/>
          </w:tcPr>
          <w:p w14:paraId="052FD878" w14:textId="47030E29" w:rsidR="003145C8" w:rsidRPr="003145C8" w:rsidRDefault="003145C8" w:rsidP="009A553E">
            <w:pPr>
              <w:jc w:val="center"/>
              <w:rPr>
                <w:rFonts w:ascii="Arial Narrow" w:hAnsi="Arial Narrow" w:cs="Calibri"/>
                <w:b/>
                <w:color w:val="000000"/>
                <w:sz w:val="20"/>
                <w:szCs w:val="20"/>
              </w:rPr>
            </w:pPr>
            <w:r w:rsidRPr="003145C8">
              <w:rPr>
                <w:rFonts w:ascii="Arial Narrow" w:hAnsi="Arial Narrow" w:cs="Calibri"/>
                <w:sz w:val="20"/>
                <w:szCs w:val="20"/>
              </w:rPr>
              <w:t>1</w:t>
            </w:r>
          </w:p>
        </w:tc>
        <w:tc>
          <w:tcPr>
            <w:tcW w:w="720" w:type="dxa"/>
            <w:vAlign w:val="center"/>
          </w:tcPr>
          <w:p w14:paraId="1790317D" w14:textId="5B4307FF" w:rsidR="003145C8" w:rsidRPr="003145C8" w:rsidRDefault="003145C8" w:rsidP="009A553E">
            <w:pPr>
              <w:jc w:val="center"/>
              <w:rPr>
                <w:rFonts w:ascii="Arial Narrow" w:hAnsi="Arial Narrow" w:cs="Calibri"/>
                <w:b/>
                <w:color w:val="000000"/>
                <w:sz w:val="20"/>
                <w:szCs w:val="20"/>
              </w:rPr>
            </w:pPr>
            <w:r w:rsidRPr="003145C8">
              <w:rPr>
                <w:rFonts w:ascii="Arial Narrow" w:hAnsi="Arial Narrow" w:cs="Calibri"/>
                <w:sz w:val="20"/>
                <w:szCs w:val="20"/>
              </w:rPr>
              <w:t>1</w:t>
            </w:r>
          </w:p>
        </w:tc>
        <w:tc>
          <w:tcPr>
            <w:tcW w:w="990" w:type="dxa"/>
            <w:vAlign w:val="center"/>
          </w:tcPr>
          <w:p w14:paraId="11C73D3D" w14:textId="359697F4" w:rsidR="003145C8" w:rsidRPr="003145C8" w:rsidRDefault="003145C8" w:rsidP="009A553E">
            <w:pPr>
              <w:jc w:val="center"/>
              <w:rPr>
                <w:rFonts w:ascii="Arial Narrow" w:hAnsi="Arial Narrow" w:cs="Calibri"/>
                <w:b/>
                <w:color w:val="000000"/>
                <w:sz w:val="20"/>
                <w:szCs w:val="20"/>
              </w:rPr>
            </w:pPr>
            <w:r w:rsidRPr="003145C8">
              <w:rPr>
                <w:rFonts w:ascii="Arial Narrow" w:hAnsi="Arial Narrow" w:cs="Calibri"/>
                <w:sz w:val="20"/>
                <w:szCs w:val="20"/>
              </w:rPr>
              <w:t>-1</w:t>
            </w:r>
          </w:p>
        </w:tc>
        <w:tc>
          <w:tcPr>
            <w:tcW w:w="990" w:type="dxa"/>
            <w:vAlign w:val="center"/>
          </w:tcPr>
          <w:p w14:paraId="238502D0" w14:textId="6D504F11" w:rsidR="003145C8" w:rsidRPr="003145C8" w:rsidRDefault="003145C8" w:rsidP="009A553E">
            <w:pPr>
              <w:jc w:val="center"/>
              <w:rPr>
                <w:rFonts w:ascii="Arial Narrow" w:hAnsi="Arial Narrow" w:cs="Calibri"/>
                <w:b/>
                <w:color w:val="000000"/>
                <w:sz w:val="20"/>
                <w:szCs w:val="20"/>
                <w:highlight w:val="yellow"/>
              </w:rPr>
            </w:pPr>
            <w:r w:rsidRPr="003145C8">
              <w:rPr>
                <w:rFonts w:ascii="Arial Narrow" w:hAnsi="Arial Narrow" w:cs="Calibri"/>
                <w:sz w:val="20"/>
                <w:szCs w:val="20"/>
              </w:rPr>
              <w:t>1</w:t>
            </w:r>
          </w:p>
        </w:tc>
        <w:tc>
          <w:tcPr>
            <w:tcW w:w="3600" w:type="dxa"/>
            <w:vAlign w:val="center"/>
          </w:tcPr>
          <w:p w14:paraId="40C99B23" w14:textId="7386EEAD" w:rsidR="003145C8" w:rsidRPr="003145C8" w:rsidRDefault="003145C8" w:rsidP="009A553E">
            <w:pPr>
              <w:jc w:val="left"/>
              <w:rPr>
                <w:rFonts w:ascii="Arial Narrow" w:hAnsi="Arial Narrow"/>
                <w:color w:val="000000"/>
                <w:sz w:val="20"/>
                <w:szCs w:val="20"/>
                <w:highlight w:val="yellow"/>
              </w:rPr>
            </w:pPr>
            <w:r w:rsidRPr="003145C8">
              <w:rPr>
                <w:rFonts w:ascii="Arial Narrow" w:hAnsi="Arial Narrow" w:cs="Calibri"/>
                <w:sz w:val="20"/>
                <w:szCs w:val="20"/>
              </w:rPr>
              <w:t xml:space="preserve">Biological Condition Gradient </w:t>
            </w:r>
            <w:r w:rsidR="007E2E2D">
              <w:rPr>
                <w:rFonts w:ascii="Arial Narrow" w:hAnsi="Arial Narrow" w:cs="Calibri"/>
                <w:sz w:val="20"/>
                <w:szCs w:val="20"/>
              </w:rPr>
              <w:t xml:space="preserve">attribute </w:t>
            </w:r>
            <w:r w:rsidRPr="003145C8">
              <w:rPr>
                <w:rFonts w:ascii="Arial Narrow" w:hAnsi="Arial Narrow" w:cs="Calibri"/>
                <w:sz w:val="20"/>
                <w:szCs w:val="20"/>
              </w:rPr>
              <w:t xml:space="preserve">analysis identified predominant taxa in Wolf Creek and Tinker Creek that increase in abundance in the presence of high conductivity (score of 5). Average BCG </w:t>
            </w:r>
            <w:r w:rsidR="00CC60A2">
              <w:rPr>
                <w:rFonts w:ascii="Arial Narrow" w:hAnsi="Arial Narrow" w:cs="Calibri"/>
                <w:sz w:val="20"/>
                <w:szCs w:val="20"/>
              </w:rPr>
              <w:t>attribut</w:t>
            </w:r>
            <w:r w:rsidR="007E2E2D">
              <w:rPr>
                <w:rFonts w:ascii="Arial Narrow" w:hAnsi="Arial Narrow" w:cs="Calibri"/>
                <w:sz w:val="20"/>
                <w:szCs w:val="20"/>
              </w:rPr>
              <w:t>e</w:t>
            </w:r>
            <w:r w:rsidR="00CC60A2">
              <w:rPr>
                <w:rFonts w:ascii="Arial Narrow" w:hAnsi="Arial Narrow" w:cs="Calibri"/>
                <w:sz w:val="20"/>
                <w:szCs w:val="20"/>
              </w:rPr>
              <w:t xml:space="preserve"> </w:t>
            </w:r>
            <w:r w:rsidRPr="003145C8">
              <w:rPr>
                <w:rFonts w:ascii="Arial Narrow" w:hAnsi="Arial Narrow" w:cs="Calibri"/>
                <w:sz w:val="20"/>
                <w:szCs w:val="20"/>
              </w:rPr>
              <w:t xml:space="preserve">scores also ranked conductivity as a top 2 or 3 stressors in each stream except for Roanoke River (202.20).   </w:t>
            </w:r>
          </w:p>
        </w:tc>
      </w:tr>
      <w:tr w:rsidR="003145C8" w:rsidRPr="007A0C83" w14:paraId="372469D6" w14:textId="77777777" w:rsidTr="009A553E">
        <w:trPr>
          <w:trHeight w:val="247"/>
        </w:trPr>
        <w:tc>
          <w:tcPr>
            <w:tcW w:w="2437" w:type="dxa"/>
            <w:vAlign w:val="center"/>
          </w:tcPr>
          <w:p w14:paraId="7A43ACA9" w14:textId="5D9588B2" w:rsidR="003145C8" w:rsidRPr="003145C8" w:rsidRDefault="003145C8" w:rsidP="009A553E">
            <w:pPr>
              <w:jc w:val="left"/>
              <w:rPr>
                <w:rFonts w:ascii="Arial Narrow" w:hAnsi="Arial Narrow" w:cs="Calibri"/>
                <w:b/>
                <w:bCs/>
                <w:color w:val="000000"/>
                <w:sz w:val="20"/>
                <w:szCs w:val="20"/>
              </w:rPr>
            </w:pPr>
            <w:r w:rsidRPr="003145C8">
              <w:rPr>
                <w:rFonts w:ascii="Arial Narrow" w:hAnsi="Arial Narrow" w:cs="Calibri"/>
                <w:color w:val="000000"/>
                <w:sz w:val="20"/>
                <w:szCs w:val="20"/>
              </w:rPr>
              <w:t>Stressor-Response Relationships from Other Field Studies</w:t>
            </w:r>
          </w:p>
        </w:tc>
        <w:tc>
          <w:tcPr>
            <w:tcW w:w="720" w:type="dxa"/>
            <w:vAlign w:val="center"/>
          </w:tcPr>
          <w:p w14:paraId="1143CE7A" w14:textId="4CAA0821" w:rsidR="003145C8" w:rsidRPr="003145C8" w:rsidRDefault="003145C8" w:rsidP="009A553E">
            <w:pPr>
              <w:jc w:val="center"/>
              <w:rPr>
                <w:rFonts w:ascii="Arial Narrow" w:hAnsi="Arial Narrow" w:cs="Calibri"/>
                <w:b/>
                <w:color w:val="000000"/>
                <w:sz w:val="20"/>
                <w:szCs w:val="20"/>
              </w:rPr>
            </w:pPr>
            <w:r w:rsidRPr="003145C8">
              <w:rPr>
                <w:rFonts w:ascii="Arial Narrow" w:hAnsi="Arial Narrow" w:cs="Calibri"/>
                <w:color w:val="000000"/>
                <w:sz w:val="20"/>
                <w:szCs w:val="20"/>
              </w:rPr>
              <w:t>-3</w:t>
            </w:r>
          </w:p>
        </w:tc>
        <w:tc>
          <w:tcPr>
            <w:tcW w:w="720" w:type="dxa"/>
            <w:vAlign w:val="center"/>
          </w:tcPr>
          <w:p w14:paraId="7154D431" w14:textId="3206B04F" w:rsidR="003145C8" w:rsidRPr="003145C8" w:rsidRDefault="003145C8" w:rsidP="009A553E">
            <w:pPr>
              <w:jc w:val="center"/>
              <w:rPr>
                <w:rFonts w:ascii="Arial Narrow" w:hAnsi="Arial Narrow" w:cs="Calibri"/>
                <w:b/>
                <w:color w:val="000000"/>
                <w:sz w:val="20"/>
                <w:szCs w:val="20"/>
              </w:rPr>
            </w:pPr>
            <w:r w:rsidRPr="003145C8">
              <w:rPr>
                <w:rFonts w:ascii="Arial Narrow" w:hAnsi="Arial Narrow" w:cs="Calibri"/>
                <w:color w:val="000000"/>
                <w:sz w:val="20"/>
                <w:szCs w:val="20"/>
              </w:rPr>
              <w:t>1</w:t>
            </w:r>
          </w:p>
        </w:tc>
        <w:tc>
          <w:tcPr>
            <w:tcW w:w="990" w:type="dxa"/>
            <w:vAlign w:val="center"/>
          </w:tcPr>
          <w:p w14:paraId="5E5D4CA4" w14:textId="45A683C4" w:rsidR="003145C8" w:rsidRPr="003145C8" w:rsidRDefault="003145C8" w:rsidP="009A553E">
            <w:pPr>
              <w:jc w:val="center"/>
              <w:rPr>
                <w:rFonts w:ascii="Arial Narrow" w:hAnsi="Arial Narrow" w:cs="Calibri"/>
                <w:b/>
                <w:color w:val="000000"/>
                <w:sz w:val="20"/>
                <w:szCs w:val="20"/>
              </w:rPr>
            </w:pPr>
            <w:r w:rsidRPr="003145C8">
              <w:rPr>
                <w:rFonts w:ascii="Arial Narrow" w:hAnsi="Arial Narrow" w:cs="Calibri"/>
                <w:color w:val="000000"/>
                <w:sz w:val="20"/>
                <w:szCs w:val="20"/>
              </w:rPr>
              <w:t>-2</w:t>
            </w:r>
          </w:p>
        </w:tc>
        <w:tc>
          <w:tcPr>
            <w:tcW w:w="990" w:type="dxa"/>
            <w:vAlign w:val="center"/>
          </w:tcPr>
          <w:p w14:paraId="3C521EB3" w14:textId="2019D178" w:rsidR="003145C8" w:rsidRPr="003145C8" w:rsidRDefault="003145C8" w:rsidP="009A553E">
            <w:pPr>
              <w:jc w:val="center"/>
              <w:rPr>
                <w:rFonts w:ascii="Arial Narrow" w:hAnsi="Arial Narrow" w:cs="Calibri"/>
                <w:b/>
                <w:color w:val="000000"/>
                <w:sz w:val="20"/>
                <w:szCs w:val="20"/>
              </w:rPr>
            </w:pPr>
            <w:r w:rsidRPr="003145C8">
              <w:rPr>
                <w:rFonts w:ascii="Arial Narrow" w:hAnsi="Arial Narrow" w:cs="Calibri"/>
                <w:color w:val="000000"/>
                <w:sz w:val="20"/>
                <w:szCs w:val="20"/>
              </w:rPr>
              <w:t>1</w:t>
            </w:r>
          </w:p>
        </w:tc>
        <w:tc>
          <w:tcPr>
            <w:tcW w:w="3600" w:type="dxa"/>
            <w:vAlign w:val="center"/>
          </w:tcPr>
          <w:p w14:paraId="35707AD1" w14:textId="08846EB5" w:rsidR="003145C8" w:rsidRPr="003145C8" w:rsidRDefault="003145C8" w:rsidP="009A553E">
            <w:pPr>
              <w:jc w:val="left"/>
              <w:rPr>
                <w:rFonts w:ascii="Arial Narrow" w:hAnsi="Arial Narrow"/>
                <w:color w:val="000000"/>
                <w:sz w:val="20"/>
                <w:szCs w:val="20"/>
                <w:highlight w:val="yellow"/>
              </w:rPr>
            </w:pPr>
            <w:r w:rsidRPr="003145C8">
              <w:rPr>
                <w:rFonts w:ascii="Arial Narrow" w:hAnsi="Arial Narrow" w:cs="Calibri"/>
                <w:color w:val="000000"/>
                <w:sz w:val="20"/>
                <w:szCs w:val="20"/>
              </w:rPr>
              <w:t>Median conductivity values were in the no probability range for stressor effects in Wolf Creek, low probability range in Ro</w:t>
            </w:r>
            <w:r w:rsidR="002A1A49">
              <w:rPr>
                <w:rFonts w:ascii="Arial Narrow" w:hAnsi="Arial Narrow" w:cs="Calibri"/>
                <w:color w:val="000000"/>
                <w:sz w:val="20"/>
                <w:szCs w:val="20"/>
              </w:rPr>
              <w:t>a</w:t>
            </w:r>
            <w:r w:rsidRPr="003145C8">
              <w:rPr>
                <w:rFonts w:ascii="Arial Narrow" w:hAnsi="Arial Narrow" w:cs="Calibri"/>
                <w:color w:val="000000"/>
                <w:sz w:val="20"/>
                <w:szCs w:val="20"/>
              </w:rPr>
              <w:t xml:space="preserve">noke River (202.20), and the medium probability range in Tinker Creek and Roanoke River (198.08). However, conductivity in each stream was lower than in the unimpaired stream reference. </w:t>
            </w:r>
          </w:p>
        </w:tc>
      </w:tr>
      <w:tr w:rsidR="003145C8" w:rsidRPr="007A0C83" w14:paraId="68370532" w14:textId="77777777" w:rsidTr="009A553E">
        <w:trPr>
          <w:trHeight w:val="247"/>
        </w:trPr>
        <w:tc>
          <w:tcPr>
            <w:tcW w:w="2437" w:type="dxa"/>
            <w:vAlign w:val="center"/>
          </w:tcPr>
          <w:p w14:paraId="6A95B5E1" w14:textId="7D70168B" w:rsidR="003145C8" w:rsidRPr="003145C8" w:rsidRDefault="003145C8" w:rsidP="009A553E">
            <w:pPr>
              <w:jc w:val="left"/>
              <w:rPr>
                <w:rFonts w:ascii="Arial Narrow" w:hAnsi="Arial Narrow" w:cs="Calibri"/>
                <w:b/>
                <w:bCs/>
                <w:color w:val="000000"/>
                <w:sz w:val="20"/>
                <w:szCs w:val="20"/>
              </w:rPr>
            </w:pPr>
            <w:r w:rsidRPr="003145C8">
              <w:rPr>
                <w:rFonts w:ascii="Arial Narrow" w:hAnsi="Arial Narrow" w:cs="Calibri"/>
                <w:color w:val="000000"/>
                <w:sz w:val="20"/>
                <w:szCs w:val="20"/>
              </w:rPr>
              <w:t>Analogous Stressors</w:t>
            </w:r>
          </w:p>
        </w:tc>
        <w:tc>
          <w:tcPr>
            <w:tcW w:w="720" w:type="dxa"/>
            <w:vAlign w:val="center"/>
          </w:tcPr>
          <w:p w14:paraId="0C6F7593" w14:textId="501DC9DB" w:rsidR="003145C8" w:rsidRPr="003145C8" w:rsidRDefault="003145C8" w:rsidP="009A553E">
            <w:pPr>
              <w:jc w:val="center"/>
              <w:rPr>
                <w:rFonts w:ascii="Arial Narrow" w:hAnsi="Arial Narrow" w:cs="Calibri"/>
                <w:b/>
                <w:color w:val="000000"/>
                <w:sz w:val="20"/>
                <w:szCs w:val="20"/>
              </w:rPr>
            </w:pPr>
            <w:r w:rsidRPr="003145C8">
              <w:rPr>
                <w:rFonts w:ascii="Arial Narrow" w:hAnsi="Arial Narrow" w:cs="Calibri"/>
                <w:color w:val="000000"/>
                <w:sz w:val="20"/>
                <w:szCs w:val="20"/>
              </w:rPr>
              <w:t>-3</w:t>
            </w:r>
          </w:p>
        </w:tc>
        <w:tc>
          <w:tcPr>
            <w:tcW w:w="720" w:type="dxa"/>
            <w:vAlign w:val="center"/>
          </w:tcPr>
          <w:p w14:paraId="2AFE2D0B" w14:textId="21D5BE09" w:rsidR="003145C8" w:rsidRPr="003145C8" w:rsidRDefault="003145C8" w:rsidP="009A553E">
            <w:pPr>
              <w:jc w:val="center"/>
              <w:rPr>
                <w:rFonts w:ascii="Arial Narrow" w:hAnsi="Arial Narrow" w:cs="Calibri"/>
                <w:b/>
                <w:color w:val="000000"/>
                <w:sz w:val="20"/>
                <w:szCs w:val="20"/>
              </w:rPr>
            </w:pPr>
            <w:r w:rsidRPr="003145C8">
              <w:rPr>
                <w:rFonts w:ascii="Arial Narrow" w:hAnsi="Arial Narrow" w:cs="Calibri"/>
                <w:color w:val="000000"/>
                <w:sz w:val="20"/>
                <w:szCs w:val="20"/>
              </w:rPr>
              <w:t>1</w:t>
            </w:r>
          </w:p>
        </w:tc>
        <w:tc>
          <w:tcPr>
            <w:tcW w:w="990" w:type="dxa"/>
            <w:vAlign w:val="center"/>
          </w:tcPr>
          <w:p w14:paraId="7412D204" w14:textId="1FE83331" w:rsidR="003145C8" w:rsidRPr="003145C8" w:rsidRDefault="003145C8" w:rsidP="009A553E">
            <w:pPr>
              <w:jc w:val="center"/>
              <w:rPr>
                <w:rFonts w:ascii="Arial Narrow" w:hAnsi="Arial Narrow" w:cs="Calibri"/>
                <w:b/>
                <w:color w:val="000000"/>
                <w:sz w:val="20"/>
                <w:szCs w:val="20"/>
              </w:rPr>
            </w:pPr>
            <w:r w:rsidRPr="003145C8">
              <w:rPr>
                <w:rFonts w:ascii="Arial Narrow" w:hAnsi="Arial Narrow" w:cs="Calibri"/>
                <w:color w:val="000000"/>
                <w:sz w:val="20"/>
                <w:szCs w:val="20"/>
              </w:rPr>
              <w:t>-1</w:t>
            </w:r>
          </w:p>
        </w:tc>
        <w:tc>
          <w:tcPr>
            <w:tcW w:w="990" w:type="dxa"/>
            <w:vAlign w:val="center"/>
          </w:tcPr>
          <w:p w14:paraId="110FC730" w14:textId="2A00A310" w:rsidR="003145C8" w:rsidRPr="003145C8" w:rsidRDefault="003145C8" w:rsidP="009A553E">
            <w:pPr>
              <w:jc w:val="center"/>
              <w:rPr>
                <w:rFonts w:ascii="Arial Narrow" w:hAnsi="Arial Narrow" w:cs="Calibri"/>
                <w:b/>
                <w:color w:val="000000"/>
                <w:sz w:val="20"/>
                <w:szCs w:val="20"/>
              </w:rPr>
            </w:pPr>
            <w:r w:rsidRPr="003145C8">
              <w:rPr>
                <w:rFonts w:ascii="Arial Narrow" w:hAnsi="Arial Narrow" w:cs="Calibri"/>
                <w:color w:val="000000"/>
                <w:sz w:val="20"/>
                <w:szCs w:val="20"/>
              </w:rPr>
              <w:t>-1</w:t>
            </w:r>
          </w:p>
        </w:tc>
        <w:tc>
          <w:tcPr>
            <w:tcW w:w="3600" w:type="dxa"/>
            <w:vAlign w:val="center"/>
          </w:tcPr>
          <w:p w14:paraId="255926EC" w14:textId="757C627E" w:rsidR="003145C8" w:rsidRPr="003145C8" w:rsidRDefault="003145C8" w:rsidP="009A553E">
            <w:pPr>
              <w:jc w:val="left"/>
              <w:rPr>
                <w:rFonts w:ascii="Arial Narrow" w:hAnsi="Arial Narrow"/>
                <w:color w:val="000000"/>
                <w:sz w:val="20"/>
                <w:szCs w:val="20"/>
                <w:highlight w:val="yellow"/>
              </w:rPr>
            </w:pPr>
            <w:r w:rsidRPr="003145C8">
              <w:rPr>
                <w:rFonts w:ascii="Arial Narrow" w:hAnsi="Arial Narrow" w:cs="Calibri"/>
                <w:color w:val="000000"/>
                <w:sz w:val="20"/>
                <w:szCs w:val="20"/>
              </w:rPr>
              <w:t>The analogous stressor of total dissolved solids (TDS) was in the low probability range for stressor effects in Wolf Creek and Roanoke River and the medium range in Tinker Creek. However, TDS in each stream was lower than in the unimpaired stream reference.</w:t>
            </w:r>
          </w:p>
        </w:tc>
      </w:tr>
      <w:tr w:rsidR="003145C8" w:rsidRPr="007A0C83" w14:paraId="3E607ECC" w14:textId="77777777" w:rsidTr="009A553E">
        <w:trPr>
          <w:trHeight w:val="247"/>
        </w:trPr>
        <w:tc>
          <w:tcPr>
            <w:tcW w:w="2437" w:type="dxa"/>
            <w:vAlign w:val="center"/>
          </w:tcPr>
          <w:p w14:paraId="21CF4AB9" w14:textId="61C2BC7B" w:rsidR="003145C8" w:rsidRPr="003145C8" w:rsidRDefault="003145C8" w:rsidP="009A553E">
            <w:pPr>
              <w:jc w:val="left"/>
              <w:rPr>
                <w:rFonts w:ascii="Arial Narrow" w:hAnsi="Arial Narrow" w:cs="Calibri"/>
                <w:b/>
                <w:bCs/>
                <w:color w:val="000000"/>
                <w:sz w:val="20"/>
                <w:szCs w:val="20"/>
              </w:rPr>
            </w:pPr>
            <w:r w:rsidRPr="003145C8">
              <w:rPr>
                <w:rFonts w:ascii="Arial Narrow" w:hAnsi="Arial Narrow" w:cs="Calibri"/>
                <w:color w:val="000000"/>
                <w:sz w:val="20"/>
                <w:szCs w:val="20"/>
              </w:rPr>
              <w:t>Consistency of Evidence</w:t>
            </w:r>
          </w:p>
        </w:tc>
        <w:tc>
          <w:tcPr>
            <w:tcW w:w="720" w:type="dxa"/>
            <w:vAlign w:val="center"/>
          </w:tcPr>
          <w:p w14:paraId="287262D7" w14:textId="665279AB" w:rsidR="003145C8" w:rsidRPr="003145C8" w:rsidRDefault="003145C8" w:rsidP="009A553E">
            <w:pPr>
              <w:jc w:val="center"/>
              <w:rPr>
                <w:rFonts w:ascii="Arial Narrow" w:hAnsi="Arial Narrow" w:cs="Calibri"/>
                <w:b/>
                <w:color w:val="000000"/>
                <w:sz w:val="20"/>
                <w:szCs w:val="20"/>
              </w:rPr>
            </w:pPr>
            <w:r w:rsidRPr="003145C8">
              <w:rPr>
                <w:rFonts w:ascii="Arial Narrow" w:hAnsi="Arial Narrow" w:cs="Calibri"/>
                <w:color w:val="000000"/>
                <w:sz w:val="20"/>
                <w:szCs w:val="20"/>
              </w:rPr>
              <w:t>-2</w:t>
            </w:r>
          </w:p>
        </w:tc>
        <w:tc>
          <w:tcPr>
            <w:tcW w:w="720" w:type="dxa"/>
            <w:vAlign w:val="center"/>
          </w:tcPr>
          <w:p w14:paraId="47469E75" w14:textId="2FF83C60" w:rsidR="003145C8" w:rsidRPr="003145C8" w:rsidRDefault="003145C8" w:rsidP="009A553E">
            <w:pPr>
              <w:jc w:val="center"/>
              <w:rPr>
                <w:rFonts w:ascii="Arial Narrow" w:hAnsi="Arial Narrow" w:cs="Calibri"/>
                <w:b/>
                <w:color w:val="000000"/>
                <w:sz w:val="20"/>
                <w:szCs w:val="20"/>
              </w:rPr>
            </w:pPr>
            <w:r w:rsidRPr="003145C8">
              <w:rPr>
                <w:rFonts w:ascii="Arial Narrow" w:hAnsi="Arial Narrow" w:cs="Calibri"/>
                <w:color w:val="000000"/>
                <w:sz w:val="20"/>
                <w:szCs w:val="20"/>
              </w:rPr>
              <w:t>0</w:t>
            </w:r>
          </w:p>
        </w:tc>
        <w:tc>
          <w:tcPr>
            <w:tcW w:w="990" w:type="dxa"/>
            <w:vAlign w:val="center"/>
          </w:tcPr>
          <w:p w14:paraId="7B39CBDC" w14:textId="2FF493FE" w:rsidR="003145C8" w:rsidRPr="003145C8" w:rsidRDefault="003145C8" w:rsidP="009A553E">
            <w:pPr>
              <w:jc w:val="center"/>
              <w:rPr>
                <w:rFonts w:ascii="Arial Narrow" w:hAnsi="Arial Narrow" w:cs="Calibri"/>
                <w:b/>
                <w:color w:val="000000"/>
                <w:sz w:val="20"/>
                <w:szCs w:val="20"/>
              </w:rPr>
            </w:pPr>
            <w:r w:rsidRPr="003145C8">
              <w:rPr>
                <w:rFonts w:ascii="Arial Narrow" w:hAnsi="Arial Narrow" w:cs="Calibri"/>
                <w:color w:val="000000"/>
                <w:sz w:val="20"/>
                <w:szCs w:val="20"/>
              </w:rPr>
              <w:t>0</w:t>
            </w:r>
          </w:p>
        </w:tc>
        <w:tc>
          <w:tcPr>
            <w:tcW w:w="990" w:type="dxa"/>
            <w:vAlign w:val="center"/>
          </w:tcPr>
          <w:p w14:paraId="734EC38F" w14:textId="6CE0D97A" w:rsidR="003145C8" w:rsidRPr="003145C8" w:rsidRDefault="003145C8" w:rsidP="009A553E">
            <w:pPr>
              <w:jc w:val="center"/>
              <w:rPr>
                <w:rFonts w:ascii="Arial Narrow" w:hAnsi="Arial Narrow" w:cs="Calibri"/>
                <w:b/>
                <w:color w:val="000000"/>
                <w:sz w:val="20"/>
                <w:szCs w:val="20"/>
              </w:rPr>
            </w:pPr>
            <w:r w:rsidRPr="003145C8">
              <w:rPr>
                <w:rFonts w:ascii="Arial Narrow" w:hAnsi="Arial Narrow" w:cs="Calibri"/>
                <w:color w:val="000000"/>
                <w:sz w:val="20"/>
                <w:szCs w:val="20"/>
              </w:rPr>
              <w:t>0</w:t>
            </w:r>
          </w:p>
        </w:tc>
        <w:tc>
          <w:tcPr>
            <w:tcW w:w="3600" w:type="dxa"/>
            <w:vAlign w:val="center"/>
          </w:tcPr>
          <w:p w14:paraId="2FB142E8" w14:textId="7ACB736E" w:rsidR="003145C8" w:rsidRPr="003145C8" w:rsidRDefault="003145C8" w:rsidP="009A553E">
            <w:pPr>
              <w:jc w:val="left"/>
              <w:rPr>
                <w:rFonts w:ascii="Arial Narrow" w:hAnsi="Arial Narrow"/>
                <w:color w:val="000000"/>
                <w:sz w:val="20"/>
                <w:szCs w:val="20"/>
                <w:highlight w:val="yellow"/>
              </w:rPr>
            </w:pPr>
            <w:r w:rsidRPr="003145C8">
              <w:rPr>
                <w:rFonts w:ascii="Arial Narrow" w:hAnsi="Arial Narrow" w:cs="Calibri"/>
                <w:color w:val="000000"/>
                <w:sz w:val="20"/>
                <w:szCs w:val="20"/>
              </w:rPr>
              <w:t xml:space="preserve">Evidence refuted conductivity as a stressor in Wolf Creek, but evidence was inconsistent in other streams. </w:t>
            </w:r>
          </w:p>
        </w:tc>
      </w:tr>
      <w:tr w:rsidR="003145C8" w:rsidRPr="003145C8" w14:paraId="17836672" w14:textId="77777777" w:rsidTr="009A553E">
        <w:trPr>
          <w:trHeight w:val="247"/>
        </w:trPr>
        <w:tc>
          <w:tcPr>
            <w:tcW w:w="2437" w:type="dxa"/>
            <w:vAlign w:val="center"/>
          </w:tcPr>
          <w:p w14:paraId="25908089" w14:textId="48079AF2" w:rsidR="003145C8" w:rsidRPr="003145C8" w:rsidRDefault="003145C8" w:rsidP="009A553E">
            <w:pPr>
              <w:jc w:val="right"/>
              <w:rPr>
                <w:rFonts w:ascii="Arial Narrow" w:hAnsi="Arial Narrow" w:cs="Calibri"/>
                <w:b/>
                <w:bCs/>
                <w:color w:val="000000"/>
                <w:sz w:val="20"/>
                <w:szCs w:val="20"/>
              </w:rPr>
            </w:pPr>
            <w:r w:rsidRPr="003145C8">
              <w:rPr>
                <w:rFonts w:ascii="Arial Narrow" w:hAnsi="Arial Narrow" w:cs="Calibri"/>
                <w:b/>
                <w:bCs/>
                <w:color w:val="000000"/>
                <w:sz w:val="20"/>
                <w:szCs w:val="20"/>
              </w:rPr>
              <w:t>Sum</w:t>
            </w:r>
          </w:p>
        </w:tc>
        <w:tc>
          <w:tcPr>
            <w:tcW w:w="720" w:type="dxa"/>
            <w:vAlign w:val="center"/>
          </w:tcPr>
          <w:p w14:paraId="339FC25D" w14:textId="54920C76" w:rsidR="003145C8" w:rsidRPr="003145C8" w:rsidRDefault="003145C8" w:rsidP="009A553E">
            <w:pPr>
              <w:jc w:val="center"/>
              <w:rPr>
                <w:rFonts w:ascii="Arial Narrow" w:hAnsi="Arial Narrow" w:cs="Calibri"/>
                <w:b/>
                <w:color w:val="000000"/>
                <w:sz w:val="20"/>
                <w:szCs w:val="20"/>
              </w:rPr>
            </w:pPr>
            <w:r w:rsidRPr="003145C8">
              <w:rPr>
                <w:rFonts w:ascii="Arial Narrow" w:hAnsi="Arial Narrow" w:cs="Calibri"/>
                <w:b/>
                <w:sz w:val="20"/>
                <w:szCs w:val="20"/>
              </w:rPr>
              <w:t>-16</w:t>
            </w:r>
          </w:p>
        </w:tc>
        <w:tc>
          <w:tcPr>
            <w:tcW w:w="720" w:type="dxa"/>
            <w:vAlign w:val="center"/>
          </w:tcPr>
          <w:p w14:paraId="12F04547" w14:textId="2AD446FB" w:rsidR="003145C8" w:rsidRPr="003145C8" w:rsidRDefault="003145C8" w:rsidP="009A553E">
            <w:pPr>
              <w:jc w:val="center"/>
              <w:rPr>
                <w:rFonts w:ascii="Arial Narrow" w:hAnsi="Arial Narrow" w:cs="Calibri"/>
                <w:b/>
                <w:color w:val="000000"/>
                <w:sz w:val="20"/>
                <w:szCs w:val="20"/>
              </w:rPr>
            </w:pPr>
            <w:r w:rsidRPr="003145C8">
              <w:rPr>
                <w:rFonts w:ascii="Arial Narrow" w:hAnsi="Arial Narrow" w:cs="Calibri"/>
                <w:b/>
                <w:sz w:val="20"/>
                <w:szCs w:val="20"/>
              </w:rPr>
              <w:t>2</w:t>
            </w:r>
          </w:p>
        </w:tc>
        <w:tc>
          <w:tcPr>
            <w:tcW w:w="990" w:type="dxa"/>
            <w:vAlign w:val="center"/>
          </w:tcPr>
          <w:p w14:paraId="269E5FF4" w14:textId="083E6FB5" w:rsidR="003145C8" w:rsidRPr="003145C8" w:rsidRDefault="003145C8" w:rsidP="009A553E">
            <w:pPr>
              <w:jc w:val="center"/>
              <w:rPr>
                <w:rFonts w:ascii="Arial Narrow" w:hAnsi="Arial Narrow" w:cs="Calibri"/>
                <w:b/>
                <w:color w:val="000000"/>
                <w:sz w:val="20"/>
                <w:szCs w:val="20"/>
              </w:rPr>
            </w:pPr>
            <w:r w:rsidRPr="003145C8">
              <w:rPr>
                <w:rFonts w:ascii="Arial Narrow" w:hAnsi="Arial Narrow" w:cs="Calibri"/>
                <w:b/>
                <w:sz w:val="20"/>
                <w:szCs w:val="20"/>
              </w:rPr>
              <w:t>-8</w:t>
            </w:r>
          </w:p>
        </w:tc>
        <w:tc>
          <w:tcPr>
            <w:tcW w:w="990" w:type="dxa"/>
            <w:vAlign w:val="center"/>
          </w:tcPr>
          <w:p w14:paraId="24D3DF18" w14:textId="46B47621" w:rsidR="003145C8" w:rsidRPr="003145C8" w:rsidRDefault="003145C8" w:rsidP="009A553E">
            <w:pPr>
              <w:jc w:val="center"/>
              <w:rPr>
                <w:rFonts w:ascii="Arial Narrow" w:hAnsi="Arial Narrow" w:cs="Calibri"/>
                <w:b/>
                <w:color w:val="000000"/>
                <w:sz w:val="20"/>
                <w:szCs w:val="20"/>
              </w:rPr>
            </w:pPr>
            <w:r w:rsidRPr="003145C8">
              <w:rPr>
                <w:rFonts w:ascii="Arial Narrow" w:hAnsi="Arial Narrow" w:cs="Calibri"/>
                <w:b/>
                <w:sz w:val="20"/>
                <w:szCs w:val="20"/>
              </w:rPr>
              <w:t>1</w:t>
            </w:r>
          </w:p>
        </w:tc>
        <w:tc>
          <w:tcPr>
            <w:tcW w:w="3600" w:type="dxa"/>
            <w:vAlign w:val="center"/>
          </w:tcPr>
          <w:p w14:paraId="6F22722F" w14:textId="77777777" w:rsidR="003145C8" w:rsidRPr="003145C8" w:rsidRDefault="003145C8" w:rsidP="009A553E">
            <w:pPr>
              <w:jc w:val="left"/>
              <w:rPr>
                <w:rFonts w:ascii="Arial Narrow" w:hAnsi="Arial Narrow"/>
                <w:b/>
                <w:color w:val="000000"/>
                <w:sz w:val="20"/>
                <w:szCs w:val="20"/>
                <w:highlight w:val="yellow"/>
              </w:rPr>
            </w:pPr>
          </w:p>
        </w:tc>
      </w:tr>
    </w:tbl>
    <w:p w14:paraId="1723554C" w14:textId="77777777" w:rsidR="003B49F8" w:rsidRDefault="003B49F8" w:rsidP="005E4B50">
      <w:pPr>
        <w:pStyle w:val="BlockText"/>
        <w:spacing w:before="0" w:after="0" w:line="240" w:lineRule="auto"/>
        <w:rPr>
          <w:highlight w:val="yellow"/>
        </w:rPr>
      </w:pPr>
    </w:p>
    <w:p w14:paraId="364E0F60" w14:textId="4A903D82" w:rsidR="008A1F50" w:rsidRPr="000842F0" w:rsidRDefault="003E474B" w:rsidP="003B49F8">
      <w:pPr>
        <w:pStyle w:val="Heading2"/>
      </w:pPr>
      <w:bookmarkStart w:id="219" w:name="_Toc162948192"/>
      <w:r>
        <w:t xml:space="preserve">Dissolved </w:t>
      </w:r>
      <w:r w:rsidR="008A1F50" w:rsidRPr="000842F0">
        <w:t>Sodium</w:t>
      </w:r>
      <w:bookmarkEnd w:id="219"/>
    </w:p>
    <w:p w14:paraId="6BB0B3C2" w14:textId="14DABBA6" w:rsidR="008A1F50" w:rsidRPr="000842F0" w:rsidRDefault="008A1F50" w:rsidP="008A1F50">
      <w:pPr>
        <w:pStyle w:val="BlockText"/>
      </w:pPr>
      <w:r w:rsidRPr="000842F0">
        <w:fldChar w:fldCharType="begin"/>
      </w:r>
      <w:r w:rsidRPr="000842F0">
        <w:instrText xml:space="preserve"> REF _Ref50646472 \h  \* MERGEFORMAT </w:instrText>
      </w:r>
      <w:r w:rsidRPr="000842F0">
        <w:fldChar w:fldCharType="separate"/>
      </w:r>
      <w:r w:rsidR="004A78BF" w:rsidRPr="000842F0">
        <w:t xml:space="preserve">Table </w:t>
      </w:r>
      <w:r w:rsidR="004A78BF">
        <w:rPr>
          <w:noProof/>
        </w:rPr>
        <w:t>32</w:t>
      </w:r>
      <w:r w:rsidRPr="000842F0">
        <w:fldChar w:fldCharType="end"/>
      </w:r>
      <w:r w:rsidRPr="000842F0">
        <w:t xml:space="preserve"> shows the causal analysis results for dissolved sodium</w:t>
      </w:r>
      <w:r w:rsidR="000842F0">
        <w:t>.</w:t>
      </w:r>
      <w:r w:rsidRPr="000842F0">
        <w:t xml:space="preserve"> </w:t>
      </w:r>
      <w:r w:rsidR="000842F0">
        <w:t xml:space="preserve">Total causal analysis scores </w:t>
      </w:r>
      <w:r w:rsidR="0068521C">
        <w:t xml:space="preserve">ranged from </w:t>
      </w:r>
      <w:r w:rsidR="000842F0">
        <w:t>-1</w:t>
      </w:r>
      <w:r w:rsidR="00635288">
        <w:t>7</w:t>
      </w:r>
      <w:r w:rsidR="000842F0">
        <w:t xml:space="preserve"> </w:t>
      </w:r>
      <w:r w:rsidR="0068521C">
        <w:t xml:space="preserve">to </w:t>
      </w:r>
      <w:r w:rsidR="000842F0">
        <w:t>-</w:t>
      </w:r>
      <w:r w:rsidR="00635288">
        <w:t>5</w:t>
      </w:r>
      <w:r w:rsidR="0068521C">
        <w:t>, indicating that there is moderate to strong evidence that dissolved sodium is a non-stressor in Roanoke River Project streams</w:t>
      </w:r>
      <w:r w:rsidRPr="000842F0">
        <w:t xml:space="preserve">. </w:t>
      </w:r>
      <w:r w:rsidR="0073580A">
        <w:t xml:space="preserve">Median sodium levels were in the no to low probability range for stressor effects in </w:t>
      </w:r>
      <w:r w:rsidR="0068521C">
        <w:t>Wolf Creek, Tinker Creek, and Roanoke River (202.20). M</w:t>
      </w:r>
      <w:r w:rsidR="0073580A">
        <w:t xml:space="preserve">aximum sodium levels </w:t>
      </w:r>
      <w:r w:rsidR="0068521C">
        <w:t xml:space="preserve">in all streams </w:t>
      </w:r>
      <w:r w:rsidR="0073580A">
        <w:t xml:space="preserve">were </w:t>
      </w:r>
      <w:r w:rsidRPr="000842F0">
        <w:t xml:space="preserve">well below toxic thresholds reported by Mount </w:t>
      </w:r>
      <w:r w:rsidRPr="000842F0">
        <w:rPr>
          <w:i/>
        </w:rPr>
        <w:t>et al.</w:t>
      </w:r>
      <w:r w:rsidRPr="000842F0">
        <w:t xml:space="preserve"> (2016). </w:t>
      </w:r>
      <w:r w:rsidR="0068521C">
        <w:t xml:space="preserve">Dissolved sodium was also not </w:t>
      </w:r>
      <w:r w:rsidR="000F5753">
        <w:t xml:space="preserve">significantly </w:t>
      </w:r>
      <w:r w:rsidR="0068521C">
        <w:t xml:space="preserve">correlated with </w:t>
      </w:r>
      <w:r w:rsidR="000F5753">
        <w:t xml:space="preserve">benthic health across sites. </w:t>
      </w:r>
      <w:r w:rsidRPr="000842F0">
        <w:t>For th</w:t>
      </w:r>
      <w:r w:rsidR="0073580A">
        <w:t>ese</w:t>
      </w:r>
      <w:r w:rsidRPr="000842F0">
        <w:t xml:space="preserve"> reason</w:t>
      </w:r>
      <w:r w:rsidR="0073580A">
        <w:t>s</w:t>
      </w:r>
      <w:r w:rsidRPr="000842F0">
        <w:t xml:space="preserve"> and others explained in </w:t>
      </w:r>
      <w:r w:rsidRPr="000842F0">
        <w:fldChar w:fldCharType="begin"/>
      </w:r>
      <w:r w:rsidRPr="000842F0">
        <w:instrText xml:space="preserve"> REF _Ref50646472 \h  \* MERGEFORMAT </w:instrText>
      </w:r>
      <w:r w:rsidRPr="000842F0">
        <w:fldChar w:fldCharType="separate"/>
      </w:r>
      <w:r w:rsidR="004A78BF" w:rsidRPr="000842F0">
        <w:t xml:space="preserve">Table </w:t>
      </w:r>
      <w:r w:rsidR="004A78BF">
        <w:rPr>
          <w:noProof/>
        </w:rPr>
        <w:t>32</w:t>
      </w:r>
      <w:r w:rsidRPr="000842F0">
        <w:fldChar w:fldCharType="end"/>
      </w:r>
      <w:r w:rsidRPr="000842F0">
        <w:t xml:space="preserve">, dissolved sodium was categorized as a </w:t>
      </w:r>
      <w:r w:rsidR="0073580A">
        <w:t xml:space="preserve">non-stressor in </w:t>
      </w:r>
      <w:r w:rsidR="0068521C">
        <w:t>Roanoke River Project st</w:t>
      </w:r>
      <w:r w:rsidR="0073580A">
        <w:t xml:space="preserve">reams. </w:t>
      </w:r>
    </w:p>
    <w:p w14:paraId="74ED0A2A" w14:textId="77777777" w:rsidR="008A1F50" w:rsidRPr="000842F0" w:rsidRDefault="008A1F50" w:rsidP="008A1F50">
      <w:pPr>
        <w:pStyle w:val="Caption"/>
      </w:pPr>
    </w:p>
    <w:p w14:paraId="44ABF4A7" w14:textId="6806A729" w:rsidR="008A1F50" w:rsidRPr="000842F0" w:rsidRDefault="008A1F50" w:rsidP="008A1F50">
      <w:pPr>
        <w:pStyle w:val="Caption"/>
      </w:pPr>
      <w:bookmarkStart w:id="220" w:name="_Ref50646472"/>
      <w:bookmarkStart w:id="221" w:name="_Toc162948299"/>
      <w:r w:rsidRPr="000842F0">
        <w:t xml:space="preserve">Table </w:t>
      </w:r>
      <w:r w:rsidRPr="000842F0">
        <w:rPr>
          <w:noProof/>
        </w:rPr>
        <w:fldChar w:fldCharType="begin"/>
      </w:r>
      <w:r w:rsidRPr="000842F0">
        <w:rPr>
          <w:noProof/>
        </w:rPr>
        <w:instrText xml:space="preserve"> SEQ Table \* ARABIC </w:instrText>
      </w:r>
      <w:r w:rsidRPr="000842F0">
        <w:rPr>
          <w:noProof/>
        </w:rPr>
        <w:fldChar w:fldCharType="separate"/>
      </w:r>
      <w:r w:rsidR="004A78BF">
        <w:rPr>
          <w:noProof/>
        </w:rPr>
        <w:t>32</w:t>
      </w:r>
      <w:r w:rsidRPr="000842F0">
        <w:rPr>
          <w:noProof/>
        </w:rPr>
        <w:fldChar w:fldCharType="end"/>
      </w:r>
      <w:bookmarkEnd w:id="220"/>
      <w:r w:rsidRPr="000842F0">
        <w:t>. Causal analysis results for dissolved sodium.</w:t>
      </w:r>
      <w:bookmarkEnd w:id="221"/>
    </w:p>
    <w:tbl>
      <w:tblPr>
        <w:tblW w:w="9457"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7"/>
        <w:gridCol w:w="720"/>
        <w:gridCol w:w="720"/>
        <w:gridCol w:w="990"/>
        <w:gridCol w:w="990"/>
        <w:gridCol w:w="3600"/>
      </w:tblGrid>
      <w:tr w:rsidR="00250E0C" w:rsidRPr="007A0C83" w14:paraId="18E92DD8" w14:textId="77777777" w:rsidTr="009A553E">
        <w:trPr>
          <w:cantSplit/>
          <w:trHeight w:hRule="exact" w:val="1080"/>
        </w:trPr>
        <w:tc>
          <w:tcPr>
            <w:tcW w:w="2437" w:type="dxa"/>
            <w:shd w:val="clear" w:color="auto" w:fill="D9D9D9" w:themeFill="background1" w:themeFillShade="D9"/>
            <w:vAlign w:val="center"/>
          </w:tcPr>
          <w:p w14:paraId="49047E9E" w14:textId="77777777" w:rsidR="00250E0C" w:rsidRPr="00396EC1" w:rsidRDefault="00250E0C" w:rsidP="009A553E">
            <w:pPr>
              <w:jc w:val="center"/>
              <w:rPr>
                <w:rFonts w:ascii="Arial Narrow" w:hAnsi="Arial Narrow"/>
                <w:b/>
                <w:sz w:val="20"/>
                <w:szCs w:val="20"/>
              </w:rPr>
            </w:pPr>
            <w:r w:rsidRPr="00396EC1">
              <w:rPr>
                <w:rFonts w:ascii="Arial Narrow" w:hAnsi="Arial Narrow"/>
                <w:b/>
                <w:sz w:val="20"/>
                <w:szCs w:val="20"/>
              </w:rPr>
              <w:t>Evidence</w:t>
            </w:r>
          </w:p>
        </w:tc>
        <w:tc>
          <w:tcPr>
            <w:tcW w:w="720" w:type="dxa"/>
            <w:shd w:val="clear" w:color="auto" w:fill="D9D9D9" w:themeFill="background1" w:themeFillShade="D9"/>
            <w:vAlign w:val="center"/>
          </w:tcPr>
          <w:p w14:paraId="4C7A54F4" w14:textId="77777777" w:rsidR="00250E0C" w:rsidRPr="00396EC1" w:rsidRDefault="00250E0C" w:rsidP="009A553E">
            <w:pPr>
              <w:jc w:val="center"/>
              <w:rPr>
                <w:rFonts w:ascii="Arial Narrow" w:hAnsi="Arial Narrow"/>
                <w:b/>
                <w:sz w:val="20"/>
                <w:szCs w:val="20"/>
              </w:rPr>
            </w:pPr>
            <w:r>
              <w:rPr>
                <w:rFonts w:ascii="Arial Narrow" w:hAnsi="Arial Narrow"/>
                <w:b/>
                <w:sz w:val="20"/>
                <w:szCs w:val="20"/>
              </w:rPr>
              <w:t>Wolf Creek</w:t>
            </w:r>
          </w:p>
        </w:tc>
        <w:tc>
          <w:tcPr>
            <w:tcW w:w="720" w:type="dxa"/>
            <w:shd w:val="clear" w:color="auto" w:fill="D9D9D9" w:themeFill="background1" w:themeFillShade="D9"/>
            <w:vAlign w:val="center"/>
          </w:tcPr>
          <w:p w14:paraId="0C1A0184" w14:textId="77777777" w:rsidR="00250E0C" w:rsidRPr="00396EC1" w:rsidRDefault="00250E0C" w:rsidP="009A553E">
            <w:pPr>
              <w:jc w:val="center"/>
              <w:rPr>
                <w:rFonts w:ascii="Arial Narrow" w:hAnsi="Arial Narrow"/>
                <w:b/>
                <w:sz w:val="20"/>
                <w:szCs w:val="20"/>
              </w:rPr>
            </w:pPr>
            <w:r>
              <w:rPr>
                <w:rFonts w:ascii="Arial Narrow" w:hAnsi="Arial Narrow"/>
                <w:b/>
                <w:sz w:val="20"/>
                <w:szCs w:val="20"/>
              </w:rPr>
              <w:t>Tinker Creek</w:t>
            </w:r>
          </w:p>
        </w:tc>
        <w:tc>
          <w:tcPr>
            <w:tcW w:w="990" w:type="dxa"/>
            <w:shd w:val="clear" w:color="auto" w:fill="D9D9D9" w:themeFill="background1" w:themeFillShade="D9"/>
            <w:vAlign w:val="center"/>
          </w:tcPr>
          <w:p w14:paraId="5CB8D581" w14:textId="77777777" w:rsidR="00250E0C" w:rsidRPr="00396EC1" w:rsidRDefault="00250E0C" w:rsidP="009A553E">
            <w:pPr>
              <w:jc w:val="center"/>
              <w:rPr>
                <w:rFonts w:ascii="Arial Narrow" w:hAnsi="Arial Narrow"/>
                <w:b/>
                <w:sz w:val="20"/>
                <w:szCs w:val="20"/>
              </w:rPr>
            </w:pPr>
            <w:r>
              <w:rPr>
                <w:rFonts w:ascii="Arial Narrow" w:hAnsi="Arial Narrow"/>
                <w:b/>
                <w:sz w:val="20"/>
                <w:szCs w:val="20"/>
              </w:rPr>
              <w:t>Roanoke River (202.20)</w:t>
            </w:r>
          </w:p>
        </w:tc>
        <w:tc>
          <w:tcPr>
            <w:tcW w:w="990" w:type="dxa"/>
            <w:shd w:val="clear" w:color="auto" w:fill="D9D9D9" w:themeFill="background1" w:themeFillShade="D9"/>
            <w:vAlign w:val="center"/>
          </w:tcPr>
          <w:p w14:paraId="39E3AAAD" w14:textId="77777777" w:rsidR="00250E0C" w:rsidRPr="00396EC1" w:rsidRDefault="00250E0C" w:rsidP="009A553E">
            <w:pPr>
              <w:jc w:val="center"/>
              <w:rPr>
                <w:rFonts w:ascii="Arial Narrow" w:hAnsi="Arial Narrow"/>
                <w:b/>
                <w:sz w:val="20"/>
                <w:szCs w:val="20"/>
              </w:rPr>
            </w:pPr>
            <w:r>
              <w:rPr>
                <w:rFonts w:ascii="Arial Narrow" w:hAnsi="Arial Narrow"/>
                <w:b/>
                <w:sz w:val="20"/>
                <w:szCs w:val="20"/>
              </w:rPr>
              <w:t>Roanoke River (198.08)</w:t>
            </w:r>
          </w:p>
        </w:tc>
        <w:tc>
          <w:tcPr>
            <w:tcW w:w="3600" w:type="dxa"/>
            <w:shd w:val="clear" w:color="auto" w:fill="D9D9D9" w:themeFill="background1" w:themeFillShade="D9"/>
            <w:vAlign w:val="center"/>
          </w:tcPr>
          <w:p w14:paraId="6E178F81" w14:textId="77777777" w:rsidR="00250E0C" w:rsidRPr="00613B31" w:rsidRDefault="00250E0C" w:rsidP="009A553E">
            <w:pPr>
              <w:jc w:val="center"/>
              <w:rPr>
                <w:rFonts w:ascii="Arial Narrow" w:hAnsi="Arial Narrow"/>
                <w:b/>
                <w:sz w:val="20"/>
                <w:szCs w:val="20"/>
              </w:rPr>
            </w:pPr>
            <w:r w:rsidRPr="00396EC1">
              <w:rPr>
                <w:rFonts w:ascii="Arial Narrow" w:hAnsi="Arial Narrow"/>
                <w:b/>
                <w:sz w:val="20"/>
                <w:szCs w:val="20"/>
              </w:rPr>
              <w:t>Explanation</w:t>
            </w:r>
          </w:p>
        </w:tc>
      </w:tr>
      <w:tr w:rsidR="003145C8" w:rsidRPr="007A0C83" w14:paraId="02C2FB13" w14:textId="77777777" w:rsidTr="009A553E">
        <w:trPr>
          <w:trHeight w:val="247"/>
        </w:trPr>
        <w:tc>
          <w:tcPr>
            <w:tcW w:w="2437" w:type="dxa"/>
            <w:vAlign w:val="center"/>
          </w:tcPr>
          <w:p w14:paraId="44907330" w14:textId="48445BB4" w:rsidR="003145C8" w:rsidRPr="003145C8" w:rsidRDefault="003145C8" w:rsidP="003145C8">
            <w:pPr>
              <w:jc w:val="left"/>
              <w:rPr>
                <w:rFonts w:ascii="Arial Narrow" w:hAnsi="Arial Narrow"/>
                <w:sz w:val="20"/>
                <w:szCs w:val="20"/>
                <w:highlight w:val="yellow"/>
              </w:rPr>
            </w:pPr>
            <w:r w:rsidRPr="003145C8">
              <w:rPr>
                <w:rFonts w:ascii="Arial Narrow" w:hAnsi="Arial Narrow" w:cs="Calibri"/>
                <w:color w:val="000000"/>
                <w:sz w:val="20"/>
                <w:szCs w:val="20"/>
              </w:rPr>
              <w:t>Spatial Co-occurrence</w:t>
            </w:r>
          </w:p>
        </w:tc>
        <w:tc>
          <w:tcPr>
            <w:tcW w:w="720" w:type="dxa"/>
            <w:vAlign w:val="center"/>
          </w:tcPr>
          <w:p w14:paraId="749FC95B" w14:textId="7C5D9BBB" w:rsidR="003145C8" w:rsidRPr="003145C8" w:rsidRDefault="003145C8" w:rsidP="009A553E">
            <w:pPr>
              <w:jc w:val="center"/>
              <w:rPr>
                <w:rFonts w:ascii="Arial Narrow" w:hAnsi="Arial Narrow" w:cs="Calibri"/>
                <w:color w:val="000000"/>
                <w:sz w:val="20"/>
                <w:szCs w:val="20"/>
              </w:rPr>
            </w:pPr>
            <w:r w:rsidRPr="003145C8">
              <w:rPr>
                <w:rFonts w:ascii="Arial Narrow" w:hAnsi="Arial Narrow" w:cs="Calibri"/>
                <w:color w:val="000000"/>
                <w:sz w:val="20"/>
                <w:szCs w:val="20"/>
              </w:rPr>
              <w:t>1</w:t>
            </w:r>
          </w:p>
        </w:tc>
        <w:tc>
          <w:tcPr>
            <w:tcW w:w="720" w:type="dxa"/>
            <w:vAlign w:val="center"/>
          </w:tcPr>
          <w:p w14:paraId="30FCAEDB" w14:textId="7504A5D9" w:rsidR="003145C8" w:rsidRPr="003145C8" w:rsidRDefault="003145C8" w:rsidP="009A553E">
            <w:pPr>
              <w:jc w:val="center"/>
              <w:rPr>
                <w:rFonts w:ascii="Arial Narrow" w:hAnsi="Arial Narrow" w:cs="Calibri"/>
                <w:color w:val="000000"/>
                <w:sz w:val="20"/>
                <w:szCs w:val="20"/>
              </w:rPr>
            </w:pPr>
            <w:r w:rsidRPr="003145C8">
              <w:rPr>
                <w:rFonts w:ascii="Arial Narrow" w:hAnsi="Arial Narrow" w:cs="Calibri"/>
                <w:color w:val="000000"/>
                <w:sz w:val="20"/>
                <w:szCs w:val="20"/>
              </w:rPr>
              <w:t>1</w:t>
            </w:r>
          </w:p>
        </w:tc>
        <w:tc>
          <w:tcPr>
            <w:tcW w:w="990" w:type="dxa"/>
            <w:vAlign w:val="center"/>
          </w:tcPr>
          <w:p w14:paraId="68CCD8B4" w14:textId="2231529B" w:rsidR="003145C8" w:rsidRPr="003145C8" w:rsidRDefault="003145C8" w:rsidP="009A553E">
            <w:pPr>
              <w:jc w:val="center"/>
              <w:rPr>
                <w:rFonts w:ascii="Arial Narrow" w:hAnsi="Arial Narrow" w:cs="Calibri"/>
                <w:color w:val="000000"/>
                <w:sz w:val="20"/>
                <w:szCs w:val="20"/>
              </w:rPr>
            </w:pPr>
            <w:r w:rsidRPr="003145C8">
              <w:rPr>
                <w:rFonts w:ascii="Arial Narrow" w:hAnsi="Arial Narrow" w:cs="Calibri"/>
                <w:color w:val="000000"/>
                <w:sz w:val="20"/>
                <w:szCs w:val="20"/>
              </w:rPr>
              <w:t>1</w:t>
            </w:r>
          </w:p>
        </w:tc>
        <w:tc>
          <w:tcPr>
            <w:tcW w:w="990" w:type="dxa"/>
            <w:vAlign w:val="center"/>
          </w:tcPr>
          <w:p w14:paraId="15A266BB" w14:textId="4174D478" w:rsidR="003145C8" w:rsidRPr="003145C8" w:rsidRDefault="003145C8" w:rsidP="009A553E">
            <w:pPr>
              <w:jc w:val="center"/>
              <w:rPr>
                <w:rFonts w:ascii="Arial Narrow" w:hAnsi="Arial Narrow"/>
                <w:color w:val="000000"/>
                <w:sz w:val="20"/>
                <w:szCs w:val="20"/>
                <w:highlight w:val="yellow"/>
              </w:rPr>
            </w:pPr>
            <w:r w:rsidRPr="003145C8">
              <w:rPr>
                <w:rFonts w:ascii="Arial Narrow" w:hAnsi="Arial Narrow" w:cs="Calibri"/>
                <w:color w:val="000000"/>
                <w:sz w:val="20"/>
                <w:szCs w:val="20"/>
              </w:rPr>
              <w:t>2</w:t>
            </w:r>
          </w:p>
        </w:tc>
        <w:tc>
          <w:tcPr>
            <w:tcW w:w="3600" w:type="dxa"/>
            <w:vAlign w:val="center"/>
          </w:tcPr>
          <w:p w14:paraId="124BD8A5" w14:textId="3AEA79DB" w:rsidR="003145C8" w:rsidRPr="003145C8" w:rsidRDefault="003145C8" w:rsidP="003145C8">
            <w:pPr>
              <w:jc w:val="left"/>
              <w:rPr>
                <w:rFonts w:ascii="Arial Narrow" w:hAnsi="Arial Narrow"/>
                <w:color w:val="000000"/>
                <w:sz w:val="20"/>
                <w:szCs w:val="20"/>
                <w:highlight w:val="yellow"/>
              </w:rPr>
            </w:pPr>
            <w:r w:rsidRPr="003145C8">
              <w:rPr>
                <w:rFonts w:ascii="Arial Narrow" w:hAnsi="Arial Narrow" w:cs="Calibri"/>
                <w:color w:val="000000"/>
                <w:sz w:val="20"/>
                <w:szCs w:val="20"/>
              </w:rPr>
              <w:t>All impaired stations had statistically higher sodium levels than the applicable reference. However, median sodium levels were in the no to low probability range for stressor effects in Wolf Creek, Tinker Creek, an</w:t>
            </w:r>
            <w:r w:rsidR="0068521C">
              <w:rPr>
                <w:rFonts w:ascii="Arial Narrow" w:hAnsi="Arial Narrow" w:cs="Calibri"/>
                <w:color w:val="000000"/>
                <w:sz w:val="20"/>
                <w:szCs w:val="20"/>
              </w:rPr>
              <w:t>d</w:t>
            </w:r>
            <w:r w:rsidRPr="003145C8">
              <w:rPr>
                <w:rFonts w:ascii="Arial Narrow" w:hAnsi="Arial Narrow" w:cs="Calibri"/>
                <w:color w:val="000000"/>
                <w:sz w:val="20"/>
                <w:szCs w:val="20"/>
              </w:rPr>
              <w:t xml:space="preserve"> Roanoke River (202.20). Median sodium levels were </w:t>
            </w:r>
            <w:r w:rsidR="0068521C">
              <w:rPr>
                <w:rFonts w:ascii="Arial Narrow" w:hAnsi="Arial Narrow" w:cs="Calibri"/>
                <w:color w:val="000000"/>
                <w:sz w:val="20"/>
                <w:szCs w:val="20"/>
              </w:rPr>
              <w:t>in the</w:t>
            </w:r>
            <w:r w:rsidRPr="003145C8">
              <w:rPr>
                <w:rFonts w:ascii="Arial Narrow" w:hAnsi="Arial Narrow" w:cs="Calibri"/>
                <w:color w:val="000000"/>
                <w:sz w:val="20"/>
                <w:szCs w:val="20"/>
              </w:rPr>
              <w:t xml:space="preserve"> medium range in the Roanoke River (198.08). </w:t>
            </w:r>
          </w:p>
        </w:tc>
      </w:tr>
      <w:tr w:rsidR="003145C8" w:rsidRPr="007A0C83" w14:paraId="6786254A" w14:textId="77777777" w:rsidTr="009A553E">
        <w:trPr>
          <w:trHeight w:val="247"/>
        </w:trPr>
        <w:tc>
          <w:tcPr>
            <w:tcW w:w="2437" w:type="dxa"/>
            <w:vAlign w:val="center"/>
          </w:tcPr>
          <w:p w14:paraId="0D26C62C" w14:textId="4DDF4F23" w:rsidR="003145C8" w:rsidRPr="003145C8" w:rsidRDefault="003145C8" w:rsidP="003145C8">
            <w:pPr>
              <w:jc w:val="left"/>
              <w:rPr>
                <w:rFonts w:ascii="Arial Narrow" w:hAnsi="Arial Narrow"/>
                <w:sz w:val="20"/>
                <w:szCs w:val="20"/>
                <w:highlight w:val="yellow"/>
              </w:rPr>
            </w:pPr>
            <w:r w:rsidRPr="003145C8">
              <w:rPr>
                <w:rFonts w:ascii="Arial Narrow" w:hAnsi="Arial Narrow" w:cs="Calibri"/>
                <w:color w:val="000000"/>
                <w:sz w:val="20"/>
                <w:szCs w:val="20"/>
              </w:rPr>
              <w:t>Temporal Co-occurrence</w:t>
            </w:r>
          </w:p>
        </w:tc>
        <w:tc>
          <w:tcPr>
            <w:tcW w:w="720" w:type="dxa"/>
            <w:vAlign w:val="center"/>
          </w:tcPr>
          <w:p w14:paraId="238D374B" w14:textId="131DB610" w:rsidR="003145C8" w:rsidRPr="003145C8" w:rsidRDefault="003145C8" w:rsidP="009A553E">
            <w:pPr>
              <w:jc w:val="center"/>
              <w:rPr>
                <w:rFonts w:ascii="Arial Narrow" w:hAnsi="Arial Narrow" w:cs="Calibri"/>
                <w:color w:val="000000"/>
                <w:sz w:val="20"/>
                <w:szCs w:val="20"/>
              </w:rPr>
            </w:pPr>
            <w:r w:rsidRPr="003145C8">
              <w:rPr>
                <w:rFonts w:ascii="Arial Narrow" w:hAnsi="Arial Narrow" w:cs="Calibri"/>
                <w:color w:val="000000"/>
                <w:sz w:val="20"/>
                <w:szCs w:val="20"/>
              </w:rPr>
              <w:t>-2</w:t>
            </w:r>
          </w:p>
        </w:tc>
        <w:tc>
          <w:tcPr>
            <w:tcW w:w="720" w:type="dxa"/>
            <w:vAlign w:val="center"/>
          </w:tcPr>
          <w:p w14:paraId="7B8EF048" w14:textId="69EA78D2" w:rsidR="003145C8" w:rsidRPr="003145C8" w:rsidRDefault="003145C8" w:rsidP="009A553E">
            <w:pPr>
              <w:jc w:val="center"/>
              <w:rPr>
                <w:rFonts w:ascii="Arial Narrow" w:hAnsi="Arial Narrow" w:cs="Calibri"/>
                <w:color w:val="000000"/>
                <w:sz w:val="20"/>
                <w:szCs w:val="20"/>
              </w:rPr>
            </w:pPr>
            <w:r w:rsidRPr="003145C8">
              <w:rPr>
                <w:rFonts w:ascii="Arial Narrow" w:hAnsi="Arial Narrow" w:cs="Calibri"/>
                <w:color w:val="000000"/>
                <w:sz w:val="20"/>
                <w:szCs w:val="20"/>
              </w:rPr>
              <w:t>1</w:t>
            </w:r>
          </w:p>
        </w:tc>
        <w:tc>
          <w:tcPr>
            <w:tcW w:w="990" w:type="dxa"/>
            <w:vAlign w:val="center"/>
          </w:tcPr>
          <w:p w14:paraId="35A4E604" w14:textId="5A7500BF" w:rsidR="003145C8" w:rsidRPr="003145C8" w:rsidRDefault="003145C8" w:rsidP="009A553E">
            <w:pPr>
              <w:jc w:val="center"/>
              <w:rPr>
                <w:rFonts w:ascii="Arial Narrow" w:hAnsi="Arial Narrow" w:cs="Calibri"/>
                <w:color w:val="000000"/>
                <w:sz w:val="20"/>
                <w:szCs w:val="20"/>
              </w:rPr>
            </w:pPr>
            <w:r w:rsidRPr="003145C8">
              <w:rPr>
                <w:rFonts w:ascii="Arial Narrow" w:hAnsi="Arial Narrow" w:cs="Calibri"/>
                <w:color w:val="000000"/>
                <w:sz w:val="20"/>
                <w:szCs w:val="20"/>
              </w:rPr>
              <w:t>-2</w:t>
            </w:r>
          </w:p>
        </w:tc>
        <w:tc>
          <w:tcPr>
            <w:tcW w:w="990" w:type="dxa"/>
            <w:vAlign w:val="center"/>
          </w:tcPr>
          <w:p w14:paraId="1219003F" w14:textId="076F7DF4" w:rsidR="003145C8" w:rsidRPr="003145C8" w:rsidRDefault="003145C8" w:rsidP="009A553E">
            <w:pPr>
              <w:jc w:val="center"/>
              <w:rPr>
                <w:rFonts w:ascii="Arial Narrow" w:hAnsi="Arial Narrow"/>
                <w:color w:val="000000"/>
                <w:sz w:val="20"/>
                <w:szCs w:val="20"/>
                <w:highlight w:val="yellow"/>
              </w:rPr>
            </w:pPr>
            <w:r w:rsidRPr="003145C8">
              <w:rPr>
                <w:rFonts w:ascii="Arial Narrow" w:hAnsi="Arial Narrow" w:cs="Calibri"/>
                <w:color w:val="000000"/>
                <w:sz w:val="20"/>
                <w:szCs w:val="20"/>
              </w:rPr>
              <w:t>1</w:t>
            </w:r>
          </w:p>
        </w:tc>
        <w:tc>
          <w:tcPr>
            <w:tcW w:w="3600" w:type="dxa"/>
            <w:vAlign w:val="center"/>
          </w:tcPr>
          <w:p w14:paraId="642B2DBA" w14:textId="35B5E000" w:rsidR="003145C8" w:rsidRPr="003145C8" w:rsidRDefault="003145C8" w:rsidP="003145C8">
            <w:pPr>
              <w:jc w:val="left"/>
              <w:rPr>
                <w:rFonts w:ascii="Arial Narrow" w:hAnsi="Arial Narrow"/>
                <w:color w:val="000000"/>
                <w:sz w:val="20"/>
                <w:szCs w:val="20"/>
                <w:highlight w:val="yellow"/>
              </w:rPr>
            </w:pPr>
            <w:r w:rsidRPr="003145C8">
              <w:rPr>
                <w:rFonts w:ascii="Arial Narrow" w:hAnsi="Arial Narrow" w:cs="Calibri"/>
                <w:color w:val="000000"/>
                <w:sz w:val="20"/>
                <w:szCs w:val="20"/>
              </w:rPr>
              <w:t xml:space="preserve">At or around the time of benthic sampling, dissolved sodium levels were in the no to low probability range for stressor effects in Wolf Creek and Roanoke River (202.20) and low to medium range in Tinker Creek and Roanoke River (198.08). </w:t>
            </w:r>
          </w:p>
        </w:tc>
      </w:tr>
      <w:tr w:rsidR="003145C8" w:rsidRPr="007A0C83" w14:paraId="1A24B341" w14:textId="77777777" w:rsidTr="009A553E">
        <w:trPr>
          <w:trHeight w:val="247"/>
        </w:trPr>
        <w:tc>
          <w:tcPr>
            <w:tcW w:w="2437" w:type="dxa"/>
            <w:vAlign w:val="center"/>
          </w:tcPr>
          <w:p w14:paraId="336ADF9B" w14:textId="4BBC8098" w:rsidR="003145C8" w:rsidRPr="003145C8" w:rsidRDefault="003145C8" w:rsidP="003145C8">
            <w:pPr>
              <w:jc w:val="left"/>
              <w:rPr>
                <w:rFonts w:ascii="Arial Narrow" w:hAnsi="Arial Narrow"/>
                <w:sz w:val="20"/>
                <w:szCs w:val="20"/>
                <w:highlight w:val="yellow"/>
              </w:rPr>
            </w:pPr>
            <w:r w:rsidRPr="003145C8">
              <w:rPr>
                <w:rFonts w:ascii="Arial Narrow" w:hAnsi="Arial Narrow" w:cs="Calibri"/>
                <w:color w:val="000000"/>
                <w:sz w:val="20"/>
                <w:szCs w:val="20"/>
              </w:rPr>
              <w:t>Stressor-Response Relationships from the Field</w:t>
            </w:r>
          </w:p>
        </w:tc>
        <w:tc>
          <w:tcPr>
            <w:tcW w:w="720" w:type="dxa"/>
            <w:vAlign w:val="center"/>
          </w:tcPr>
          <w:p w14:paraId="26111953" w14:textId="65440D24" w:rsidR="003145C8" w:rsidRPr="003145C8" w:rsidRDefault="003145C8" w:rsidP="009A553E">
            <w:pPr>
              <w:jc w:val="center"/>
              <w:rPr>
                <w:rFonts w:ascii="Arial Narrow" w:hAnsi="Arial Narrow" w:cs="Calibri"/>
                <w:color w:val="000000"/>
                <w:sz w:val="20"/>
                <w:szCs w:val="20"/>
              </w:rPr>
            </w:pPr>
            <w:r w:rsidRPr="003145C8">
              <w:rPr>
                <w:rFonts w:ascii="Arial Narrow" w:hAnsi="Arial Narrow" w:cs="Calibri"/>
                <w:color w:val="000000"/>
                <w:sz w:val="20"/>
                <w:szCs w:val="20"/>
              </w:rPr>
              <w:t>-2</w:t>
            </w:r>
          </w:p>
        </w:tc>
        <w:tc>
          <w:tcPr>
            <w:tcW w:w="720" w:type="dxa"/>
            <w:vAlign w:val="center"/>
          </w:tcPr>
          <w:p w14:paraId="79053AB9" w14:textId="1C787C9A" w:rsidR="003145C8" w:rsidRPr="003145C8" w:rsidRDefault="003145C8" w:rsidP="009A553E">
            <w:pPr>
              <w:jc w:val="center"/>
              <w:rPr>
                <w:rFonts w:ascii="Arial Narrow" w:hAnsi="Arial Narrow" w:cs="Calibri"/>
                <w:color w:val="000000"/>
                <w:sz w:val="20"/>
                <w:szCs w:val="20"/>
              </w:rPr>
            </w:pPr>
            <w:r w:rsidRPr="003145C8">
              <w:rPr>
                <w:rFonts w:ascii="Arial Narrow" w:hAnsi="Arial Narrow" w:cs="Calibri"/>
                <w:color w:val="000000"/>
                <w:sz w:val="20"/>
                <w:szCs w:val="20"/>
              </w:rPr>
              <w:t>-2</w:t>
            </w:r>
          </w:p>
        </w:tc>
        <w:tc>
          <w:tcPr>
            <w:tcW w:w="990" w:type="dxa"/>
            <w:vAlign w:val="center"/>
          </w:tcPr>
          <w:p w14:paraId="58AAC68A" w14:textId="1A1918E8" w:rsidR="003145C8" w:rsidRPr="003145C8" w:rsidRDefault="003145C8" w:rsidP="009A553E">
            <w:pPr>
              <w:jc w:val="center"/>
              <w:rPr>
                <w:rFonts w:ascii="Arial Narrow" w:hAnsi="Arial Narrow" w:cs="Calibri"/>
                <w:color w:val="000000"/>
                <w:sz w:val="20"/>
                <w:szCs w:val="20"/>
              </w:rPr>
            </w:pPr>
            <w:r w:rsidRPr="003145C8">
              <w:rPr>
                <w:rFonts w:ascii="Arial Narrow" w:hAnsi="Arial Narrow" w:cs="Calibri"/>
                <w:color w:val="000000"/>
                <w:sz w:val="20"/>
                <w:szCs w:val="20"/>
              </w:rPr>
              <w:t>-2</w:t>
            </w:r>
          </w:p>
        </w:tc>
        <w:tc>
          <w:tcPr>
            <w:tcW w:w="990" w:type="dxa"/>
            <w:vAlign w:val="center"/>
          </w:tcPr>
          <w:p w14:paraId="2A8F7560" w14:textId="7686143A" w:rsidR="003145C8" w:rsidRPr="003145C8" w:rsidRDefault="003145C8" w:rsidP="009A553E">
            <w:pPr>
              <w:jc w:val="center"/>
              <w:rPr>
                <w:rFonts w:ascii="Arial Narrow" w:hAnsi="Arial Narrow"/>
                <w:color w:val="000000"/>
                <w:sz w:val="20"/>
                <w:szCs w:val="20"/>
                <w:highlight w:val="yellow"/>
              </w:rPr>
            </w:pPr>
            <w:r w:rsidRPr="003145C8">
              <w:rPr>
                <w:rFonts w:ascii="Arial Narrow" w:hAnsi="Arial Narrow" w:cs="Calibri"/>
                <w:color w:val="000000"/>
                <w:sz w:val="20"/>
                <w:szCs w:val="20"/>
              </w:rPr>
              <w:t>-2</w:t>
            </w:r>
          </w:p>
        </w:tc>
        <w:tc>
          <w:tcPr>
            <w:tcW w:w="3600" w:type="dxa"/>
            <w:vAlign w:val="center"/>
          </w:tcPr>
          <w:p w14:paraId="5C96A429" w14:textId="22315137" w:rsidR="003145C8" w:rsidRPr="003145C8" w:rsidRDefault="003145C8" w:rsidP="003145C8">
            <w:pPr>
              <w:jc w:val="left"/>
              <w:rPr>
                <w:rFonts w:ascii="Arial Narrow" w:hAnsi="Arial Narrow"/>
                <w:color w:val="000000"/>
                <w:sz w:val="20"/>
                <w:szCs w:val="20"/>
                <w:highlight w:val="yellow"/>
              </w:rPr>
            </w:pPr>
            <w:r w:rsidRPr="003145C8">
              <w:rPr>
                <w:rFonts w:ascii="Arial Narrow" w:hAnsi="Arial Narrow" w:cs="Calibri"/>
                <w:color w:val="000000"/>
                <w:sz w:val="20"/>
                <w:szCs w:val="20"/>
              </w:rPr>
              <w:t>Dissolved sodium was not significantly correlated with benthic health across sites.</w:t>
            </w:r>
          </w:p>
        </w:tc>
      </w:tr>
      <w:tr w:rsidR="003145C8" w:rsidRPr="007A0C83" w14:paraId="096403DD" w14:textId="77777777" w:rsidTr="009A553E">
        <w:trPr>
          <w:trHeight w:val="247"/>
        </w:trPr>
        <w:tc>
          <w:tcPr>
            <w:tcW w:w="2437" w:type="dxa"/>
            <w:vAlign w:val="center"/>
          </w:tcPr>
          <w:p w14:paraId="0CFD8FD8" w14:textId="3E309E3C" w:rsidR="003145C8" w:rsidRPr="003145C8" w:rsidRDefault="003145C8" w:rsidP="003145C8">
            <w:pPr>
              <w:jc w:val="left"/>
              <w:rPr>
                <w:rFonts w:ascii="Arial Narrow" w:hAnsi="Arial Narrow" w:cs="Calibri"/>
                <w:b/>
                <w:bCs/>
                <w:color w:val="000000"/>
                <w:sz w:val="20"/>
                <w:szCs w:val="20"/>
                <w:highlight w:val="yellow"/>
              </w:rPr>
            </w:pPr>
            <w:r w:rsidRPr="003145C8">
              <w:rPr>
                <w:rFonts w:ascii="Arial Narrow" w:hAnsi="Arial Narrow" w:cs="Calibri"/>
                <w:color w:val="000000"/>
                <w:sz w:val="20"/>
                <w:szCs w:val="20"/>
              </w:rPr>
              <w:t>Laboratory Tests of Site Media</w:t>
            </w:r>
          </w:p>
        </w:tc>
        <w:tc>
          <w:tcPr>
            <w:tcW w:w="720" w:type="dxa"/>
            <w:vAlign w:val="center"/>
          </w:tcPr>
          <w:p w14:paraId="76841307" w14:textId="6A334C18" w:rsidR="003145C8" w:rsidRPr="003145C8" w:rsidRDefault="003145C8" w:rsidP="009A553E">
            <w:pPr>
              <w:jc w:val="center"/>
              <w:rPr>
                <w:rFonts w:ascii="Arial Narrow" w:hAnsi="Arial Narrow" w:cs="Calibri"/>
                <w:color w:val="000000"/>
                <w:sz w:val="20"/>
                <w:szCs w:val="20"/>
              </w:rPr>
            </w:pPr>
            <w:r w:rsidRPr="003145C8">
              <w:rPr>
                <w:rFonts w:ascii="Arial Narrow" w:hAnsi="Arial Narrow" w:cs="Calibri"/>
                <w:color w:val="000000"/>
                <w:sz w:val="20"/>
                <w:szCs w:val="20"/>
              </w:rPr>
              <w:t>0</w:t>
            </w:r>
          </w:p>
        </w:tc>
        <w:tc>
          <w:tcPr>
            <w:tcW w:w="720" w:type="dxa"/>
            <w:vAlign w:val="center"/>
          </w:tcPr>
          <w:p w14:paraId="43DAF146" w14:textId="4CFB2EED" w:rsidR="003145C8" w:rsidRPr="003145C8" w:rsidRDefault="003145C8" w:rsidP="009A553E">
            <w:pPr>
              <w:jc w:val="center"/>
              <w:rPr>
                <w:rFonts w:ascii="Arial Narrow" w:hAnsi="Arial Narrow" w:cs="Calibri"/>
                <w:color w:val="000000"/>
                <w:sz w:val="20"/>
                <w:szCs w:val="20"/>
              </w:rPr>
            </w:pPr>
            <w:r w:rsidRPr="003145C8">
              <w:rPr>
                <w:rFonts w:ascii="Arial Narrow" w:hAnsi="Arial Narrow" w:cs="Calibri"/>
                <w:color w:val="000000"/>
                <w:sz w:val="20"/>
                <w:szCs w:val="20"/>
              </w:rPr>
              <w:t>0</w:t>
            </w:r>
          </w:p>
        </w:tc>
        <w:tc>
          <w:tcPr>
            <w:tcW w:w="990" w:type="dxa"/>
            <w:vAlign w:val="center"/>
          </w:tcPr>
          <w:p w14:paraId="4166DC7A" w14:textId="5B441DC0" w:rsidR="003145C8" w:rsidRPr="003145C8" w:rsidRDefault="003145C8" w:rsidP="009A553E">
            <w:pPr>
              <w:jc w:val="center"/>
              <w:rPr>
                <w:rFonts w:ascii="Arial Narrow" w:hAnsi="Arial Narrow" w:cs="Calibri"/>
                <w:color w:val="000000"/>
                <w:sz w:val="20"/>
                <w:szCs w:val="20"/>
              </w:rPr>
            </w:pPr>
            <w:r w:rsidRPr="003145C8">
              <w:rPr>
                <w:rFonts w:ascii="Arial Narrow" w:hAnsi="Arial Narrow" w:cs="Calibri"/>
                <w:color w:val="000000"/>
                <w:sz w:val="20"/>
                <w:szCs w:val="20"/>
              </w:rPr>
              <w:t>-2</w:t>
            </w:r>
          </w:p>
        </w:tc>
        <w:tc>
          <w:tcPr>
            <w:tcW w:w="990" w:type="dxa"/>
            <w:vAlign w:val="center"/>
          </w:tcPr>
          <w:p w14:paraId="22250A31" w14:textId="5F363EEB" w:rsidR="003145C8" w:rsidRPr="003145C8" w:rsidRDefault="003145C8" w:rsidP="009A553E">
            <w:pPr>
              <w:jc w:val="center"/>
              <w:rPr>
                <w:rFonts w:ascii="Arial Narrow" w:hAnsi="Arial Narrow" w:cs="Calibri"/>
                <w:b/>
                <w:color w:val="000000"/>
                <w:sz w:val="20"/>
                <w:szCs w:val="20"/>
                <w:highlight w:val="yellow"/>
              </w:rPr>
            </w:pPr>
            <w:r w:rsidRPr="003145C8">
              <w:rPr>
                <w:rFonts w:ascii="Arial Narrow" w:hAnsi="Arial Narrow" w:cs="Calibri"/>
                <w:color w:val="000000"/>
                <w:sz w:val="20"/>
                <w:szCs w:val="20"/>
              </w:rPr>
              <w:t>-2</w:t>
            </w:r>
          </w:p>
        </w:tc>
        <w:tc>
          <w:tcPr>
            <w:tcW w:w="3600" w:type="dxa"/>
            <w:vAlign w:val="center"/>
          </w:tcPr>
          <w:p w14:paraId="0204B36D" w14:textId="3F1893FD" w:rsidR="003145C8" w:rsidRPr="003145C8" w:rsidRDefault="003145C8" w:rsidP="003145C8">
            <w:pPr>
              <w:jc w:val="left"/>
              <w:rPr>
                <w:rFonts w:ascii="Arial Narrow" w:hAnsi="Arial Narrow"/>
                <w:color w:val="000000"/>
                <w:sz w:val="20"/>
                <w:szCs w:val="20"/>
                <w:highlight w:val="yellow"/>
              </w:rPr>
            </w:pPr>
            <w:r w:rsidRPr="003145C8">
              <w:rPr>
                <w:rFonts w:ascii="Arial Narrow" w:hAnsi="Arial Narrow" w:cs="Calibri"/>
                <w:color w:val="000000"/>
                <w:sz w:val="20"/>
                <w:szCs w:val="20"/>
              </w:rPr>
              <w:t xml:space="preserve">No toxicity (in IC25 endpoints) was observed in C. </w:t>
            </w:r>
            <w:proofErr w:type="spellStart"/>
            <w:r w:rsidRPr="003145C8">
              <w:rPr>
                <w:rFonts w:ascii="Arial Narrow" w:hAnsi="Arial Narrow" w:cs="Calibri"/>
                <w:color w:val="000000"/>
                <w:sz w:val="20"/>
                <w:szCs w:val="20"/>
              </w:rPr>
              <w:t>dubia</w:t>
            </w:r>
            <w:proofErr w:type="spellEnd"/>
            <w:r w:rsidRPr="003145C8">
              <w:rPr>
                <w:rFonts w:ascii="Arial Narrow" w:hAnsi="Arial Narrow" w:cs="Calibri"/>
                <w:color w:val="000000"/>
                <w:sz w:val="20"/>
                <w:szCs w:val="20"/>
              </w:rPr>
              <w:t xml:space="preserve"> and P. </w:t>
            </w:r>
            <w:proofErr w:type="spellStart"/>
            <w:r w:rsidRPr="003145C8">
              <w:rPr>
                <w:rFonts w:ascii="Arial Narrow" w:hAnsi="Arial Narrow" w:cs="Calibri"/>
                <w:color w:val="000000"/>
                <w:sz w:val="20"/>
                <w:szCs w:val="20"/>
              </w:rPr>
              <w:t>promelas</w:t>
            </w:r>
            <w:proofErr w:type="spellEnd"/>
            <w:r w:rsidRPr="003145C8">
              <w:rPr>
                <w:rFonts w:ascii="Arial Narrow" w:hAnsi="Arial Narrow" w:cs="Calibri"/>
                <w:color w:val="000000"/>
                <w:sz w:val="20"/>
                <w:szCs w:val="20"/>
              </w:rPr>
              <w:t xml:space="preserve"> laboratory toxicity testing of Roanoke River samples.</w:t>
            </w:r>
          </w:p>
        </w:tc>
      </w:tr>
      <w:tr w:rsidR="003145C8" w:rsidRPr="007A0C83" w14:paraId="50B964A6" w14:textId="77777777" w:rsidTr="009A553E">
        <w:trPr>
          <w:trHeight w:val="247"/>
        </w:trPr>
        <w:tc>
          <w:tcPr>
            <w:tcW w:w="2437" w:type="dxa"/>
            <w:vAlign w:val="center"/>
          </w:tcPr>
          <w:p w14:paraId="5CF4EFA8" w14:textId="613C5AF9" w:rsidR="003145C8" w:rsidRPr="003145C8" w:rsidRDefault="003145C8" w:rsidP="003145C8">
            <w:pPr>
              <w:jc w:val="left"/>
              <w:rPr>
                <w:rFonts w:ascii="Arial Narrow" w:hAnsi="Arial Narrow" w:cs="Calibri"/>
                <w:b/>
                <w:bCs/>
                <w:color w:val="000000"/>
                <w:sz w:val="20"/>
                <w:szCs w:val="20"/>
                <w:highlight w:val="yellow"/>
              </w:rPr>
            </w:pPr>
            <w:r w:rsidRPr="003145C8">
              <w:rPr>
                <w:rFonts w:ascii="Arial Narrow" w:hAnsi="Arial Narrow" w:cs="Calibri"/>
                <w:color w:val="000000"/>
                <w:sz w:val="20"/>
                <w:szCs w:val="20"/>
              </w:rPr>
              <w:t>Temporal Sequence</w:t>
            </w:r>
          </w:p>
        </w:tc>
        <w:tc>
          <w:tcPr>
            <w:tcW w:w="720" w:type="dxa"/>
            <w:vAlign w:val="center"/>
          </w:tcPr>
          <w:p w14:paraId="3B9ADD9C" w14:textId="7CFA4EEA" w:rsidR="003145C8" w:rsidRPr="003145C8" w:rsidRDefault="003145C8" w:rsidP="009A553E">
            <w:pPr>
              <w:jc w:val="center"/>
              <w:rPr>
                <w:rFonts w:ascii="Arial Narrow" w:hAnsi="Arial Narrow" w:cs="Calibri"/>
                <w:color w:val="000000"/>
                <w:sz w:val="20"/>
                <w:szCs w:val="20"/>
              </w:rPr>
            </w:pPr>
            <w:r w:rsidRPr="003145C8">
              <w:rPr>
                <w:rFonts w:ascii="Arial Narrow" w:hAnsi="Arial Narrow" w:cs="Calibri"/>
                <w:sz w:val="20"/>
                <w:szCs w:val="20"/>
              </w:rPr>
              <w:t>-1</w:t>
            </w:r>
          </w:p>
        </w:tc>
        <w:tc>
          <w:tcPr>
            <w:tcW w:w="720" w:type="dxa"/>
            <w:vAlign w:val="center"/>
          </w:tcPr>
          <w:p w14:paraId="3F346F35" w14:textId="3AA765F4" w:rsidR="003145C8" w:rsidRPr="003145C8" w:rsidRDefault="003145C8" w:rsidP="009A553E">
            <w:pPr>
              <w:jc w:val="center"/>
              <w:rPr>
                <w:rFonts w:ascii="Arial Narrow" w:hAnsi="Arial Narrow" w:cs="Calibri"/>
                <w:color w:val="000000"/>
                <w:sz w:val="20"/>
                <w:szCs w:val="20"/>
              </w:rPr>
            </w:pPr>
            <w:r w:rsidRPr="003145C8">
              <w:rPr>
                <w:rFonts w:ascii="Arial Narrow" w:hAnsi="Arial Narrow" w:cs="Calibri"/>
                <w:sz w:val="20"/>
                <w:szCs w:val="20"/>
              </w:rPr>
              <w:t>-1</w:t>
            </w:r>
          </w:p>
        </w:tc>
        <w:tc>
          <w:tcPr>
            <w:tcW w:w="990" w:type="dxa"/>
            <w:vAlign w:val="center"/>
          </w:tcPr>
          <w:p w14:paraId="599B0D4F" w14:textId="4E893DF8" w:rsidR="003145C8" w:rsidRPr="003145C8" w:rsidRDefault="003145C8" w:rsidP="009A553E">
            <w:pPr>
              <w:jc w:val="center"/>
              <w:rPr>
                <w:rFonts w:ascii="Arial Narrow" w:hAnsi="Arial Narrow" w:cs="Calibri"/>
                <w:color w:val="000000"/>
                <w:sz w:val="20"/>
                <w:szCs w:val="20"/>
              </w:rPr>
            </w:pPr>
            <w:r w:rsidRPr="003145C8">
              <w:rPr>
                <w:rFonts w:ascii="Arial Narrow" w:hAnsi="Arial Narrow" w:cs="Calibri"/>
                <w:sz w:val="20"/>
                <w:szCs w:val="20"/>
              </w:rPr>
              <w:t>-1</w:t>
            </w:r>
          </w:p>
        </w:tc>
        <w:tc>
          <w:tcPr>
            <w:tcW w:w="990" w:type="dxa"/>
            <w:vAlign w:val="center"/>
          </w:tcPr>
          <w:p w14:paraId="2C5A6D5C" w14:textId="68527616" w:rsidR="003145C8" w:rsidRPr="003145C8" w:rsidRDefault="003145C8" w:rsidP="009A553E">
            <w:pPr>
              <w:jc w:val="center"/>
              <w:rPr>
                <w:rFonts w:ascii="Arial Narrow" w:hAnsi="Arial Narrow" w:cs="Calibri"/>
                <w:b/>
                <w:color w:val="000000"/>
                <w:sz w:val="20"/>
                <w:szCs w:val="20"/>
                <w:highlight w:val="yellow"/>
              </w:rPr>
            </w:pPr>
            <w:r w:rsidRPr="003145C8">
              <w:rPr>
                <w:rFonts w:ascii="Arial Narrow" w:hAnsi="Arial Narrow" w:cs="Calibri"/>
                <w:sz w:val="20"/>
                <w:szCs w:val="20"/>
              </w:rPr>
              <w:t>-1</w:t>
            </w:r>
          </w:p>
        </w:tc>
        <w:tc>
          <w:tcPr>
            <w:tcW w:w="3600" w:type="dxa"/>
            <w:vAlign w:val="center"/>
          </w:tcPr>
          <w:p w14:paraId="24223E36" w14:textId="2F2D4874" w:rsidR="003145C8" w:rsidRPr="003145C8" w:rsidRDefault="003145C8" w:rsidP="003145C8">
            <w:pPr>
              <w:jc w:val="left"/>
              <w:rPr>
                <w:rFonts w:ascii="Arial Narrow" w:hAnsi="Arial Narrow"/>
                <w:color w:val="000000"/>
                <w:sz w:val="20"/>
                <w:szCs w:val="20"/>
                <w:highlight w:val="yellow"/>
              </w:rPr>
            </w:pPr>
            <w:r w:rsidRPr="003145C8">
              <w:rPr>
                <w:rFonts w:ascii="Arial Narrow" w:hAnsi="Arial Narrow" w:cs="Calibri"/>
                <w:color w:val="000000"/>
                <w:sz w:val="20"/>
                <w:szCs w:val="20"/>
              </w:rPr>
              <w:t xml:space="preserve">Spring SCI scores were lower than fall scores in each of the impaired streams, but no distinct seasonal patterns were observed in sodium levels. </w:t>
            </w:r>
          </w:p>
        </w:tc>
      </w:tr>
      <w:tr w:rsidR="003145C8" w:rsidRPr="007A0C83" w14:paraId="61A06C37" w14:textId="77777777" w:rsidTr="009A553E">
        <w:trPr>
          <w:trHeight w:val="247"/>
        </w:trPr>
        <w:tc>
          <w:tcPr>
            <w:tcW w:w="2437" w:type="dxa"/>
            <w:vAlign w:val="center"/>
          </w:tcPr>
          <w:p w14:paraId="167EAAF0" w14:textId="296B8C0A" w:rsidR="003145C8" w:rsidRPr="003145C8" w:rsidRDefault="003145C8" w:rsidP="003145C8">
            <w:pPr>
              <w:jc w:val="left"/>
              <w:rPr>
                <w:rFonts w:ascii="Arial Narrow" w:hAnsi="Arial Narrow" w:cs="Calibri"/>
                <w:b/>
                <w:bCs/>
                <w:color w:val="000000"/>
                <w:sz w:val="20"/>
                <w:szCs w:val="20"/>
              </w:rPr>
            </w:pPr>
            <w:r w:rsidRPr="003145C8">
              <w:rPr>
                <w:rFonts w:ascii="Arial Narrow" w:hAnsi="Arial Narrow" w:cs="Calibri"/>
                <w:color w:val="000000"/>
                <w:sz w:val="20"/>
                <w:szCs w:val="20"/>
              </w:rPr>
              <w:t>Stressor-Response Relationships from Other Field Studies</w:t>
            </w:r>
          </w:p>
        </w:tc>
        <w:tc>
          <w:tcPr>
            <w:tcW w:w="720" w:type="dxa"/>
            <w:vAlign w:val="center"/>
          </w:tcPr>
          <w:p w14:paraId="147068B2" w14:textId="1DE817CD" w:rsidR="003145C8" w:rsidRPr="003145C8" w:rsidRDefault="003145C8" w:rsidP="009A553E">
            <w:pPr>
              <w:jc w:val="center"/>
              <w:rPr>
                <w:rFonts w:ascii="Arial Narrow" w:hAnsi="Arial Narrow" w:cs="Calibri"/>
                <w:b/>
                <w:color w:val="000000"/>
                <w:sz w:val="20"/>
                <w:szCs w:val="20"/>
              </w:rPr>
            </w:pPr>
            <w:r w:rsidRPr="003145C8">
              <w:rPr>
                <w:rFonts w:ascii="Arial Narrow" w:hAnsi="Arial Narrow" w:cs="Calibri"/>
                <w:color w:val="000000"/>
                <w:sz w:val="20"/>
                <w:szCs w:val="20"/>
              </w:rPr>
              <w:t>-1</w:t>
            </w:r>
          </w:p>
        </w:tc>
        <w:tc>
          <w:tcPr>
            <w:tcW w:w="720" w:type="dxa"/>
            <w:vAlign w:val="center"/>
          </w:tcPr>
          <w:p w14:paraId="376D2E49" w14:textId="6BE5E7D7" w:rsidR="003145C8" w:rsidRPr="003145C8" w:rsidRDefault="003145C8" w:rsidP="009A553E">
            <w:pPr>
              <w:jc w:val="center"/>
              <w:rPr>
                <w:rFonts w:ascii="Arial Narrow" w:hAnsi="Arial Narrow" w:cs="Calibri"/>
                <w:b/>
                <w:color w:val="000000"/>
                <w:sz w:val="20"/>
                <w:szCs w:val="20"/>
              </w:rPr>
            </w:pPr>
            <w:r w:rsidRPr="003145C8">
              <w:rPr>
                <w:rFonts w:ascii="Arial Narrow" w:hAnsi="Arial Narrow" w:cs="Calibri"/>
                <w:color w:val="000000"/>
                <w:sz w:val="20"/>
                <w:szCs w:val="20"/>
              </w:rPr>
              <w:t>-1</w:t>
            </w:r>
          </w:p>
        </w:tc>
        <w:tc>
          <w:tcPr>
            <w:tcW w:w="990" w:type="dxa"/>
            <w:vAlign w:val="center"/>
          </w:tcPr>
          <w:p w14:paraId="72957424" w14:textId="6DFC112C" w:rsidR="003145C8" w:rsidRPr="003145C8" w:rsidRDefault="003145C8" w:rsidP="009A553E">
            <w:pPr>
              <w:jc w:val="center"/>
              <w:rPr>
                <w:rFonts w:ascii="Arial Narrow" w:hAnsi="Arial Narrow" w:cs="Calibri"/>
                <w:b/>
                <w:color w:val="000000"/>
                <w:sz w:val="20"/>
                <w:szCs w:val="20"/>
              </w:rPr>
            </w:pPr>
            <w:r w:rsidRPr="003145C8">
              <w:rPr>
                <w:rFonts w:ascii="Arial Narrow" w:hAnsi="Arial Narrow" w:cs="Calibri"/>
                <w:color w:val="000000"/>
                <w:sz w:val="20"/>
                <w:szCs w:val="20"/>
              </w:rPr>
              <w:t>-3</w:t>
            </w:r>
          </w:p>
        </w:tc>
        <w:tc>
          <w:tcPr>
            <w:tcW w:w="990" w:type="dxa"/>
            <w:vAlign w:val="center"/>
          </w:tcPr>
          <w:p w14:paraId="6A95902C" w14:textId="7A2BBEBD" w:rsidR="003145C8" w:rsidRPr="003145C8" w:rsidRDefault="003145C8" w:rsidP="009A553E">
            <w:pPr>
              <w:jc w:val="center"/>
              <w:rPr>
                <w:rFonts w:ascii="Arial Narrow" w:hAnsi="Arial Narrow" w:cs="Calibri"/>
                <w:b/>
                <w:color w:val="000000"/>
                <w:sz w:val="20"/>
                <w:szCs w:val="20"/>
              </w:rPr>
            </w:pPr>
            <w:r w:rsidRPr="003145C8">
              <w:rPr>
                <w:rFonts w:ascii="Arial Narrow" w:hAnsi="Arial Narrow" w:cs="Calibri"/>
                <w:color w:val="000000"/>
                <w:sz w:val="20"/>
                <w:szCs w:val="20"/>
              </w:rPr>
              <w:t>1</w:t>
            </w:r>
          </w:p>
        </w:tc>
        <w:tc>
          <w:tcPr>
            <w:tcW w:w="3600" w:type="dxa"/>
            <w:vAlign w:val="center"/>
          </w:tcPr>
          <w:p w14:paraId="06C8D502" w14:textId="7B415F4E" w:rsidR="003145C8" w:rsidRPr="003145C8" w:rsidRDefault="003145C8" w:rsidP="003145C8">
            <w:pPr>
              <w:jc w:val="left"/>
              <w:rPr>
                <w:rFonts w:ascii="Arial Narrow" w:hAnsi="Arial Narrow"/>
                <w:color w:val="000000"/>
                <w:sz w:val="20"/>
                <w:szCs w:val="20"/>
                <w:highlight w:val="yellow"/>
              </w:rPr>
            </w:pPr>
            <w:r w:rsidRPr="003145C8">
              <w:rPr>
                <w:rFonts w:ascii="Arial Narrow" w:hAnsi="Arial Narrow" w:cs="Calibri"/>
                <w:color w:val="000000"/>
                <w:sz w:val="20"/>
                <w:szCs w:val="20"/>
              </w:rPr>
              <w:t xml:space="preserve">Median sodium levels were in the no probability range for stressor effects in Roanoke River (202.20), low probability range in Wolf Creek and Tinker Creek, and medium range in the Roanoke River (198.08). </w:t>
            </w:r>
          </w:p>
        </w:tc>
      </w:tr>
      <w:tr w:rsidR="003145C8" w:rsidRPr="007A0C83" w14:paraId="3EA45226" w14:textId="77777777" w:rsidTr="009A553E">
        <w:trPr>
          <w:trHeight w:val="247"/>
        </w:trPr>
        <w:tc>
          <w:tcPr>
            <w:tcW w:w="2437" w:type="dxa"/>
            <w:vAlign w:val="center"/>
          </w:tcPr>
          <w:p w14:paraId="6264668D" w14:textId="044BEDF1" w:rsidR="003145C8" w:rsidRPr="003145C8" w:rsidRDefault="003145C8" w:rsidP="003145C8">
            <w:pPr>
              <w:jc w:val="left"/>
              <w:rPr>
                <w:rFonts w:ascii="Arial Narrow" w:hAnsi="Arial Narrow" w:cs="Calibri"/>
                <w:b/>
                <w:bCs/>
                <w:color w:val="000000"/>
                <w:sz w:val="20"/>
                <w:szCs w:val="20"/>
              </w:rPr>
            </w:pPr>
            <w:r w:rsidRPr="003145C8">
              <w:rPr>
                <w:rFonts w:ascii="Arial Narrow" w:hAnsi="Arial Narrow" w:cs="Calibri"/>
                <w:color w:val="000000"/>
                <w:sz w:val="20"/>
                <w:szCs w:val="20"/>
              </w:rPr>
              <w:t>Stressor-Response Relationships from Laboratory Studies</w:t>
            </w:r>
          </w:p>
        </w:tc>
        <w:tc>
          <w:tcPr>
            <w:tcW w:w="720" w:type="dxa"/>
            <w:vAlign w:val="center"/>
          </w:tcPr>
          <w:p w14:paraId="40BF10A1" w14:textId="7929D9F3" w:rsidR="003145C8" w:rsidRPr="003145C8" w:rsidRDefault="003145C8" w:rsidP="009A553E">
            <w:pPr>
              <w:jc w:val="center"/>
              <w:rPr>
                <w:rFonts w:ascii="Arial Narrow" w:hAnsi="Arial Narrow" w:cs="Calibri"/>
                <w:b/>
                <w:color w:val="000000"/>
                <w:sz w:val="20"/>
                <w:szCs w:val="20"/>
              </w:rPr>
            </w:pPr>
            <w:r w:rsidRPr="003145C8">
              <w:rPr>
                <w:rFonts w:ascii="Arial Narrow" w:hAnsi="Arial Narrow" w:cs="Calibri"/>
                <w:color w:val="000000"/>
                <w:sz w:val="20"/>
                <w:szCs w:val="20"/>
              </w:rPr>
              <w:t>-3</w:t>
            </w:r>
          </w:p>
        </w:tc>
        <w:tc>
          <w:tcPr>
            <w:tcW w:w="720" w:type="dxa"/>
            <w:vAlign w:val="center"/>
          </w:tcPr>
          <w:p w14:paraId="7CEDCF6B" w14:textId="3C3BCD55" w:rsidR="003145C8" w:rsidRPr="003145C8" w:rsidRDefault="003145C8" w:rsidP="009A553E">
            <w:pPr>
              <w:jc w:val="center"/>
              <w:rPr>
                <w:rFonts w:ascii="Arial Narrow" w:hAnsi="Arial Narrow" w:cs="Calibri"/>
                <w:b/>
                <w:color w:val="000000"/>
                <w:sz w:val="20"/>
                <w:szCs w:val="20"/>
              </w:rPr>
            </w:pPr>
            <w:r w:rsidRPr="003145C8">
              <w:rPr>
                <w:rFonts w:ascii="Arial Narrow" w:hAnsi="Arial Narrow" w:cs="Calibri"/>
                <w:color w:val="000000"/>
                <w:sz w:val="20"/>
                <w:szCs w:val="20"/>
              </w:rPr>
              <w:t>-3</w:t>
            </w:r>
          </w:p>
        </w:tc>
        <w:tc>
          <w:tcPr>
            <w:tcW w:w="990" w:type="dxa"/>
            <w:vAlign w:val="center"/>
          </w:tcPr>
          <w:p w14:paraId="4A3B4165" w14:textId="23DF7933" w:rsidR="003145C8" w:rsidRPr="003145C8" w:rsidRDefault="003145C8" w:rsidP="009A553E">
            <w:pPr>
              <w:jc w:val="center"/>
              <w:rPr>
                <w:rFonts w:ascii="Arial Narrow" w:hAnsi="Arial Narrow" w:cs="Calibri"/>
                <w:b/>
                <w:color w:val="000000"/>
                <w:sz w:val="20"/>
                <w:szCs w:val="20"/>
              </w:rPr>
            </w:pPr>
            <w:r w:rsidRPr="003145C8">
              <w:rPr>
                <w:rFonts w:ascii="Arial Narrow" w:hAnsi="Arial Narrow" w:cs="Calibri"/>
                <w:color w:val="000000"/>
                <w:sz w:val="20"/>
                <w:szCs w:val="20"/>
              </w:rPr>
              <w:t>-3</w:t>
            </w:r>
          </w:p>
        </w:tc>
        <w:tc>
          <w:tcPr>
            <w:tcW w:w="990" w:type="dxa"/>
            <w:vAlign w:val="center"/>
          </w:tcPr>
          <w:p w14:paraId="5E488D8A" w14:textId="6682378E" w:rsidR="003145C8" w:rsidRPr="003145C8" w:rsidRDefault="003145C8" w:rsidP="009A553E">
            <w:pPr>
              <w:jc w:val="center"/>
              <w:rPr>
                <w:rFonts w:ascii="Arial Narrow" w:hAnsi="Arial Narrow" w:cs="Calibri"/>
                <w:b/>
                <w:color w:val="000000"/>
                <w:sz w:val="20"/>
                <w:szCs w:val="20"/>
              </w:rPr>
            </w:pPr>
            <w:r w:rsidRPr="003145C8">
              <w:rPr>
                <w:rFonts w:ascii="Arial Narrow" w:hAnsi="Arial Narrow" w:cs="Calibri"/>
                <w:color w:val="000000"/>
                <w:sz w:val="20"/>
                <w:szCs w:val="20"/>
              </w:rPr>
              <w:t>-3</w:t>
            </w:r>
          </w:p>
        </w:tc>
        <w:tc>
          <w:tcPr>
            <w:tcW w:w="3600" w:type="dxa"/>
            <w:vAlign w:val="center"/>
          </w:tcPr>
          <w:p w14:paraId="206ADCC6" w14:textId="34013C91" w:rsidR="003145C8" w:rsidRPr="003145C8" w:rsidRDefault="003145C8" w:rsidP="003145C8">
            <w:pPr>
              <w:jc w:val="left"/>
              <w:rPr>
                <w:rFonts w:ascii="Arial Narrow" w:hAnsi="Arial Narrow"/>
                <w:color w:val="000000"/>
                <w:sz w:val="20"/>
                <w:szCs w:val="20"/>
                <w:highlight w:val="yellow"/>
              </w:rPr>
            </w:pPr>
            <w:r w:rsidRPr="003145C8">
              <w:rPr>
                <w:rFonts w:ascii="Arial Narrow" w:hAnsi="Arial Narrow" w:cs="Calibri"/>
                <w:color w:val="000000"/>
                <w:sz w:val="20"/>
                <w:szCs w:val="20"/>
              </w:rPr>
              <w:t>In an analysis of toxicity to major ions (Mount et al., 2016), all LC50s for Ceriodaphnia exposed to sodium salts were well above the sodium levels in Roanoke River project streams.</w:t>
            </w:r>
          </w:p>
        </w:tc>
      </w:tr>
      <w:tr w:rsidR="003145C8" w:rsidRPr="007A0C83" w14:paraId="04040C5C" w14:textId="77777777" w:rsidTr="009A553E">
        <w:trPr>
          <w:trHeight w:val="247"/>
        </w:trPr>
        <w:tc>
          <w:tcPr>
            <w:tcW w:w="2437" w:type="dxa"/>
            <w:vAlign w:val="center"/>
          </w:tcPr>
          <w:p w14:paraId="52CEBAA2" w14:textId="74F6DF56" w:rsidR="003145C8" w:rsidRPr="003145C8" w:rsidRDefault="003145C8" w:rsidP="003145C8">
            <w:pPr>
              <w:jc w:val="left"/>
              <w:rPr>
                <w:rFonts w:ascii="Arial Narrow" w:hAnsi="Arial Narrow" w:cs="Calibri"/>
                <w:b/>
                <w:bCs/>
                <w:color w:val="000000"/>
                <w:sz w:val="20"/>
                <w:szCs w:val="20"/>
              </w:rPr>
            </w:pPr>
            <w:r w:rsidRPr="003145C8">
              <w:rPr>
                <w:rFonts w:ascii="Arial Narrow" w:hAnsi="Arial Narrow" w:cs="Calibri"/>
                <w:color w:val="000000"/>
                <w:sz w:val="20"/>
                <w:szCs w:val="20"/>
              </w:rPr>
              <w:t>Mechanistically Plausible Cause</w:t>
            </w:r>
          </w:p>
        </w:tc>
        <w:tc>
          <w:tcPr>
            <w:tcW w:w="720" w:type="dxa"/>
            <w:vAlign w:val="center"/>
          </w:tcPr>
          <w:p w14:paraId="5FDAC951" w14:textId="3DE2E04D" w:rsidR="003145C8" w:rsidRPr="003145C8" w:rsidRDefault="003145C8" w:rsidP="009A553E">
            <w:pPr>
              <w:jc w:val="center"/>
              <w:rPr>
                <w:rFonts w:ascii="Arial Narrow" w:hAnsi="Arial Narrow" w:cs="Calibri"/>
                <w:b/>
                <w:color w:val="000000"/>
                <w:sz w:val="20"/>
                <w:szCs w:val="20"/>
              </w:rPr>
            </w:pPr>
            <w:r w:rsidRPr="003145C8">
              <w:rPr>
                <w:rFonts w:ascii="Arial Narrow" w:hAnsi="Arial Narrow" w:cs="Calibri"/>
                <w:sz w:val="20"/>
                <w:szCs w:val="20"/>
              </w:rPr>
              <w:t>-2</w:t>
            </w:r>
          </w:p>
        </w:tc>
        <w:tc>
          <w:tcPr>
            <w:tcW w:w="720" w:type="dxa"/>
            <w:vAlign w:val="center"/>
          </w:tcPr>
          <w:p w14:paraId="676A1AEA" w14:textId="43C3BFC4" w:rsidR="003145C8" w:rsidRPr="003145C8" w:rsidRDefault="003145C8" w:rsidP="009A553E">
            <w:pPr>
              <w:jc w:val="center"/>
              <w:rPr>
                <w:rFonts w:ascii="Arial Narrow" w:hAnsi="Arial Narrow" w:cs="Calibri"/>
                <w:b/>
                <w:color w:val="000000"/>
                <w:sz w:val="20"/>
                <w:szCs w:val="20"/>
              </w:rPr>
            </w:pPr>
            <w:r w:rsidRPr="003145C8">
              <w:rPr>
                <w:rFonts w:ascii="Arial Narrow" w:hAnsi="Arial Narrow" w:cs="Calibri"/>
                <w:sz w:val="20"/>
                <w:szCs w:val="20"/>
              </w:rPr>
              <w:t>-2</w:t>
            </w:r>
          </w:p>
        </w:tc>
        <w:tc>
          <w:tcPr>
            <w:tcW w:w="990" w:type="dxa"/>
            <w:vAlign w:val="center"/>
          </w:tcPr>
          <w:p w14:paraId="6C9771D3" w14:textId="47A09B38" w:rsidR="003145C8" w:rsidRPr="003145C8" w:rsidRDefault="003145C8" w:rsidP="009A553E">
            <w:pPr>
              <w:jc w:val="center"/>
              <w:rPr>
                <w:rFonts w:ascii="Arial Narrow" w:hAnsi="Arial Narrow" w:cs="Calibri"/>
                <w:b/>
                <w:color w:val="000000"/>
                <w:sz w:val="20"/>
                <w:szCs w:val="20"/>
              </w:rPr>
            </w:pPr>
            <w:r w:rsidRPr="003145C8">
              <w:rPr>
                <w:rFonts w:ascii="Arial Narrow" w:hAnsi="Arial Narrow" w:cs="Calibri"/>
                <w:sz w:val="20"/>
                <w:szCs w:val="20"/>
              </w:rPr>
              <w:t>-2</w:t>
            </w:r>
          </w:p>
        </w:tc>
        <w:tc>
          <w:tcPr>
            <w:tcW w:w="990" w:type="dxa"/>
            <w:vAlign w:val="center"/>
          </w:tcPr>
          <w:p w14:paraId="08F69E4C" w14:textId="776F8516" w:rsidR="003145C8" w:rsidRPr="003145C8" w:rsidRDefault="003145C8" w:rsidP="009A553E">
            <w:pPr>
              <w:jc w:val="center"/>
              <w:rPr>
                <w:rFonts w:ascii="Arial Narrow" w:hAnsi="Arial Narrow" w:cs="Calibri"/>
                <w:b/>
                <w:color w:val="000000"/>
                <w:sz w:val="20"/>
                <w:szCs w:val="20"/>
              </w:rPr>
            </w:pPr>
            <w:r w:rsidRPr="003145C8">
              <w:rPr>
                <w:rFonts w:ascii="Arial Narrow" w:hAnsi="Arial Narrow" w:cs="Calibri"/>
                <w:sz w:val="20"/>
                <w:szCs w:val="20"/>
              </w:rPr>
              <w:t>-2</w:t>
            </w:r>
          </w:p>
        </w:tc>
        <w:tc>
          <w:tcPr>
            <w:tcW w:w="3600" w:type="dxa"/>
            <w:vAlign w:val="center"/>
          </w:tcPr>
          <w:p w14:paraId="782379C9" w14:textId="0C51A3B7" w:rsidR="003145C8" w:rsidRPr="003145C8" w:rsidRDefault="003145C8" w:rsidP="003145C8">
            <w:pPr>
              <w:jc w:val="left"/>
              <w:rPr>
                <w:rFonts w:ascii="Arial Narrow" w:hAnsi="Arial Narrow"/>
                <w:color w:val="000000"/>
                <w:sz w:val="20"/>
                <w:szCs w:val="20"/>
                <w:highlight w:val="yellow"/>
              </w:rPr>
            </w:pPr>
            <w:r w:rsidRPr="003145C8">
              <w:rPr>
                <w:rFonts w:ascii="Arial Narrow" w:hAnsi="Arial Narrow" w:cs="Calibri"/>
                <w:color w:val="000000"/>
                <w:sz w:val="20"/>
                <w:szCs w:val="20"/>
              </w:rPr>
              <w:t xml:space="preserve">Since sodium levels are well below toxic levels, benthic impacts due to sodium are unlikely. </w:t>
            </w:r>
          </w:p>
        </w:tc>
      </w:tr>
      <w:tr w:rsidR="003145C8" w:rsidRPr="007A0C83" w14:paraId="31E87A4D" w14:textId="77777777" w:rsidTr="009A553E">
        <w:trPr>
          <w:trHeight w:val="247"/>
        </w:trPr>
        <w:tc>
          <w:tcPr>
            <w:tcW w:w="2437" w:type="dxa"/>
            <w:vAlign w:val="center"/>
          </w:tcPr>
          <w:p w14:paraId="766ED4EA" w14:textId="3BB6941A" w:rsidR="003145C8" w:rsidRPr="003145C8" w:rsidRDefault="003145C8" w:rsidP="003145C8">
            <w:pPr>
              <w:jc w:val="left"/>
              <w:rPr>
                <w:rFonts w:ascii="Arial Narrow" w:hAnsi="Arial Narrow" w:cs="Calibri"/>
                <w:b/>
                <w:bCs/>
                <w:color w:val="000000"/>
                <w:sz w:val="20"/>
                <w:szCs w:val="20"/>
              </w:rPr>
            </w:pPr>
            <w:r w:rsidRPr="003145C8">
              <w:rPr>
                <w:rFonts w:ascii="Arial Narrow" w:hAnsi="Arial Narrow" w:cs="Calibri"/>
                <w:color w:val="000000"/>
                <w:sz w:val="20"/>
                <w:szCs w:val="20"/>
              </w:rPr>
              <w:t>Analogous Stressors</w:t>
            </w:r>
          </w:p>
        </w:tc>
        <w:tc>
          <w:tcPr>
            <w:tcW w:w="720" w:type="dxa"/>
            <w:vAlign w:val="center"/>
          </w:tcPr>
          <w:p w14:paraId="14EB1477" w14:textId="665C7FC3" w:rsidR="003145C8" w:rsidRPr="003145C8" w:rsidRDefault="003145C8" w:rsidP="009A553E">
            <w:pPr>
              <w:jc w:val="center"/>
              <w:rPr>
                <w:rFonts w:ascii="Arial Narrow" w:hAnsi="Arial Narrow" w:cs="Calibri"/>
                <w:b/>
                <w:color w:val="000000"/>
                <w:sz w:val="20"/>
                <w:szCs w:val="20"/>
              </w:rPr>
            </w:pPr>
            <w:r w:rsidRPr="003145C8">
              <w:rPr>
                <w:rFonts w:ascii="Arial Narrow" w:hAnsi="Arial Narrow" w:cs="Calibri"/>
                <w:color w:val="000000"/>
                <w:sz w:val="20"/>
                <w:szCs w:val="20"/>
              </w:rPr>
              <w:t>-3</w:t>
            </w:r>
          </w:p>
        </w:tc>
        <w:tc>
          <w:tcPr>
            <w:tcW w:w="720" w:type="dxa"/>
            <w:vAlign w:val="center"/>
          </w:tcPr>
          <w:p w14:paraId="197CCBA9" w14:textId="059E3F46" w:rsidR="003145C8" w:rsidRPr="003145C8" w:rsidRDefault="003145C8" w:rsidP="009A553E">
            <w:pPr>
              <w:jc w:val="center"/>
              <w:rPr>
                <w:rFonts w:ascii="Arial Narrow" w:hAnsi="Arial Narrow" w:cs="Calibri"/>
                <w:b/>
                <w:color w:val="000000"/>
                <w:sz w:val="20"/>
                <w:szCs w:val="20"/>
              </w:rPr>
            </w:pPr>
            <w:r w:rsidRPr="003145C8">
              <w:rPr>
                <w:rFonts w:ascii="Arial Narrow" w:hAnsi="Arial Narrow" w:cs="Calibri"/>
                <w:color w:val="000000"/>
                <w:sz w:val="20"/>
                <w:szCs w:val="20"/>
              </w:rPr>
              <w:t>1</w:t>
            </w:r>
          </w:p>
        </w:tc>
        <w:tc>
          <w:tcPr>
            <w:tcW w:w="990" w:type="dxa"/>
            <w:vAlign w:val="center"/>
          </w:tcPr>
          <w:p w14:paraId="639DCF3C" w14:textId="22EE1555" w:rsidR="003145C8" w:rsidRPr="003145C8" w:rsidRDefault="003145C8" w:rsidP="009A553E">
            <w:pPr>
              <w:jc w:val="center"/>
              <w:rPr>
                <w:rFonts w:ascii="Arial Narrow" w:hAnsi="Arial Narrow" w:cs="Calibri"/>
                <w:b/>
                <w:color w:val="000000"/>
                <w:sz w:val="20"/>
                <w:szCs w:val="20"/>
              </w:rPr>
            </w:pPr>
            <w:r w:rsidRPr="003145C8">
              <w:rPr>
                <w:rFonts w:ascii="Arial Narrow" w:hAnsi="Arial Narrow" w:cs="Calibri"/>
                <w:color w:val="000000"/>
                <w:sz w:val="20"/>
                <w:szCs w:val="20"/>
              </w:rPr>
              <w:t>-1</w:t>
            </w:r>
          </w:p>
        </w:tc>
        <w:tc>
          <w:tcPr>
            <w:tcW w:w="990" w:type="dxa"/>
            <w:vAlign w:val="center"/>
          </w:tcPr>
          <w:p w14:paraId="38241D85" w14:textId="22B51A7F" w:rsidR="003145C8" w:rsidRPr="003145C8" w:rsidRDefault="003145C8" w:rsidP="009A553E">
            <w:pPr>
              <w:jc w:val="center"/>
              <w:rPr>
                <w:rFonts w:ascii="Arial Narrow" w:hAnsi="Arial Narrow" w:cs="Calibri"/>
                <w:b/>
                <w:color w:val="000000"/>
                <w:sz w:val="20"/>
                <w:szCs w:val="20"/>
              </w:rPr>
            </w:pPr>
            <w:r w:rsidRPr="003145C8">
              <w:rPr>
                <w:rFonts w:ascii="Arial Narrow" w:hAnsi="Arial Narrow" w:cs="Calibri"/>
                <w:color w:val="000000"/>
                <w:sz w:val="20"/>
                <w:szCs w:val="20"/>
              </w:rPr>
              <w:t>1</w:t>
            </w:r>
          </w:p>
        </w:tc>
        <w:tc>
          <w:tcPr>
            <w:tcW w:w="3600" w:type="dxa"/>
            <w:vAlign w:val="center"/>
          </w:tcPr>
          <w:p w14:paraId="5C8D404C" w14:textId="18C651F5" w:rsidR="003145C8" w:rsidRPr="003145C8" w:rsidRDefault="003145C8" w:rsidP="003145C8">
            <w:pPr>
              <w:jc w:val="left"/>
              <w:rPr>
                <w:rFonts w:ascii="Arial Narrow" w:hAnsi="Arial Narrow"/>
                <w:color w:val="000000"/>
                <w:sz w:val="20"/>
                <w:szCs w:val="20"/>
                <w:highlight w:val="yellow"/>
              </w:rPr>
            </w:pPr>
            <w:r w:rsidRPr="003145C8">
              <w:rPr>
                <w:rFonts w:ascii="Arial Narrow" w:hAnsi="Arial Narrow" w:cs="Calibri"/>
                <w:color w:val="000000"/>
                <w:sz w:val="20"/>
                <w:szCs w:val="20"/>
              </w:rPr>
              <w:t xml:space="preserve">For the analogous stressor of conductivity, median conductivity values were in the no probability range for stressor effects in Wolf Creek, medium range in Tinker Creek, low range in Roanoke River (202.20), and medium range in Roanoke River (198.08). </w:t>
            </w:r>
          </w:p>
        </w:tc>
      </w:tr>
      <w:tr w:rsidR="003145C8" w:rsidRPr="007A0C83" w14:paraId="04A6AD13" w14:textId="77777777" w:rsidTr="009A553E">
        <w:trPr>
          <w:trHeight w:val="247"/>
        </w:trPr>
        <w:tc>
          <w:tcPr>
            <w:tcW w:w="2437" w:type="dxa"/>
            <w:vAlign w:val="center"/>
          </w:tcPr>
          <w:p w14:paraId="3EA8BBE2" w14:textId="1DA4E31E" w:rsidR="003145C8" w:rsidRPr="003145C8" w:rsidRDefault="003145C8" w:rsidP="003145C8">
            <w:pPr>
              <w:jc w:val="left"/>
              <w:rPr>
                <w:rFonts w:ascii="Arial Narrow" w:hAnsi="Arial Narrow" w:cs="Calibri"/>
                <w:b/>
                <w:bCs/>
                <w:color w:val="000000"/>
                <w:sz w:val="20"/>
                <w:szCs w:val="20"/>
              </w:rPr>
            </w:pPr>
            <w:r w:rsidRPr="003145C8">
              <w:rPr>
                <w:rFonts w:ascii="Arial Narrow" w:hAnsi="Arial Narrow" w:cs="Calibri"/>
                <w:color w:val="000000"/>
                <w:sz w:val="20"/>
                <w:szCs w:val="20"/>
              </w:rPr>
              <w:t>Consistency of Evidence</w:t>
            </w:r>
          </w:p>
        </w:tc>
        <w:tc>
          <w:tcPr>
            <w:tcW w:w="720" w:type="dxa"/>
            <w:vAlign w:val="center"/>
          </w:tcPr>
          <w:p w14:paraId="6A3C93C2" w14:textId="5F51BCD6" w:rsidR="003145C8" w:rsidRPr="003145C8" w:rsidRDefault="003145C8" w:rsidP="009A553E">
            <w:pPr>
              <w:jc w:val="center"/>
              <w:rPr>
                <w:rFonts w:ascii="Arial Narrow" w:hAnsi="Arial Narrow" w:cs="Calibri"/>
                <w:b/>
                <w:color w:val="000000"/>
                <w:sz w:val="20"/>
                <w:szCs w:val="20"/>
              </w:rPr>
            </w:pPr>
            <w:r w:rsidRPr="003145C8">
              <w:rPr>
                <w:rFonts w:ascii="Arial Narrow" w:hAnsi="Arial Narrow" w:cs="Calibri"/>
                <w:color w:val="000000"/>
                <w:sz w:val="20"/>
                <w:szCs w:val="20"/>
              </w:rPr>
              <w:t>-2</w:t>
            </w:r>
          </w:p>
        </w:tc>
        <w:tc>
          <w:tcPr>
            <w:tcW w:w="720" w:type="dxa"/>
            <w:vAlign w:val="center"/>
          </w:tcPr>
          <w:p w14:paraId="30FD5E55" w14:textId="191E177E" w:rsidR="003145C8" w:rsidRPr="003145C8" w:rsidRDefault="003145C8" w:rsidP="009A553E">
            <w:pPr>
              <w:jc w:val="center"/>
              <w:rPr>
                <w:rFonts w:ascii="Arial Narrow" w:hAnsi="Arial Narrow" w:cs="Calibri"/>
                <w:b/>
                <w:color w:val="000000"/>
                <w:sz w:val="20"/>
                <w:szCs w:val="20"/>
              </w:rPr>
            </w:pPr>
            <w:r w:rsidRPr="003145C8">
              <w:rPr>
                <w:rFonts w:ascii="Arial Narrow" w:hAnsi="Arial Narrow" w:cs="Calibri"/>
                <w:color w:val="000000"/>
                <w:sz w:val="20"/>
                <w:szCs w:val="20"/>
              </w:rPr>
              <w:t>0</w:t>
            </w:r>
          </w:p>
        </w:tc>
        <w:tc>
          <w:tcPr>
            <w:tcW w:w="990" w:type="dxa"/>
            <w:vAlign w:val="center"/>
          </w:tcPr>
          <w:p w14:paraId="0318A917" w14:textId="3FBE481C" w:rsidR="003145C8" w:rsidRPr="003145C8" w:rsidRDefault="003145C8" w:rsidP="009A553E">
            <w:pPr>
              <w:jc w:val="center"/>
              <w:rPr>
                <w:rFonts w:ascii="Arial Narrow" w:hAnsi="Arial Narrow" w:cs="Calibri"/>
                <w:b/>
                <w:color w:val="000000"/>
                <w:sz w:val="20"/>
                <w:szCs w:val="20"/>
              </w:rPr>
            </w:pPr>
            <w:r w:rsidRPr="003145C8">
              <w:rPr>
                <w:rFonts w:ascii="Arial Narrow" w:hAnsi="Arial Narrow" w:cs="Calibri"/>
                <w:color w:val="000000"/>
                <w:sz w:val="20"/>
                <w:szCs w:val="20"/>
              </w:rPr>
              <w:t>-2</w:t>
            </w:r>
          </w:p>
        </w:tc>
        <w:tc>
          <w:tcPr>
            <w:tcW w:w="990" w:type="dxa"/>
            <w:vAlign w:val="center"/>
          </w:tcPr>
          <w:p w14:paraId="641B9266" w14:textId="37B7A736" w:rsidR="003145C8" w:rsidRPr="003145C8" w:rsidRDefault="003145C8" w:rsidP="009A553E">
            <w:pPr>
              <w:jc w:val="center"/>
              <w:rPr>
                <w:rFonts w:ascii="Arial Narrow" w:hAnsi="Arial Narrow" w:cs="Calibri"/>
                <w:b/>
                <w:color w:val="000000"/>
                <w:sz w:val="20"/>
                <w:szCs w:val="20"/>
              </w:rPr>
            </w:pPr>
            <w:r w:rsidRPr="003145C8">
              <w:rPr>
                <w:rFonts w:ascii="Arial Narrow" w:hAnsi="Arial Narrow" w:cs="Calibri"/>
                <w:color w:val="000000"/>
                <w:sz w:val="20"/>
                <w:szCs w:val="20"/>
              </w:rPr>
              <w:t>0</w:t>
            </w:r>
          </w:p>
        </w:tc>
        <w:tc>
          <w:tcPr>
            <w:tcW w:w="3600" w:type="dxa"/>
            <w:vAlign w:val="center"/>
          </w:tcPr>
          <w:p w14:paraId="10CC31FF" w14:textId="7A427117" w:rsidR="003145C8" w:rsidRPr="003145C8" w:rsidRDefault="003145C8" w:rsidP="003145C8">
            <w:pPr>
              <w:jc w:val="left"/>
              <w:rPr>
                <w:rFonts w:ascii="Arial Narrow" w:hAnsi="Arial Narrow"/>
                <w:color w:val="000000"/>
                <w:sz w:val="20"/>
                <w:szCs w:val="20"/>
                <w:highlight w:val="yellow"/>
              </w:rPr>
            </w:pPr>
            <w:r w:rsidRPr="003145C8">
              <w:rPr>
                <w:rFonts w:ascii="Arial Narrow" w:hAnsi="Arial Narrow" w:cs="Calibri"/>
                <w:color w:val="000000"/>
                <w:sz w:val="20"/>
                <w:szCs w:val="20"/>
              </w:rPr>
              <w:t>Evidence strongly refutes sodium as a stressor in Wolf Creek and Roanoke River (202.20), but evidence is inconsistent in other streams.</w:t>
            </w:r>
          </w:p>
        </w:tc>
      </w:tr>
      <w:tr w:rsidR="003145C8" w:rsidRPr="003145C8" w14:paraId="1860A39A" w14:textId="77777777" w:rsidTr="009A553E">
        <w:trPr>
          <w:trHeight w:val="247"/>
        </w:trPr>
        <w:tc>
          <w:tcPr>
            <w:tcW w:w="2437" w:type="dxa"/>
            <w:vAlign w:val="center"/>
          </w:tcPr>
          <w:p w14:paraId="70D91CC0" w14:textId="512193CB" w:rsidR="003145C8" w:rsidRPr="003145C8" w:rsidRDefault="003145C8" w:rsidP="009A553E">
            <w:pPr>
              <w:jc w:val="right"/>
              <w:rPr>
                <w:rFonts w:ascii="Arial Narrow" w:hAnsi="Arial Narrow" w:cs="Calibri"/>
                <w:b/>
                <w:bCs/>
                <w:color w:val="000000"/>
                <w:sz w:val="20"/>
                <w:szCs w:val="20"/>
              </w:rPr>
            </w:pPr>
            <w:r w:rsidRPr="003145C8">
              <w:rPr>
                <w:rFonts w:ascii="Arial Narrow" w:hAnsi="Arial Narrow" w:cs="Calibri"/>
                <w:b/>
                <w:bCs/>
                <w:color w:val="000000"/>
                <w:sz w:val="20"/>
                <w:szCs w:val="20"/>
              </w:rPr>
              <w:t>Sum</w:t>
            </w:r>
          </w:p>
        </w:tc>
        <w:tc>
          <w:tcPr>
            <w:tcW w:w="720" w:type="dxa"/>
            <w:vAlign w:val="center"/>
          </w:tcPr>
          <w:p w14:paraId="5430EE21" w14:textId="0ECC15E0" w:rsidR="003145C8" w:rsidRPr="003145C8" w:rsidRDefault="003145C8" w:rsidP="009A553E">
            <w:pPr>
              <w:jc w:val="center"/>
              <w:rPr>
                <w:rFonts w:ascii="Arial Narrow" w:hAnsi="Arial Narrow" w:cs="Calibri"/>
                <w:b/>
                <w:color w:val="000000"/>
                <w:sz w:val="20"/>
                <w:szCs w:val="20"/>
              </w:rPr>
            </w:pPr>
            <w:r w:rsidRPr="003145C8">
              <w:rPr>
                <w:rFonts w:ascii="Arial Narrow" w:hAnsi="Arial Narrow" w:cs="Calibri"/>
                <w:b/>
                <w:color w:val="000000"/>
                <w:sz w:val="20"/>
                <w:szCs w:val="20"/>
              </w:rPr>
              <w:t>-15</w:t>
            </w:r>
          </w:p>
        </w:tc>
        <w:tc>
          <w:tcPr>
            <w:tcW w:w="720" w:type="dxa"/>
            <w:vAlign w:val="center"/>
          </w:tcPr>
          <w:p w14:paraId="742C55E8" w14:textId="4FF99509" w:rsidR="003145C8" w:rsidRPr="003145C8" w:rsidRDefault="003145C8" w:rsidP="009A553E">
            <w:pPr>
              <w:jc w:val="center"/>
              <w:rPr>
                <w:rFonts w:ascii="Arial Narrow" w:hAnsi="Arial Narrow" w:cs="Calibri"/>
                <w:b/>
                <w:color w:val="000000"/>
                <w:sz w:val="20"/>
                <w:szCs w:val="20"/>
              </w:rPr>
            </w:pPr>
            <w:r w:rsidRPr="003145C8">
              <w:rPr>
                <w:rFonts w:ascii="Arial Narrow" w:hAnsi="Arial Narrow" w:cs="Calibri"/>
                <w:b/>
                <w:color w:val="000000"/>
                <w:sz w:val="20"/>
                <w:szCs w:val="20"/>
              </w:rPr>
              <w:t>-6</w:t>
            </w:r>
          </w:p>
        </w:tc>
        <w:tc>
          <w:tcPr>
            <w:tcW w:w="990" w:type="dxa"/>
            <w:vAlign w:val="center"/>
          </w:tcPr>
          <w:p w14:paraId="63E89107" w14:textId="45D92FCA" w:rsidR="003145C8" w:rsidRPr="003145C8" w:rsidRDefault="003145C8" w:rsidP="009A553E">
            <w:pPr>
              <w:jc w:val="center"/>
              <w:rPr>
                <w:rFonts w:ascii="Arial Narrow" w:hAnsi="Arial Narrow" w:cs="Calibri"/>
                <w:b/>
                <w:color w:val="000000"/>
                <w:sz w:val="20"/>
                <w:szCs w:val="20"/>
              </w:rPr>
            </w:pPr>
            <w:r w:rsidRPr="003145C8">
              <w:rPr>
                <w:rFonts w:ascii="Arial Narrow" w:hAnsi="Arial Narrow" w:cs="Calibri"/>
                <w:b/>
                <w:color w:val="000000"/>
                <w:sz w:val="20"/>
                <w:szCs w:val="20"/>
              </w:rPr>
              <w:t>-17</w:t>
            </w:r>
          </w:p>
        </w:tc>
        <w:tc>
          <w:tcPr>
            <w:tcW w:w="990" w:type="dxa"/>
            <w:vAlign w:val="center"/>
          </w:tcPr>
          <w:p w14:paraId="6C109B2C" w14:textId="209E05DD" w:rsidR="003145C8" w:rsidRPr="003145C8" w:rsidRDefault="003145C8" w:rsidP="009A553E">
            <w:pPr>
              <w:jc w:val="center"/>
              <w:rPr>
                <w:rFonts w:ascii="Arial Narrow" w:hAnsi="Arial Narrow" w:cs="Calibri"/>
                <w:b/>
                <w:color w:val="000000"/>
                <w:sz w:val="20"/>
                <w:szCs w:val="20"/>
              </w:rPr>
            </w:pPr>
            <w:r w:rsidRPr="003145C8">
              <w:rPr>
                <w:rFonts w:ascii="Arial Narrow" w:hAnsi="Arial Narrow" w:cs="Calibri"/>
                <w:b/>
                <w:color w:val="000000"/>
                <w:sz w:val="20"/>
                <w:szCs w:val="20"/>
              </w:rPr>
              <w:t>-5</w:t>
            </w:r>
          </w:p>
        </w:tc>
        <w:tc>
          <w:tcPr>
            <w:tcW w:w="3600" w:type="dxa"/>
            <w:vAlign w:val="center"/>
          </w:tcPr>
          <w:p w14:paraId="541DDAD3" w14:textId="77777777" w:rsidR="003145C8" w:rsidRPr="003145C8" w:rsidRDefault="003145C8" w:rsidP="003145C8">
            <w:pPr>
              <w:jc w:val="left"/>
              <w:rPr>
                <w:rFonts w:ascii="Arial Narrow" w:hAnsi="Arial Narrow"/>
                <w:b/>
                <w:color w:val="000000"/>
                <w:sz w:val="20"/>
                <w:szCs w:val="20"/>
                <w:highlight w:val="yellow"/>
              </w:rPr>
            </w:pPr>
          </w:p>
        </w:tc>
      </w:tr>
    </w:tbl>
    <w:p w14:paraId="245729DC" w14:textId="1CBD5106" w:rsidR="008A1F50" w:rsidRDefault="008A1F50" w:rsidP="008A1F50">
      <w:pPr>
        <w:rPr>
          <w:highlight w:val="yellow"/>
        </w:rPr>
      </w:pPr>
    </w:p>
    <w:p w14:paraId="378BF4B9" w14:textId="28D543EA" w:rsidR="004E665A" w:rsidRPr="0073580A" w:rsidRDefault="00B32C1C" w:rsidP="003B49F8">
      <w:pPr>
        <w:pStyle w:val="Heading2"/>
      </w:pPr>
      <w:bookmarkStart w:id="222" w:name="_Ref108081352"/>
      <w:bookmarkStart w:id="223" w:name="_Toc162948193"/>
      <w:r>
        <w:t xml:space="preserve">Dissolved </w:t>
      </w:r>
      <w:r w:rsidR="004E665A" w:rsidRPr="0073580A">
        <w:t>Potassium</w:t>
      </w:r>
      <w:bookmarkEnd w:id="222"/>
      <w:bookmarkEnd w:id="223"/>
    </w:p>
    <w:p w14:paraId="0F382990" w14:textId="2AF0367F" w:rsidR="000A323F" w:rsidRDefault="0054327F" w:rsidP="000A323F">
      <w:pPr>
        <w:pStyle w:val="BlockText"/>
      </w:pPr>
      <w:r>
        <w:fldChar w:fldCharType="begin"/>
      </w:r>
      <w:r>
        <w:instrText xml:space="preserve"> REF _Ref116475975 \h </w:instrText>
      </w:r>
      <w:r>
        <w:fldChar w:fldCharType="separate"/>
      </w:r>
      <w:r w:rsidR="004A78BF" w:rsidRPr="0073580A">
        <w:t xml:space="preserve">Table </w:t>
      </w:r>
      <w:r w:rsidR="004A78BF">
        <w:rPr>
          <w:noProof/>
        </w:rPr>
        <w:t>33</w:t>
      </w:r>
      <w:r>
        <w:fldChar w:fldCharType="end"/>
      </w:r>
      <w:r>
        <w:t xml:space="preserve"> </w:t>
      </w:r>
      <w:r w:rsidR="004E665A" w:rsidRPr="0073580A">
        <w:t>shows the causal analysis results for dissolved potassium</w:t>
      </w:r>
      <w:r w:rsidR="0073580A">
        <w:t>.</w:t>
      </w:r>
      <w:r w:rsidR="004E665A" w:rsidRPr="0073580A">
        <w:t xml:space="preserve"> </w:t>
      </w:r>
      <w:r w:rsidR="000F5753">
        <w:t>Total causal analysis scores ranged from -11 to -5, indicating that there is moderate to strong evidence that dissolved potassium is a non-stressor in Roanoke River Project streams</w:t>
      </w:r>
      <w:r w:rsidR="000F5753" w:rsidRPr="000842F0">
        <w:t xml:space="preserve">. </w:t>
      </w:r>
      <w:r w:rsidR="000F5753">
        <w:t xml:space="preserve">Maximum </w:t>
      </w:r>
      <w:r w:rsidR="00A42705">
        <w:t>potassium</w:t>
      </w:r>
      <w:r w:rsidR="000F5753">
        <w:t xml:space="preserve"> levels in all streams were </w:t>
      </w:r>
      <w:r w:rsidR="000F5753" w:rsidRPr="000842F0">
        <w:t xml:space="preserve">well below toxic thresholds reported by Mount </w:t>
      </w:r>
      <w:r w:rsidR="000F5753" w:rsidRPr="000842F0">
        <w:rPr>
          <w:i/>
        </w:rPr>
        <w:t>et al.</w:t>
      </w:r>
      <w:r w:rsidR="000F5753" w:rsidRPr="000842F0">
        <w:t xml:space="preserve"> (2016)</w:t>
      </w:r>
      <w:r w:rsidR="000F5753">
        <w:t xml:space="preserve">, and dissolved </w:t>
      </w:r>
      <w:r w:rsidR="00A42705">
        <w:t>potassium</w:t>
      </w:r>
      <w:r w:rsidR="000F5753">
        <w:t xml:space="preserve"> was not significantly correlated with benthic health across sites. </w:t>
      </w:r>
      <w:r w:rsidR="0084597F">
        <w:t>In addition, s</w:t>
      </w:r>
      <w:r w:rsidR="0084597F" w:rsidRPr="0084597F">
        <w:t xml:space="preserve">pring SCI scores were lower than fall scores in each impaired stream, but potassium was typically highest in the fall or </w:t>
      </w:r>
      <w:r w:rsidR="0084597F">
        <w:t xml:space="preserve">showed </w:t>
      </w:r>
      <w:r w:rsidR="0084597F" w:rsidRPr="0084597F">
        <w:t>no discernible seasonal pattern</w:t>
      </w:r>
      <w:r w:rsidR="0084597F">
        <w:t xml:space="preserve">. </w:t>
      </w:r>
      <w:r w:rsidR="000F5753" w:rsidRPr="000842F0">
        <w:t>For th</w:t>
      </w:r>
      <w:r w:rsidR="000F5753">
        <w:t>ese</w:t>
      </w:r>
      <w:r w:rsidR="000F5753" w:rsidRPr="000842F0">
        <w:t xml:space="preserve"> reason</w:t>
      </w:r>
      <w:r w:rsidR="000F5753">
        <w:t>s</w:t>
      </w:r>
      <w:r w:rsidR="000F5753" w:rsidRPr="000842F0">
        <w:t xml:space="preserve"> and others </w:t>
      </w:r>
      <w:r w:rsidR="0073580A" w:rsidRPr="0073580A">
        <w:t>explained in</w:t>
      </w:r>
      <w:r>
        <w:t xml:space="preserve"> </w:t>
      </w:r>
      <w:r>
        <w:fldChar w:fldCharType="begin"/>
      </w:r>
      <w:r>
        <w:instrText xml:space="preserve"> REF _Ref116475975 \h </w:instrText>
      </w:r>
      <w:r>
        <w:fldChar w:fldCharType="separate"/>
      </w:r>
      <w:r w:rsidR="004A78BF" w:rsidRPr="0073580A">
        <w:t xml:space="preserve">Table </w:t>
      </w:r>
      <w:r w:rsidR="004A78BF">
        <w:rPr>
          <w:noProof/>
        </w:rPr>
        <w:t>33</w:t>
      </w:r>
      <w:r>
        <w:fldChar w:fldCharType="end"/>
      </w:r>
      <w:r w:rsidR="0073580A" w:rsidRPr="0073580A">
        <w:t xml:space="preserve">, dissolved potassium was categorized as a non-stressor in </w:t>
      </w:r>
      <w:r w:rsidR="000F5753">
        <w:t>Roanoke River Project streams.</w:t>
      </w:r>
      <w:r w:rsidR="0073580A">
        <w:t xml:space="preserve"> </w:t>
      </w:r>
    </w:p>
    <w:p w14:paraId="142DB4C8" w14:textId="77777777" w:rsidR="006F3068" w:rsidRDefault="006F3068" w:rsidP="005E4B50">
      <w:pPr>
        <w:pStyle w:val="BlockText"/>
        <w:spacing w:before="0" w:after="0" w:line="240" w:lineRule="auto"/>
      </w:pPr>
    </w:p>
    <w:p w14:paraId="0E0D2CFB" w14:textId="0DCFEB4F" w:rsidR="004E665A" w:rsidRPr="0073580A" w:rsidRDefault="004E665A" w:rsidP="004E665A">
      <w:pPr>
        <w:pStyle w:val="Caption"/>
      </w:pPr>
      <w:bookmarkStart w:id="224" w:name="_Ref116475975"/>
      <w:bookmarkStart w:id="225" w:name="_Toc162948300"/>
      <w:r w:rsidRPr="0073580A">
        <w:t xml:space="preserve">Table </w:t>
      </w:r>
      <w:r w:rsidRPr="0073580A">
        <w:rPr>
          <w:noProof/>
        </w:rPr>
        <w:fldChar w:fldCharType="begin"/>
      </w:r>
      <w:r w:rsidRPr="0073580A">
        <w:rPr>
          <w:noProof/>
        </w:rPr>
        <w:instrText xml:space="preserve"> SEQ Table \* ARABIC </w:instrText>
      </w:r>
      <w:r w:rsidRPr="0073580A">
        <w:rPr>
          <w:noProof/>
        </w:rPr>
        <w:fldChar w:fldCharType="separate"/>
      </w:r>
      <w:r w:rsidR="004A78BF">
        <w:rPr>
          <w:noProof/>
        </w:rPr>
        <w:t>33</w:t>
      </w:r>
      <w:r w:rsidRPr="0073580A">
        <w:rPr>
          <w:noProof/>
        </w:rPr>
        <w:fldChar w:fldCharType="end"/>
      </w:r>
      <w:bookmarkEnd w:id="224"/>
      <w:r w:rsidRPr="0073580A">
        <w:t>. Causal analysis results for dissolved potassium.</w:t>
      </w:r>
      <w:bookmarkEnd w:id="225"/>
    </w:p>
    <w:tbl>
      <w:tblPr>
        <w:tblW w:w="9457"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7"/>
        <w:gridCol w:w="720"/>
        <w:gridCol w:w="720"/>
        <w:gridCol w:w="990"/>
        <w:gridCol w:w="990"/>
        <w:gridCol w:w="3600"/>
      </w:tblGrid>
      <w:tr w:rsidR="00250E0C" w:rsidRPr="007A0C83" w14:paraId="6889FA64" w14:textId="77777777" w:rsidTr="005E4B50">
        <w:trPr>
          <w:cantSplit/>
          <w:trHeight w:hRule="exact" w:val="901"/>
        </w:trPr>
        <w:tc>
          <w:tcPr>
            <w:tcW w:w="2437" w:type="dxa"/>
            <w:shd w:val="clear" w:color="auto" w:fill="D9D9D9" w:themeFill="background1" w:themeFillShade="D9"/>
            <w:vAlign w:val="center"/>
          </w:tcPr>
          <w:p w14:paraId="0C346FE0" w14:textId="77777777" w:rsidR="00250E0C" w:rsidRPr="00396EC1" w:rsidRDefault="00250E0C" w:rsidP="003145C8">
            <w:pPr>
              <w:jc w:val="center"/>
              <w:rPr>
                <w:rFonts w:ascii="Arial Narrow" w:hAnsi="Arial Narrow"/>
                <w:b/>
                <w:sz w:val="20"/>
                <w:szCs w:val="20"/>
              </w:rPr>
            </w:pPr>
            <w:r w:rsidRPr="00396EC1">
              <w:rPr>
                <w:rFonts w:ascii="Arial Narrow" w:hAnsi="Arial Narrow"/>
                <w:b/>
                <w:sz w:val="20"/>
                <w:szCs w:val="20"/>
              </w:rPr>
              <w:t>Evidence</w:t>
            </w:r>
          </w:p>
        </w:tc>
        <w:tc>
          <w:tcPr>
            <w:tcW w:w="720" w:type="dxa"/>
            <w:shd w:val="clear" w:color="auto" w:fill="D9D9D9" w:themeFill="background1" w:themeFillShade="D9"/>
            <w:vAlign w:val="center"/>
          </w:tcPr>
          <w:p w14:paraId="52B4941A" w14:textId="77777777" w:rsidR="00250E0C" w:rsidRPr="00396EC1" w:rsidRDefault="00250E0C" w:rsidP="003145C8">
            <w:pPr>
              <w:jc w:val="center"/>
              <w:rPr>
                <w:rFonts w:ascii="Arial Narrow" w:hAnsi="Arial Narrow"/>
                <w:b/>
                <w:sz w:val="20"/>
                <w:szCs w:val="20"/>
              </w:rPr>
            </w:pPr>
            <w:r>
              <w:rPr>
                <w:rFonts w:ascii="Arial Narrow" w:hAnsi="Arial Narrow"/>
                <w:b/>
                <w:sz w:val="20"/>
                <w:szCs w:val="20"/>
              </w:rPr>
              <w:t>Wolf Creek</w:t>
            </w:r>
          </w:p>
        </w:tc>
        <w:tc>
          <w:tcPr>
            <w:tcW w:w="720" w:type="dxa"/>
            <w:shd w:val="clear" w:color="auto" w:fill="D9D9D9" w:themeFill="background1" w:themeFillShade="D9"/>
            <w:vAlign w:val="center"/>
          </w:tcPr>
          <w:p w14:paraId="74A29E55" w14:textId="77777777" w:rsidR="00250E0C" w:rsidRPr="00396EC1" w:rsidRDefault="00250E0C" w:rsidP="003145C8">
            <w:pPr>
              <w:jc w:val="center"/>
              <w:rPr>
                <w:rFonts w:ascii="Arial Narrow" w:hAnsi="Arial Narrow"/>
                <w:b/>
                <w:sz w:val="20"/>
                <w:szCs w:val="20"/>
              </w:rPr>
            </w:pPr>
            <w:r>
              <w:rPr>
                <w:rFonts w:ascii="Arial Narrow" w:hAnsi="Arial Narrow"/>
                <w:b/>
                <w:sz w:val="20"/>
                <w:szCs w:val="20"/>
              </w:rPr>
              <w:t>Tinker Creek</w:t>
            </w:r>
          </w:p>
        </w:tc>
        <w:tc>
          <w:tcPr>
            <w:tcW w:w="990" w:type="dxa"/>
            <w:shd w:val="clear" w:color="auto" w:fill="D9D9D9" w:themeFill="background1" w:themeFillShade="D9"/>
            <w:vAlign w:val="center"/>
          </w:tcPr>
          <w:p w14:paraId="1DA10A82" w14:textId="77777777" w:rsidR="00250E0C" w:rsidRPr="00396EC1" w:rsidRDefault="00250E0C" w:rsidP="003145C8">
            <w:pPr>
              <w:jc w:val="center"/>
              <w:rPr>
                <w:rFonts w:ascii="Arial Narrow" w:hAnsi="Arial Narrow"/>
                <w:b/>
                <w:sz w:val="20"/>
                <w:szCs w:val="20"/>
              </w:rPr>
            </w:pPr>
            <w:r>
              <w:rPr>
                <w:rFonts w:ascii="Arial Narrow" w:hAnsi="Arial Narrow"/>
                <w:b/>
                <w:sz w:val="20"/>
                <w:szCs w:val="20"/>
              </w:rPr>
              <w:t>Roanoke River (202.20)</w:t>
            </w:r>
          </w:p>
        </w:tc>
        <w:tc>
          <w:tcPr>
            <w:tcW w:w="990" w:type="dxa"/>
            <w:shd w:val="clear" w:color="auto" w:fill="D9D9D9" w:themeFill="background1" w:themeFillShade="D9"/>
            <w:vAlign w:val="center"/>
          </w:tcPr>
          <w:p w14:paraId="461CD8CB" w14:textId="77777777" w:rsidR="00250E0C" w:rsidRPr="00396EC1" w:rsidRDefault="00250E0C" w:rsidP="003145C8">
            <w:pPr>
              <w:jc w:val="center"/>
              <w:rPr>
                <w:rFonts w:ascii="Arial Narrow" w:hAnsi="Arial Narrow"/>
                <w:b/>
                <w:sz w:val="20"/>
                <w:szCs w:val="20"/>
              </w:rPr>
            </w:pPr>
            <w:r>
              <w:rPr>
                <w:rFonts w:ascii="Arial Narrow" w:hAnsi="Arial Narrow"/>
                <w:b/>
                <w:sz w:val="20"/>
                <w:szCs w:val="20"/>
              </w:rPr>
              <w:t>Roanoke River (198.08)</w:t>
            </w:r>
          </w:p>
        </w:tc>
        <w:tc>
          <w:tcPr>
            <w:tcW w:w="3600" w:type="dxa"/>
            <w:shd w:val="clear" w:color="auto" w:fill="D9D9D9" w:themeFill="background1" w:themeFillShade="D9"/>
            <w:vAlign w:val="center"/>
          </w:tcPr>
          <w:p w14:paraId="5BB5CD18" w14:textId="77777777" w:rsidR="00250E0C" w:rsidRPr="00613B31" w:rsidRDefault="00250E0C" w:rsidP="003145C8">
            <w:pPr>
              <w:jc w:val="center"/>
              <w:rPr>
                <w:rFonts w:ascii="Arial Narrow" w:hAnsi="Arial Narrow"/>
                <w:b/>
                <w:sz w:val="20"/>
                <w:szCs w:val="20"/>
              </w:rPr>
            </w:pPr>
            <w:r w:rsidRPr="00396EC1">
              <w:rPr>
                <w:rFonts w:ascii="Arial Narrow" w:hAnsi="Arial Narrow"/>
                <w:b/>
                <w:sz w:val="20"/>
                <w:szCs w:val="20"/>
              </w:rPr>
              <w:t>Explanation</w:t>
            </w:r>
          </w:p>
        </w:tc>
      </w:tr>
      <w:tr w:rsidR="003145C8" w:rsidRPr="007A0C83" w14:paraId="39915FE9" w14:textId="77777777" w:rsidTr="003145C8">
        <w:trPr>
          <w:trHeight w:val="247"/>
        </w:trPr>
        <w:tc>
          <w:tcPr>
            <w:tcW w:w="2437" w:type="dxa"/>
            <w:vAlign w:val="center"/>
          </w:tcPr>
          <w:p w14:paraId="1057C505" w14:textId="0D6969D7" w:rsidR="003145C8" w:rsidRPr="003145C8" w:rsidRDefault="003145C8" w:rsidP="003145C8">
            <w:pPr>
              <w:jc w:val="left"/>
              <w:rPr>
                <w:rFonts w:ascii="Arial Narrow" w:hAnsi="Arial Narrow"/>
                <w:sz w:val="20"/>
                <w:szCs w:val="20"/>
                <w:highlight w:val="yellow"/>
              </w:rPr>
            </w:pPr>
            <w:r w:rsidRPr="003145C8">
              <w:rPr>
                <w:rFonts w:ascii="Arial Narrow" w:hAnsi="Arial Narrow" w:cs="Calibri"/>
                <w:color w:val="000000"/>
                <w:sz w:val="20"/>
                <w:szCs w:val="20"/>
              </w:rPr>
              <w:t>Spatial Co-occurrence</w:t>
            </w:r>
          </w:p>
        </w:tc>
        <w:tc>
          <w:tcPr>
            <w:tcW w:w="720" w:type="dxa"/>
            <w:vAlign w:val="center"/>
          </w:tcPr>
          <w:p w14:paraId="122DF981" w14:textId="592B7871" w:rsidR="003145C8" w:rsidRPr="003145C8" w:rsidRDefault="003145C8" w:rsidP="003145C8">
            <w:pPr>
              <w:jc w:val="center"/>
              <w:rPr>
                <w:rFonts w:ascii="Arial Narrow" w:hAnsi="Arial Narrow" w:cs="Calibri"/>
                <w:color w:val="000000"/>
                <w:sz w:val="20"/>
                <w:szCs w:val="20"/>
              </w:rPr>
            </w:pPr>
            <w:r w:rsidRPr="003145C8">
              <w:rPr>
                <w:rFonts w:ascii="Arial Narrow" w:hAnsi="Arial Narrow" w:cs="Calibri"/>
                <w:color w:val="000000"/>
                <w:sz w:val="20"/>
                <w:szCs w:val="20"/>
              </w:rPr>
              <w:t>-1</w:t>
            </w:r>
          </w:p>
        </w:tc>
        <w:tc>
          <w:tcPr>
            <w:tcW w:w="720" w:type="dxa"/>
            <w:vAlign w:val="center"/>
          </w:tcPr>
          <w:p w14:paraId="08C9958B" w14:textId="06E2148B" w:rsidR="003145C8" w:rsidRPr="003145C8" w:rsidRDefault="003145C8" w:rsidP="003145C8">
            <w:pPr>
              <w:jc w:val="center"/>
              <w:rPr>
                <w:rFonts w:ascii="Arial Narrow" w:hAnsi="Arial Narrow" w:cs="Calibri"/>
                <w:color w:val="000000"/>
                <w:sz w:val="20"/>
                <w:szCs w:val="20"/>
              </w:rPr>
            </w:pPr>
            <w:r w:rsidRPr="003145C8">
              <w:rPr>
                <w:rFonts w:ascii="Arial Narrow" w:hAnsi="Arial Narrow" w:cs="Calibri"/>
                <w:color w:val="000000"/>
                <w:sz w:val="20"/>
                <w:szCs w:val="20"/>
              </w:rPr>
              <w:t>-1</w:t>
            </w:r>
          </w:p>
        </w:tc>
        <w:tc>
          <w:tcPr>
            <w:tcW w:w="990" w:type="dxa"/>
            <w:vAlign w:val="center"/>
          </w:tcPr>
          <w:p w14:paraId="387ABA81" w14:textId="2B84EE95" w:rsidR="003145C8" w:rsidRPr="003145C8" w:rsidRDefault="003145C8" w:rsidP="003145C8">
            <w:pPr>
              <w:jc w:val="center"/>
              <w:rPr>
                <w:rFonts w:ascii="Arial Narrow" w:hAnsi="Arial Narrow" w:cs="Calibri"/>
                <w:color w:val="000000"/>
                <w:sz w:val="20"/>
                <w:szCs w:val="20"/>
              </w:rPr>
            </w:pPr>
            <w:r w:rsidRPr="003145C8">
              <w:rPr>
                <w:rFonts w:ascii="Arial Narrow" w:hAnsi="Arial Narrow" w:cs="Calibri"/>
                <w:color w:val="000000"/>
                <w:sz w:val="20"/>
                <w:szCs w:val="20"/>
              </w:rPr>
              <w:t>2</w:t>
            </w:r>
          </w:p>
        </w:tc>
        <w:tc>
          <w:tcPr>
            <w:tcW w:w="990" w:type="dxa"/>
            <w:vAlign w:val="center"/>
          </w:tcPr>
          <w:p w14:paraId="5751CBDE" w14:textId="0BE82A61" w:rsidR="003145C8" w:rsidRPr="003145C8" w:rsidRDefault="003145C8" w:rsidP="003145C8">
            <w:pPr>
              <w:jc w:val="center"/>
              <w:rPr>
                <w:rFonts w:ascii="Arial Narrow" w:hAnsi="Arial Narrow"/>
                <w:color w:val="000000"/>
                <w:sz w:val="20"/>
                <w:szCs w:val="20"/>
                <w:highlight w:val="yellow"/>
              </w:rPr>
            </w:pPr>
            <w:r w:rsidRPr="003145C8">
              <w:rPr>
                <w:rFonts w:ascii="Arial Narrow" w:hAnsi="Arial Narrow" w:cs="Calibri"/>
                <w:color w:val="000000"/>
                <w:sz w:val="20"/>
                <w:szCs w:val="20"/>
              </w:rPr>
              <w:t>2</w:t>
            </w:r>
          </w:p>
        </w:tc>
        <w:tc>
          <w:tcPr>
            <w:tcW w:w="3600" w:type="dxa"/>
            <w:vAlign w:val="center"/>
          </w:tcPr>
          <w:p w14:paraId="7806D7CA" w14:textId="16487842" w:rsidR="003145C8" w:rsidRPr="003145C8" w:rsidRDefault="003145C8" w:rsidP="003145C8">
            <w:pPr>
              <w:jc w:val="left"/>
              <w:rPr>
                <w:rFonts w:ascii="Arial Narrow" w:hAnsi="Arial Narrow"/>
                <w:color w:val="000000"/>
                <w:sz w:val="20"/>
                <w:szCs w:val="20"/>
                <w:highlight w:val="yellow"/>
              </w:rPr>
            </w:pPr>
            <w:r w:rsidRPr="003145C8">
              <w:rPr>
                <w:rFonts w:ascii="Arial Narrow" w:hAnsi="Arial Narrow" w:cs="Calibri"/>
                <w:color w:val="000000"/>
                <w:sz w:val="20"/>
                <w:szCs w:val="20"/>
              </w:rPr>
              <w:t xml:space="preserve">The Roanoke River had statistically higher potassium levels than the river reference, but Wolf Creek and Tinker Creek were not statistically different from the reference. </w:t>
            </w:r>
          </w:p>
        </w:tc>
      </w:tr>
      <w:tr w:rsidR="003145C8" w:rsidRPr="007A0C83" w14:paraId="04DA89CF" w14:textId="77777777" w:rsidTr="003145C8">
        <w:trPr>
          <w:trHeight w:val="247"/>
        </w:trPr>
        <w:tc>
          <w:tcPr>
            <w:tcW w:w="2437" w:type="dxa"/>
            <w:vAlign w:val="center"/>
          </w:tcPr>
          <w:p w14:paraId="19194D7B" w14:textId="54D67FD4" w:rsidR="003145C8" w:rsidRPr="003145C8" w:rsidRDefault="003145C8" w:rsidP="003145C8">
            <w:pPr>
              <w:jc w:val="left"/>
              <w:rPr>
                <w:rFonts w:ascii="Arial Narrow" w:hAnsi="Arial Narrow"/>
                <w:sz w:val="20"/>
                <w:szCs w:val="20"/>
                <w:highlight w:val="yellow"/>
              </w:rPr>
            </w:pPr>
            <w:r w:rsidRPr="003145C8">
              <w:rPr>
                <w:rFonts w:ascii="Arial Narrow" w:hAnsi="Arial Narrow" w:cs="Calibri"/>
                <w:color w:val="000000"/>
                <w:sz w:val="20"/>
                <w:szCs w:val="20"/>
              </w:rPr>
              <w:t>Temporal Co-occurrence</w:t>
            </w:r>
          </w:p>
        </w:tc>
        <w:tc>
          <w:tcPr>
            <w:tcW w:w="720" w:type="dxa"/>
            <w:vAlign w:val="center"/>
          </w:tcPr>
          <w:p w14:paraId="7ABE275F" w14:textId="5417B3D0" w:rsidR="003145C8" w:rsidRPr="003145C8" w:rsidRDefault="003145C8" w:rsidP="003145C8">
            <w:pPr>
              <w:jc w:val="center"/>
              <w:rPr>
                <w:rFonts w:ascii="Arial Narrow" w:hAnsi="Arial Narrow" w:cs="Calibri"/>
                <w:color w:val="000000"/>
                <w:sz w:val="20"/>
                <w:szCs w:val="20"/>
              </w:rPr>
            </w:pPr>
            <w:r w:rsidRPr="003145C8">
              <w:rPr>
                <w:rFonts w:ascii="Arial Narrow" w:hAnsi="Arial Narrow" w:cs="Calibri"/>
                <w:color w:val="000000"/>
                <w:sz w:val="20"/>
                <w:szCs w:val="20"/>
              </w:rPr>
              <w:t>1</w:t>
            </w:r>
          </w:p>
        </w:tc>
        <w:tc>
          <w:tcPr>
            <w:tcW w:w="720" w:type="dxa"/>
            <w:vAlign w:val="center"/>
          </w:tcPr>
          <w:p w14:paraId="6BF9507C" w14:textId="197D3059" w:rsidR="003145C8" w:rsidRPr="003145C8" w:rsidRDefault="003145C8" w:rsidP="003145C8">
            <w:pPr>
              <w:jc w:val="center"/>
              <w:rPr>
                <w:rFonts w:ascii="Arial Narrow" w:hAnsi="Arial Narrow" w:cs="Calibri"/>
                <w:color w:val="000000"/>
                <w:sz w:val="20"/>
                <w:szCs w:val="20"/>
              </w:rPr>
            </w:pPr>
            <w:r w:rsidRPr="003145C8">
              <w:rPr>
                <w:rFonts w:ascii="Arial Narrow" w:hAnsi="Arial Narrow" w:cs="Calibri"/>
                <w:color w:val="000000"/>
                <w:sz w:val="20"/>
                <w:szCs w:val="20"/>
              </w:rPr>
              <w:t>1</w:t>
            </w:r>
          </w:p>
        </w:tc>
        <w:tc>
          <w:tcPr>
            <w:tcW w:w="990" w:type="dxa"/>
            <w:vAlign w:val="center"/>
          </w:tcPr>
          <w:p w14:paraId="56919151" w14:textId="0FA957C6" w:rsidR="003145C8" w:rsidRPr="003145C8" w:rsidRDefault="003145C8" w:rsidP="003145C8">
            <w:pPr>
              <w:jc w:val="center"/>
              <w:rPr>
                <w:rFonts w:ascii="Arial Narrow" w:hAnsi="Arial Narrow" w:cs="Calibri"/>
                <w:color w:val="000000"/>
                <w:sz w:val="20"/>
                <w:szCs w:val="20"/>
              </w:rPr>
            </w:pPr>
            <w:r w:rsidRPr="003145C8">
              <w:rPr>
                <w:rFonts w:ascii="Arial Narrow" w:hAnsi="Arial Narrow" w:cs="Calibri"/>
                <w:color w:val="000000"/>
                <w:sz w:val="20"/>
                <w:szCs w:val="20"/>
              </w:rPr>
              <w:t>1</w:t>
            </w:r>
          </w:p>
        </w:tc>
        <w:tc>
          <w:tcPr>
            <w:tcW w:w="990" w:type="dxa"/>
            <w:vAlign w:val="center"/>
          </w:tcPr>
          <w:p w14:paraId="2980BC66" w14:textId="7D1341BA" w:rsidR="003145C8" w:rsidRPr="003145C8" w:rsidRDefault="003145C8" w:rsidP="003145C8">
            <w:pPr>
              <w:jc w:val="center"/>
              <w:rPr>
                <w:rFonts w:ascii="Arial Narrow" w:hAnsi="Arial Narrow"/>
                <w:color w:val="000000"/>
                <w:sz w:val="20"/>
                <w:szCs w:val="20"/>
                <w:highlight w:val="yellow"/>
              </w:rPr>
            </w:pPr>
            <w:r w:rsidRPr="003145C8">
              <w:rPr>
                <w:rFonts w:ascii="Arial Narrow" w:hAnsi="Arial Narrow" w:cs="Calibri"/>
                <w:color w:val="000000"/>
                <w:sz w:val="20"/>
                <w:szCs w:val="20"/>
              </w:rPr>
              <w:t>1</w:t>
            </w:r>
          </w:p>
        </w:tc>
        <w:tc>
          <w:tcPr>
            <w:tcW w:w="3600" w:type="dxa"/>
            <w:vAlign w:val="center"/>
          </w:tcPr>
          <w:p w14:paraId="4AC86514" w14:textId="73751278" w:rsidR="003145C8" w:rsidRPr="003145C8" w:rsidRDefault="003145C8" w:rsidP="003145C8">
            <w:pPr>
              <w:jc w:val="left"/>
              <w:rPr>
                <w:rFonts w:ascii="Arial Narrow" w:hAnsi="Arial Narrow"/>
                <w:color w:val="000000"/>
                <w:sz w:val="20"/>
                <w:szCs w:val="20"/>
                <w:highlight w:val="yellow"/>
              </w:rPr>
            </w:pPr>
            <w:r w:rsidRPr="003145C8">
              <w:rPr>
                <w:rFonts w:ascii="Arial Narrow" w:hAnsi="Arial Narrow" w:cs="Calibri"/>
                <w:color w:val="000000"/>
                <w:sz w:val="20"/>
                <w:szCs w:val="20"/>
              </w:rPr>
              <w:t xml:space="preserve">At or around the time of benthic sampling, dissolved potassium levels were in the low to medium probability range for stressor effects in each of the impaired streams. </w:t>
            </w:r>
          </w:p>
        </w:tc>
      </w:tr>
      <w:tr w:rsidR="003145C8" w:rsidRPr="007A0C83" w14:paraId="4E2A478A" w14:textId="77777777" w:rsidTr="003145C8">
        <w:trPr>
          <w:trHeight w:val="247"/>
        </w:trPr>
        <w:tc>
          <w:tcPr>
            <w:tcW w:w="2437" w:type="dxa"/>
            <w:vAlign w:val="center"/>
          </w:tcPr>
          <w:p w14:paraId="46F4B016" w14:textId="7F57AC1A" w:rsidR="003145C8" w:rsidRPr="003145C8" w:rsidRDefault="003145C8" w:rsidP="003145C8">
            <w:pPr>
              <w:jc w:val="left"/>
              <w:rPr>
                <w:rFonts w:ascii="Arial Narrow" w:hAnsi="Arial Narrow"/>
                <w:sz w:val="20"/>
                <w:szCs w:val="20"/>
                <w:highlight w:val="yellow"/>
              </w:rPr>
            </w:pPr>
            <w:r w:rsidRPr="003145C8">
              <w:rPr>
                <w:rFonts w:ascii="Arial Narrow" w:hAnsi="Arial Narrow" w:cs="Calibri"/>
                <w:color w:val="000000"/>
                <w:sz w:val="20"/>
                <w:szCs w:val="20"/>
              </w:rPr>
              <w:t>Stressor-Response Relationships from the Field</w:t>
            </w:r>
          </w:p>
        </w:tc>
        <w:tc>
          <w:tcPr>
            <w:tcW w:w="720" w:type="dxa"/>
            <w:vAlign w:val="center"/>
          </w:tcPr>
          <w:p w14:paraId="341403D9" w14:textId="7CBCC79A" w:rsidR="003145C8" w:rsidRPr="003145C8" w:rsidRDefault="003145C8" w:rsidP="003145C8">
            <w:pPr>
              <w:jc w:val="center"/>
              <w:rPr>
                <w:rFonts w:ascii="Arial Narrow" w:hAnsi="Arial Narrow" w:cs="Calibri"/>
                <w:color w:val="000000"/>
                <w:sz w:val="20"/>
                <w:szCs w:val="20"/>
              </w:rPr>
            </w:pPr>
            <w:r w:rsidRPr="003145C8">
              <w:rPr>
                <w:rFonts w:ascii="Arial Narrow" w:hAnsi="Arial Narrow" w:cs="Calibri"/>
                <w:color w:val="000000"/>
                <w:sz w:val="20"/>
                <w:szCs w:val="20"/>
              </w:rPr>
              <w:t>-2</w:t>
            </w:r>
          </w:p>
        </w:tc>
        <w:tc>
          <w:tcPr>
            <w:tcW w:w="720" w:type="dxa"/>
            <w:vAlign w:val="center"/>
          </w:tcPr>
          <w:p w14:paraId="7EE47D16" w14:textId="1982AF8D" w:rsidR="003145C8" w:rsidRPr="003145C8" w:rsidRDefault="003145C8" w:rsidP="003145C8">
            <w:pPr>
              <w:jc w:val="center"/>
              <w:rPr>
                <w:rFonts w:ascii="Arial Narrow" w:hAnsi="Arial Narrow" w:cs="Calibri"/>
                <w:color w:val="000000"/>
                <w:sz w:val="20"/>
                <w:szCs w:val="20"/>
              </w:rPr>
            </w:pPr>
            <w:r w:rsidRPr="003145C8">
              <w:rPr>
                <w:rFonts w:ascii="Arial Narrow" w:hAnsi="Arial Narrow" w:cs="Calibri"/>
                <w:color w:val="000000"/>
                <w:sz w:val="20"/>
                <w:szCs w:val="20"/>
              </w:rPr>
              <w:t>-2</w:t>
            </w:r>
          </w:p>
        </w:tc>
        <w:tc>
          <w:tcPr>
            <w:tcW w:w="990" w:type="dxa"/>
            <w:vAlign w:val="center"/>
          </w:tcPr>
          <w:p w14:paraId="1E9FAC5B" w14:textId="141EDD02" w:rsidR="003145C8" w:rsidRPr="003145C8" w:rsidRDefault="003145C8" w:rsidP="003145C8">
            <w:pPr>
              <w:jc w:val="center"/>
              <w:rPr>
                <w:rFonts w:ascii="Arial Narrow" w:hAnsi="Arial Narrow" w:cs="Calibri"/>
                <w:color w:val="000000"/>
                <w:sz w:val="20"/>
                <w:szCs w:val="20"/>
              </w:rPr>
            </w:pPr>
            <w:r w:rsidRPr="003145C8">
              <w:rPr>
                <w:rFonts w:ascii="Arial Narrow" w:hAnsi="Arial Narrow" w:cs="Calibri"/>
                <w:color w:val="000000"/>
                <w:sz w:val="20"/>
                <w:szCs w:val="20"/>
              </w:rPr>
              <w:t>-2</w:t>
            </w:r>
          </w:p>
        </w:tc>
        <w:tc>
          <w:tcPr>
            <w:tcW w:w="990" w:type="dxa"/>
            <w:vAlign w:val="center"/>
          </w:tcPr>
          <w:p w14:paraId="6EA3E02B" w14:textId="547FE994" w:rsidR="003145C8" w:rsidRPr="003145C8" w:rsidRDefault="003145C8" w:rsidP="003145C8">
            <w:pPr>
              <w:jc w:val="center"/>
              <w:rPr>
                <w:rFonts w:ascii="Arial Narrow" w:hAnsi="Arial Narrow"/>
                <w:color w:val="000000"/>
                <w:sz w:val="20"/>
                <w:szCs w:val="20"/>
                <w:highlight w:val="yellow"/>
              </w:rPr>
            </w:pPr>
            <w:r w:rsidRPr="003145C8">
              <w:rPr>
                <w:rFonts w:ascii="Arial Narrow" w:hAnsi="Arial Narrow" w:cs="Calibri"/>
                <w:color w:val="000000"/>
                <w:sz w:val="20"/>
                <w:szCs w:val="20"/>
              </w:rPr>
              <w:t>-2</w:t>
            </w:r>
          </w:p>
        </w:tc>
        <w:tc>
          <w:tcPr>
            <w:tcW w:w="3600" w:type="dxa"/>
            <w:vAlign w:val="center"/>
          </w:tcPr>
          <w:p w14:paraId="1FDBCBE8" w14:textId="4C14DD0B" w:rsidR="003145C8" w:rsidRPr="003145C8" w:rsidRDefault="003145C8" w:rsidP="003145C8">
            <w:pPr>
              <w:jc w:val="left"/>
              <w:rPr>
                <w:rFonts w:ascii="Arial Narrow" w:hAnsi="Arial Narrow"/>
                <w:color w:val="000000"/>
                <w:sz w:val="20"/>
                <w:szCs w:val="20"/>
                <w:highlight w:val="yellow"/>
              </w:rPr>
            </w:pPr>
            <w:r w:rsidRPr="003145C8">
              <w:rPr>
                <w:rFonts w:ascii="Arial Narrow" w:hAnsi="Arial Narrow" w:cs="Calibri"/>
                <w:color w:val="000000"/>
                <w:sz w:val="20"/>
                <w:szCs w:val="20"/>
              </w:rPr>
              <w:t>Dissolved potassium was not significantly correlated with benthic health across sites.</w:t>
            </w:r>
          </w:p>
        </w:tc>
      </w:tr>
      <w:tr w:rsidR="003145C8" w:rsidRPr="007A0C83" w14:paraId="2974D488" w14:textId="77777777" w:rsidTr="003145C8">
        <w:trPr>
          <w:trHeight w:val="247"/>
        </w:trPr>
        <w:tc>
          <w:tcPr>
            <w:tcW w:w="2437" w:type="dxa"/>
            <w:vAlign w:val="center"/>
          </w:tcPr>
          <w:p w14:paraId="4707652E" w14:textId="1EB2B5F3" w:rsidR="003145C8" w:rsidRPr="003145C8" w:rsidRDefault="003145C8" w:rsidP="003145C8">
            <w:pPr>
              <w:jc w:val="left"/>
              <w:rPr>
                <w:rFonts w:ascii="Arial Narrow" w:hAnsi="Arial Narrow" w:cs="Calibri"/>
                <w:b/>
                <w:bCs/>
                <w:color w:val="000000"/>
                <w:sz w:val="20"/>
                <w:szCs w:val="20"/>
                <w:highlight w:val="yellow"/>
              </w:rPr>
            </w:pPr>
            <w:r w:rsidRPr="003145C8">
              <w:rPr>
                <w:rFonts w:ascii="Arial Narrow" w:hAnsi="Arial Narrow" w:cs="Calibri"/>
                <w:color w:val="000000"/>
                <w:sz w:val="20"/>
                <w:szCs w:val="20"/>
              </w:rPr>
              <w:t>Laboratory Tests of Site Media</w:t>
            </w:r>
          </w:p>
        </w:tc>
        <w:tc>
          <w:tcPr>
            <w:tcW w:w="720" w:type="dxa"/>
            <w:vAlign w:val="center"/>
          </w:tcPr>
          <w:p w14:paraId="01C16CB5" w14:textId="48FAE4BF" w:rsidR="003145C8" w:rsidRPr="003145C8" w:rsidRDefault="003145C8" w:rsidP="003145C8">
            <w:pPr>
              <w:jc w:val="center"/>
              <w:rPr>
                <w:rFonts w:ascii="Arial Narrow" w:hAnsi="Arial Narrow" w:cs="Calibri"/>
                <w:color w:val="000000"/>
                <w:sz w:val="20"/>
                <w:szCs w:val="20"/>
              </w:rPr>
            </w:pPr>
            <w:r w:rsidRPr="003145C8">
              <w:rPr>
                <w:rFonts w:ascii="Arial Narrow" w:hAnsi="Arial Narrow" w:cs="Calibri"/>
                <w:color w:val="000000"/>
                <w:sz w:val="20"/>
                <w:szCs w:val="20"/>
              </w:rPr>
              <w:t>0</w:t>
            </w:r>
          </w:p>
        </w:tc>
        <w:tc>
          <w:tcPr>
            <w:tcW w:w="720" w:type="dxa"/>
            <w:vAlign w:val="center"/>
          </w:tcPr>
          <w:p w14:paraId="74740ACE" w14:textId="5C265970" w:rsidR="003145C8" w:rsidRPr="003145C8" w:rsidRDefault="003145C8" w:rsidP="003145C8">
            <w:pPr>
              <w:jc w:val="center"/>
              <w:rPr>
                <w:rFonts w:ascii="Arial Narrow" w:hAnsi="Arial Narrow" w:cs="Calibri"/>
                <w:color w:val="000000"/>
                <w:sz w:val="20"/>
                <w:szCs w:val="20"/>
              </w:rPr>
            </w:pPr>
            <w:r w:rsidRPr="003145C8">
              <w:rPr>
                <w:rFonts w:ascii="Arial Narrow" w:hAnsi="Arial Narrow" w:cs="Calibri"/>
                <w:color w:val="000000"/>
                <w:sz w:val="20"/>
                <w:szCs w:val="20"/>
              </w:rPr>
              <w:t>0</w:t>
            </w:r>
          </w:p>
        </w:tc>
        <w:tc>
          <w:tcPr>
            <w:tcW w:w="990" w:type="dxa"/>
            <w:vAlign w:val="center"/>
          </w:tcPr>
          <w:p w14:paraId="22CF83BD" w14:textId="464206A9" w:rsidR="003145C8" w:rsidRPr="003145C8" w:rsidRDefault="003145C8" w:rsidP="003145C8">
            <w:pPr>
              <w:jc w:val="center"/>
              <w:rPr>
                <w:rFonts w:ascii="Arial Narrow" w:hAnsi="Arial Narrow" w:cs="Calibri"/>
                <w:color w:val="000000"/>
                <w:sz w:val="20"/>
                <w:szCs w:val="20"/>
              </w:rPr>
            </w:pPr>
            <w:r w:rsidRPr="003145C8">
              <w:rPr>
                <w:rFonts w:ascii="Arial Narrow" w:hAnsi="Arial Narrow" w:cs="Calibri"/>
                <w:color w:val="000000"/>
                <w:sz w:val="20"/>
                <w:szCs w:val="20"/>
              </w:rPr>
              <w:t>-2</w:t>
            </w:r>
          </w:p>
        </w:tc>
        <w:tc>
          <w:tcPr>
            <w:tcW w:w="990" w:type="dxa"/>
            <w:vAlign w:val="center"/>
          </w:tcPr>
          <w:p w14:paraId="0DFDC0A8" w14:textId="6E066D97" w:rsidR="003145C8" w:rsidRPr="003145C8" w:rsidRDefault="003145C8" w:rsidP="003145C8">
            <w:pPr>
              <w:jc w:val="center"/>
              <w:rPr>
                <w:rFonts w:ascii="Arial Narrow" w:hAnsi="Arial Narrow" w:cs="Calibri"/>
                <w:b/>
                <w:color w:val="000000"/>
                <w:sz w:val="20"/>
                <w:szCs w:val="20"/>
                <w:highlight w:val="yellow"/>
              </w:rPr>
            </w:pPr>
            <w:r w:rsidRPr="003145C8">
              <w:rPr>
                <w:rFonts w:ascii="Arial Narrow" w:hAnsi="Arial Narrow" w:cs="Calibri"/>
                <w:color w:val="000000"/>
                <w:sz w:val="20"/>
                <w:szCs w:val="20"/>
              </w:rPr>
              <w:t>-2</w:t>
            </w:r>
          </w:p>
        </w:tc>
        <w:tc>
          <w:tcPr>
            <w:tcW w:w="3600" w:type="dxa"/>
            <w:vAlign w:val="center"/>
          </w:tcPr>
          <w:p w14:paraId="5AD49C16" w14:textId="07A71ECA" w:rsidR="003145C8" w:rsidRPr="003145C8" w:rsidRDefault="003145C8" w:rsidP="003145C8">
            <w:pPr>
              <w:jc w:val="left"/>
              <w:rPr>
                <w:rFonts w:ascii="Arial Narrow" w:hAnsi="Arial Narrow"/>
                <w:color w:val="000000"/>
                <w:sz w:val="20"/>
                <w:szCs w:val="20"/>
                <w:highlight w:val="yellow"/>
              </w:rPr>
            </w:pPr>
            <w:r w:rsidRPr="003145C8">
              <w:rPr>
                <w:rFonts w:ascii="Arial Narrow" w:hAnsi="Arial Narrow" w:cs="Calibri"/>
                <w:color w:val="000000"/>
                <w:sz w:val="20"/>
                <w:szCs w:val="20"/>
              </w:rPr>
              <w:t xml:space="preserve">No toxicity (in IC25 endpoints) was observed in C. </w:t>
            </w:r>
            <w:proofErr w:type="spellStart"/>
            <w:r w:rsidRPr="003145C8">
              <w:rPr>
                <w:rFonts w:ascii="Arial Narrow" w:hAnsi="Arial Narrow" w:cs="Calibri"/>
                <w:color w:val="000000"/>
                <w:sz w:val="20"/>
                <w:szCs w:val="20"/>
              </w:rPr>
              <w:t>dubia</w:t>
            </w:r>
            <w:proofErr w:type="spellEnd"/>
            <w:r w:rsidRPr="003145C8">
              <w:rPr>
                <w:rFonts w:ascii="Arial Narrow" w:hAnsi="Arial Narrow" w:cs="Calibri"/>
                <w:color w:val="000000"/>
                <w:sz w:val="20"/>
                <w:szCs w:val="20"/>
              </w:rPr>
              <w:t xml:space="preserve"> and P. </w:t>
            </w:r>
            <w:proofErr w:type="spellStart"/>
            <w:r w:rsidRPr="003145C8">
              <w:rPr>
                <w:rFonts w:ascii="Arial Narrow" w:hAnsi="Arial Narrow" w:cs="Calibri"/>
                <w:color w:val="000000"/>
                <w:sz w:val="20"/>
                <w:szCs w:val="20"/>
              </w:rPr>
              <w:t>promelas</w:t>
            </w:r>
            <w:proofErr w:type="spellEnd"/>
            <w:r w:rsidRPr="003145C8">
              <w:rPr>
                <w:rFonts w:ascii="Arial Narrow" w:hAnsi="Arial Narrow" w:cs="Calibri"/>
                <w:color w:val="000000"/>
                <w:sz w:val="20"/>
                <w:szCs w:val="20"/>
              </w:rPr>
              <w:t xml:space="preserve"> laboratory toxicity testing of Roanoke River samples.</w:t>
            </w:r>
          </w:p>
        </w:tc>
      </w:tr>
      <w:tr w:rsidR="003145C8" w:rsidRPr="007A0C83" w14:paraId="577E9E5C" w14:textId="77777777" w:rsidTr="003145C8">
        <w:trPr>
          <w:trHeight w:val="247"/>
        </w:trPr>
        <w:tc>
          <w:tcPr>
            <w:tcW w:w="2437" w:type="dxa"/>
            <w:vAlign w:val="center"/>
          </w:tcPr>
          <w:p w14:paraId="020A2566" w14:textId="1E138553" w:rsidR="003145C8" w:rsidRPr="003145C8" w:rsidRDefault="003145C8" w:rsidP="003145C8">
            <w:pPr>
              <w:jc w:val="left"/>
              <w:rPr>
                <w:rFonts w:ascii="Arial Narrow" w:hAnsi="Arial Narrow" w:cs="Calibri"/>
                <w:b/>
                <w:bCs/>
                <w:color w:val="000000"/>
                <w:sz w:val="20"/>
                <w:szCs w:val="20"/>
                <w:highlight w:val="yellow"/>
              </w:rPr>
            </w:pPr>
            <w:r w:rsidRPr="003145C8">
              <w:rPr>
                <w:rFonts w:ascii="Arial Narrow" w:hAnsi="Arial Narrow" w:cs="Calibri"/>
                <w:color w:val="000000"/>
                <w:sz w:val="20"/>
                <w:szCs w:val="20"/>
              </w:rPr>
              <w:t>Temporal Sequence</w:t>
            </w:r>
          </w:p>
        </w:tc>
        <w:tc>
          <w:tcPr>
            <w:tcW w:w="720" w:type="dxa"/>
            <w:vAlign w:val="center"/>
          </w:tcPr>
          <w:p w14:paraId="5A49722D" w14:textId="7030D3D4" w:rsidR="003145C8" w:rsidRPr="003145C8" w:rsidRDefault="003145C8" w:rsidP="003145C8">
            <w:pPr>
              <w:jc w:val="center"/>
              <w:rPr>
                <w:rFonts w:ascii="Arial Narrow" w:hAnsi="Arial Narrow" w:cs="Calibri"/>
                <w:color w:val="000000"/>
                <w:sz w:val="20"/>
                <w:szCs w:val="20"/>
              </w:rPr>
            </w:pPr>
            <w:r w:rsidRPr="003145C8">
              <w:rPr>
                <w:rFonts w:ascii="Arial Narrow" w:hAnsi="Arial Narrow" w:cs="Calibri"/>
                <w:sz w:val="20"/>
                <w:szCs w:val="20"/>
              </w:rPr>
              <w:t>-2</w:t>
            </w:r>
          </w:p>
        </w:tc>
        <w:tc>
          <w:tcPr>
            <w:tcW w:w="720" w:type="dxa"/>
            <w:vAlign w:val="center"/>
          </w:tcPr>
          <w:p w14:paraId="4EAE0410" w14:textId="2F03EE79" w:rsidR="003145C8" w:rsidRPr="003145C8" w:rsidRDefault="003145C8" w:rsidP="003145C8">
            <w:pPr>
              <w:jc w:val="center"/>
              <w:rPr>
                <w:rFonts w:ascii="Arial Narrow" w:hAnsi="Arial Narrow" w:cs="Calibri"/>
                <w:color w:val="000000"/>
                <w:sz w:val="20"/>
                <w:szCs w:val="20"/>
              </w:rPr>
            </w:pPr>
            <w:r w:rsidRPr="003145C8">
              <w:rPr>
                <w:rFonts w:ascii="Arial Narrow" w:hAnsi="Arial Narrow" w:cs="Calibri"/>
                <w:sz w:val="20"/>
                <w:szCs w:val="20"/>
              </w:rPr>
              <w:t>-1</w:t>
            </w:r>
          </w:p>
        </w:tc>
        <w:tc>
          <w:tcPr>
            <w:tcW w:w="990" w:type="dxa"/>
            <w:vAlign w:val="center"/>
          </w:tcPr>
          <w:p w14:paraId="04DEB0E2" w14:textId="6CA94842" w:rsidR="003145C8" w:rsidRPr="003145C8" w:rsidRDefault="003145C8" w:rsidP="003145C8">
            <w:pPr>
              <w:jc w:val="center"/>
              <w:rPr>
                <w:rFonts w:ascii="Arial Narrow" w:hAnsi="Arial Narrow" w:cs="Calibri"/>
                <w:color w:val="000000"/>
                <w:sz w:val="20"/>
                <w:szCs w:val="20"/>
              </w:rPr>
            </w:pPr>
            <w:r w:rsidRPr="003145C8">
              <w:rPr>
                <w:rFonts w:ascii="Arial Narrow" w:hAnsi="Arial Narrow" w:cs="Calibri"/>
                <w:sz w:val="20"/>
                <w:szCs w:val="20"/>
              </w:rPr>
              <w:t>-2</w:t>
            </w:r>
          </w:p>
        </w:tc>
        <w:tc>
          <w:tcPr>
            <w:tcW w:w="990" w:type="dxa"/>
            <w:vAlign w:val="center"/>
          </w:tcPr>
          <w:p w14:paraId="6E34841F" w14:textId="5BB86D99" w:rsidR="003145C8" w:rsidRPr="003145C8" w:rsidRDefault="003145C8" w:rsidP="003145C8">
            <w:pPr>
              <w:jc w:val="center"/>
              <w:rPr>
                <w:rFonts w:ascii="Arial Narrow" w:hAnsi="Arial Narrow" w:cs="Calibri"/>
                <w:b/>
                <w:color w:val="000000"/>
                <w:sz w:val="20"/>
                <w:szCs w:val="20"/>
                <w:highlight w:val="yellow"/>
              </w:rPr>
            </w:pPr>
            <w:r w:rsidRPr="003145C8">
              <w:rPr>
                <w:rFonts w:ascii="Arial Narrow" w:hAnsi="Arial Narrow" w:cs="Calibri"/>
                <w:sz w:val="20"/>
                <w:szCs w:val="20"/>
              </w:rPr>
              <w:t>-2</w:t>
            </w:r>
          </w:p>
        </w:tc>
        <w:tc>
          <w:tcPr>
            <w:tcW w:w="3600" w:type="dxa"/>
            <w:vAlign w:val="center"/>
          </w:tcPr>
          <w:p w14:paraId="6FBD980A" w14:textId="46010000" w:rsidR="003145C8" w:rsidRPr="003145C8" w:rsidRDefault="003145C8" w:rsidP="003145C8">
            <w:pPr>
              <w:jc w:val="left"/>
              <w:rPr>
                <w:rFonts w:ascii="Arial Narrow" w:hAnsi="Arial Narrow"/>
                <w:color w:val="000000"/>
                <w:sz w:val="20"/>
                <w:szCs w:val="20"/>
                <w:highlight w:val="yellow"/>
              </w:rPr>
            </w:pPr>
            <w:r w:rsidRPr="003145C8">
              <w:rPr>
                <w:rFonts w:ascii="Arial Narrow" w:hAnsi="Arial Narrow" w:cs="Calibri"/>
                <w:color w:val="000000"/>
                <w:sz w:val="20"/>
                <w:szCs w:val="20"/>
              </w:rPr>
              <w:t xml:space="preserve">Spring SCI scores were lower than fall scores in each impaired stream, but potassium was typically highest in the fall (Wolf Creek and Roanoke River) or no discernible seasonal pattern was observed (Tinker Creek). </w:t>
            </w:r>
          </w:p>
        </w:tc>
      </w:tr>
      <w:tr w:rsidR="003145C8" w:rsidRPr="007A0C83" w14:paraId="1DC72DE8" w14:textId="77777777" w:rsidTr="003145C8">
        <w:trPr>
          <w:trHeight w:val="247"/>
        </w:trPr>
        <w:tc>
          <w:tcPr>
            <w:tcW w:w="2437" w:type="dxa"/>
            <w:vAlign w:val="center"/>
          </w:tcPr>
          <w:p w14:paraId="298E4331" w14:textId="24B55D56" w:rsidR="003145C8" w:rsidRPr="003145C8" w:rsidRDefault="003145C8" w:rsidP="003145C8">
            <w:pPr>
              <w:jc w:val="left"/>
              <w:rPr>
                <w:rFonts w:ascii="Arial Narrow" w:hAnsi="Arial Narrow" w:cs="Calibri"/>
                <w:b/>
                <w:bCs/>
                <w:color w:val="000000"/>
                <w:sz w:val="20"/>
                <w:szCs w:val="20"/>
              </w:rPr>
            </w:pPr>
            <w:r w:rsidRPr="003145C8">
              <w:rPr>
                <w:rFonts w:ascii="Arial Narrow" w:hAnsi="Arial Narrow" w:cs="Calibri"/>
                <w:color w:val="000000"/>
                <w:sz w:val="20"/>
                <w:szCs w:val="20"/>
              </w:rPr>
              <w:t>Stressor-Response Relationships from Other Field Studies</w:t>
            </w:r>
          </w:p>
        </w:tc>
        <w:tc>
          <w:tcPr>
            <w:tcW w:w="720" w:type="dxa"/>
            <w:vAlign w:val="center"/>
          </w:tcPr>
          <w:p w14:paraId="51B47EF9" w14:textId="5CCA73DF" w:rsidR="003145C8" w:rsidRPr="003145C8" w:rsidRDefault="003145C8" w:rsidP="003145C8">
            <w:pPr>
              <w:jc w:val="center"/>
              <w:rPr>
                <w:rFonts w:ascii="Arial Narrow" w:hAnsi="Arial Narrow" w:cs="Calibri"/>
                <w:b/>
                <w:color w:val="000000"/>
                <w:sz w:val="20"/>
                <w:szCs w:val="20"/>
              </w:rPr>
            </w:pPr>
            <w:r w:rsidRPr="003145C8">
              <w:rPr>
                <w:rFonts w:ascii="Arial Narrow" w:hAnsi="Arial Narrow" w:cs="Calibri"/>
                <w:color w:val="000000"/>
                <w:sz w:val="20"/>
                <w:szCs w:val="20"/>
              </w:rPr>
              <w:t>1</w:t>
            </w:r>
          </w:p>
        </w:tc>
        <w:tc>
          <w:tcPr>
            <w:tcW w:w="720" w:type="dxa"/>
            <w:vAlign w:val="center"/>
          </w:tcPr>
          <w:p w14:paraId="1477FDF0" w14:textId="5DCC24BA" w:rsidR="003145C8" w:rsidRPr="003145C8" w:rsidRDefault="003145C8" w:rsidP="003145C8">
            <w:pPr>
              <w:jc w:val="center"/>
              <w:rPr>
                <w:rFonts w:ascii="Arial Narrow" w:hAnsi="Arial Narrow" w:cs="Calibri"/>
                <w:b/>
                <w:color w:val="000000"/>
                <w:sz w:val="20"/>
                <w:szCs w:val="20"/>
              </w:rPr>
            </w:pPr>
            <w:r w:rsidRPr="003145C8">
              <w:rPr>
                <w:rFonts w:ascii="Arial Narrow" w:hAnsi="Arial Narrow" w:cs="Calibri"/>
                <w:color w:val="000000"/>
                <w:sz w:val="20"/>
                <w:szCs w:val="20"/>
              </w:rPr>
              <w:t>1</w:t>
            </w:r>
          </w:p>
        </w:tc>
        <w:tc>
          <w:tcPr>
            <w:tcW w:w="990" w:type="dxa"/>
            <w:vAlign w:val="center"/>
          </w:tcPr>
          <w:p w14:paraId="5A558DBE" w14:textId="7BA9D0ED" w:rsidR="003145C8" w:rsidRPr="003145C8" w:rsidRDefault="003145C8" w:rsidP="003145C8">
            <w:pPr>
              <w:jc w:val="center"/>
              <w:rPr>
                <w:rFonts w:ascii="Arial Narrow" w:hAnsi="Arial Narrow" w:cs="Calibri"/>
                <w:b/>
                <w:color w:val="000000"/>
                <w:sz w:val="20"/>
                <w:szCs w:val="20"/>
              </w:rPr>
            </w:pPr>
            <w:r w:rsidRPr="003145C8">
              <w:rPr>
                <w:rFonts w:ascii="Arial Narrow" w:hAnsi="Arial Narrow" w:cs="Calibri"/>
                <w:color w:val="000000"/>
                <w:sz w:val="20"/>
                <w:szCs w:val="20"/>
              </w:rPr>
              <w:t>1</w:t>
            </w:r>
          </w:p>
        </w:tc>
        <w:tc>
          <w:tcPr>
            <w:tcW w:w="990" w:type="dxa"/>
            <w:vAlign w:val="center"/>
          </w:tcPr>
          <w:p w14:paraId="1F2B9CA6" w14:textId="3CC120BD" w:rsidR="003145C8" w:rsidRPr="003145C8" w:rsidRDefault="003145C8" w:rsidP="003145C8">
            <w:pPr>
              <w:jc w:val="center"/>
              <w:rPr>
                <w:rFonts w:ascii="Arial Narrow" w:hAnsi="Arial Narrow" w:cs="Calibri"/>
                <w:b/>
                <w:color w:val="000000"/>
                <w:sz w:val="20"/>
                <w:szCs w:val="20"/>
              </w:rPr>
            </w:pPr>
            <w:r w:rsidRPr="003145C8">
              <w:rPr>
                <w:rFonts w:ascii="Arial Narrow" w:hAnsi="Arial Narrow" w:cs="Calibri"/>
                <w:color w:val="000000"/>
                <w:sz w:val="20"/>
                <w:szCs w:val="20"/>
              </w:rPr>
              <w:t>1</w:t>
            </w:r>
          </w:p>
        </w:tc>
        <w:tc>
          <w:tcPr>
            <w:tcW w:w="3600" w:type="dxa"/>
            <w:vAlign w:val="center"/>
          </w:tcPr>
          <w:p w14:paraId="672551FC" w14:textId="5811CA40" w:rsidR="003145C8" w:rsidRPr="003145C8" w:rsidRDefault="003145C8" w:rsidP="003145C8">
            <w:pPr>
              <w:jc w:val="left"/>
              <w:rPr>
                <w:rFonts w:ascii="Arial Narrow" w:hAnsi="Arial Narrow"/>
                <w:color w:val="000000"/>
                <w:sz w:val="20"/>
                <w:szCs w:val="20"/>
                <w:highlight w:val="yellow"/>
              </w:rPr>
            </w:pPr>
            <w:r w:rsidRPr="003145C8">
              <w:rPr>
                <w:rFonts w:ascii="Arial Narrow" w:hAnsi="Arial Narrow" w:cs="Calibri"/>
                <w:color w:val="000000"/>
                <w:sz w:val="20"/>
                <w:szCs w:val="20"/>
              </w:rPr>
              <w:t>Median dissolved potassium values were in the medium probability range for stressor effects in each stream.</w:t>
            </w:r>
          </w:p>
        </w:tc>
      </w:tr>
      <w:tr w:rsidR="003145C8" w:rsidRPr="007A0C83" w14:paraId="459F9972" w14:textId="77777777" w:rsidTr="003145C8">
        <w:trPr>
          <w:trHeight w:val="247"/>
        </w:trPr>
        <w:tc>
          <w:tcPr>
            <w:tcW w:w="2437" w:type="dxa"/>
            <w:vAlign w:val="center"/>
          </w:tcPr>
          <w:p w14:paraId="7D38CC55" w14:textId="470834A7" w:rsidR="003145C8" w:rsidRPr="003145C8" w:rsidRDefault="003145C8" w:rsidP="003145C8">
            <w:pPr>
              <w:jc w:val="left"/>
              <w:rPr>
                <w:rFonts w:ascii="Arial Narrow" w:hAnsi="Arial Narrow" w:cs="Calibri"/>
                <w:b/>
                <w:bCs/>
                <w:color w:val="000000"/>
                <w:sz w:val="20"/>
                <w:szCs w:val="20"/>
              </w:rPr>
            </w:pPr>
            <w:r w:rsidRPr="003145C8">
              <w:rPr>
                <w:rFonts w:ascii="Arial Narrow" w:hAnsi="Arial Narrow" w:cs="Calibri"/>
                <w:color w:val="000000"/>
                <w:sz w:val="20"/>
                <w:szCs w:val="20"/>
              </w:rPr>
              <w:t>Stressor-Response Relationships from Laboratory Studies</w:t>
            </w:r>
          </w:p>
        </w:tc>
        <w:tc>
          <w:tcPr>
            <w:tcW w:w="720" w:type="dxa"/>
            <w:vAlign w:val="center"/>
          </w:tcPr>
          <w:p w14:paraId="0703DBC8" w14:textId="394A8621" w:rsidR="003145C8" w:rsidRPr="003145C8" w:rsidRDefault="003145C8" w:rsidP="003145C8">
            <w:pPr>
              <w:jc w:val="center"/>
              <w:rPr>
                <w:rFonts w:ascii="Arial Narrow" w:hAnsi="Arial Narrow" w:cs="Calibri"/>
                <w:b/>
                <w:color w:val="000000"/>
                <w:sz w:val="20"/>
                <w:szCs w:val="20"/>
              </w:rPr>
            </w:pPr>
            <w:r w:rsidRPr="003145C8">
              <w:rPr>
                <w:rFonts w:ascii="Arial Narrow" w:hAnsi="Arial Narrow" w:cs="Calibri"/>
                <w:color w:val="000000"/>
                <w:sz w:val="20"/>
                <w:szCs w:val="20"/>
              </w:rPr>
              <w:t>-2</w:t>
            </w:r>
          </w:p>
        </w:tc>
        <w:tc>
          <w:tcPr>
            <w:tcW w:w="720" w:type="dxa"/>
            <w:vAlign w:val="center"/>
          </w:tcPr>
          <w:p w14:paraId="3A1347B8" w14:textId="0DC97C1E" w:rsidR="003145C8" w:rsidRPr="003145C8" w:rsidRDefault="003145C8" w:rsidP="003145C8">
            <w:pPr>
              <w:jc w:val="center"/>
              <w:rPr>
                <w:rFonts w:ascii="Arial Narrow" w:hAnsi="Arial Narrow" w:cs="Calibri"/>
                <w:b/>
                <w:color w:val="000000"/>
                <w:sz w:val="20"/>
                <w:szCs w:val="20"/>
              </w:rPr>
            </w:pPr>
            <w:r w:rsidRPr="003145C8">
              <w:rPr>
                <w:rFonts w:ascii="Arial Narrow" w:hAnsi="Arial Narrow" w:cs="Calibri"/>
                <w:color w:val="000000"/>
                <w:sz w:val="20"/>
                <w:szCs w:val="20"/>
              </w:rPr>
              <w:t>-2</w:t>
            </w:r>
          </w:p>
        </w:tc>
        <w:tc>
          <w:tcPr>
            <w:tcW w:w="990" w:type="dxa"/>
            <w:vAlign w:val="center"/>
          </w:tcPr>
          <w:p w14:paraId="10B3434D" w14:textId="136852DD" w:rsidR="003145C8" w:rsidRPr="003145C8" w:rsidRDefault="003145C8" w:rsidP="003145C8">
            <w:pPr>
              <w:jc w:val="center"/>
              <w:rPr>
                <w:rFonts w:ascii="Arial Narrow" w:hAnsi="Arial Narrow" w:cs="Calibri"/>
                <w:b/>
                <w:color w:val="000000"/>
                <w:sz w:val="20"/>
                <w:szCs w:val="20"/>
              </w:rPr>
            </w:pPr>
            <w:r w:rsidRPr="003145C8">
              <w:rPr>
                <w:rFonts w:ascii="Arial Narrow" w:hAnsi="Arial Narrow" w:cs="Calibri"/>
                <w:color w:val="000000"/>
                <w:sz w:val="20"/>
                <w:szCs w:val="20"/>
              </w:rPr>
              <w:t>-2</w:t>
            </w:r>
          </w:p>
        </w:tc>
        <w:tc>
          <w:tcPr>
            <w:tcW w:w="990" w:type="dxa"/>
            <w:vAlign w:val="center"/>
          </w:tcPr>
          <w:p w14:paraId="48299233" w14:textId="38558D5B" w:rsidR="003145C8" w:rsidRPr="003145C8" w:rsidRDefault="003145C8" w:rsidP="003145C8">
            <w:pPr>
              <w:jc w:val="center"/>
              <w:rPr>
                <w:rFonts w:ascii="Arial Narrow" w:hAnsi="Arial Narrow" w:cs="Calibri"/>
                <w:b/>
                <w:color w:val="000000"/>
                <w:sz w:val="20"/>
                <w:szCs w:val="20"/>
              </w:rPr>
            </w:pPr>
            <w:r w:rsidRPr="003145C8">
              <w:rPr>
                <w:rFonts w:ascii="Arial Narrow" w:hAnsi="Arial Narrow" w:cs="Calibri"/>
                <w:color w:val="000000"/>
                <w:sz w:val="20"/>
                <w:szCs w:val="20"/>
              </w:rPr>
              <w:t>-2</w:t>
            </w:r>
          </w:p>
        </w:tc>
        <w:tc>
          <w:tcPr>
            <w:tcW w:w="3600" w:type="dxa"/>
            <w:vAlign w:val="center"/>
          </w:tcPr>
          <w:p w14:paraId="7DDA9553" w14:textId="78DA1177" w:rsidR="003145C8" w:rsidRPr="003145C8" w:rsidRDefault="003145C8" w:rsidP="003145C8">
            <w:pPr>
              <w:jc w:val="left"/>
              <w:rPr>
                <w:rFonts w:ascii="Arial Narrow" w:hAnsi="Arial Narrow"/>
                <w:color w:val="000000"/>
                <w:sz w:val="20"/>
                <w:szCs w:val="20"/>
                <w:highlight w:val="yellow"/>
              </w:rPr>
            </w:pPr>
            <w:r w:rsidRPr="003145C8">
              <w:rPr>
                <w:rFonts w:ascii="Arial Narrow" w:hAnsi="Arial Narrow" w:cs="Calibri"/>
                <w:color w:val="000000"/>
                <w:sz w:val="20"/>
                <w:szCs w:val="20"/>
              </w:rPr>
              <w:t xml:space="preserve">In an analysis of toxicity to major ions (Mount et al., 2016), all LC50s for Ceriodaphnia exposed to </w:t>
            </w:r>
            <w:proofErr w:type="spellStart"/>
            <w:r w:rsidRPr="003145C8">
              <w:rPr>
                <w:rFonts w:ascii="Arial Narrow" w:hAnsi="Arial Narrow" w:cs="Calibri"/>
                <w:color w:val="000000"/>
                <w:sz w:val="20"/>
                <w:szCs w:val="20"/>
              </w:rPr>
              <w:t>KCl</w:t>
            </w:r>
            <w:proofErr w:type="spellEnd"/>
            <w:r w:rsidRPr="003145C8">
              <w:rPr>
                <w:rFonts w:ascii="Arial Narrow" w:hAnsi="Arial Narrow" w:cs="Calibri"/>
                <w:color w:val="000000"/>
                <w:sz w:val="20"/>
                <w:szCs w:val="20"/>
              </w:rPr>
              <w:t xml:space="preserve"> were well above the potassium levels in Roanoke River project streams.</w:t>
            </w:r>
          </w:p>
        </w:tc>
      </w:tr>
      <w:tr w:rsidR="003145C8" w:rsidRPr="007A0C83" w14:paraId="3E696F99" w14:textId="77777777" w:rsidTr="003145C8">
        <w:trPr>
          <w:trHeight w:val="247"/>
        </w:trPr>
        <w:tc>
          <w:tcPr>
            <w:tcW w:w="2437" w:type="dxa"/>
            <w:vAlign w:val="center"/>
          </w:tcPr>
          <w:p w14:paraId="79F3557B" w14:textId="027B4A60" w:rsidR="003145C8" w:rsidRPr="003145C8" w:rsidRDefault="003145C8" w:rsidP="003145C8">
            <w:pPr>
              <w:jc w:val="left"/>
              <w:rPr>
                <w:rFonts w:ascii="Arial Narrow" w:hAnsi="Arial Narrow" w:cs="Calibri"/>
                <w:b/>
                <w:bCs/>
                <w:color w:val="000000"/>
                <w:sz w:val="20"/>
                <w:szCs w:val="20"/>
              </w:rPr>
            </w:pPr>
            <w:r w:rsidRPr="003145C8">
              <w:rPr>
                <w:rFonts w:ascii="Arial Narrow" w:hAnsi="Arial Narrow" w:cs="Calibri"/>
                <w:color w:val="000000"/>
                <w:sz w:val="20"/>
                <w:szCs w:val="20"/>
              </w:rPr>
              <w:t>Mechanistically</w:t>
            </w:r>
            <w:r>
              <w:rPr>
                <w:rFonts w:ascii="Arial Narrow" w:hAnsi="Arial Narrow" w:cs="Calibri"/>
                <w:color w:val="000000"/>
                <w:sz w:val="20"/>
                <w:szCs w:val="20"/>
              </w:rPr>
              <w:t xml:space="preserve"> </w:t>
            </w:r>
            <w:r w:rsidRPr="003145C8">
              <w:rPr>
                <w:rFonts w:ascii="Arial Narrow" w:hAnsi="Arial Narrow" w:cs="Calibri"/>
                <w:color w:val="000000"/>
                <w:sz w:val="20"/>
                <w:szCs w:val="20"/>
              </w:rPr>
              <w:t>Plausible Cause</w:t>
            </w:r>
          </w:p>
        </w:tc>
        <w:tc>
          <w:tcPr>
            <w:tcW w:w="720" w:type="dxa"/>
            <w:vAlign w:val="center"/>
          </w:tcPr>
          <w:p w14:paraId="07235309" w14:textId="1EABF343" w:rsidR="003145C8" w:rsidRPr="003145C8" w:rsidRDefault="003145C8" w:rsidP="003145C8">
            <w:pPr>
              <w:jc w:val="center"/>
              <w:rPr>
                <w:rFonts w:ascii="Arial Narrow" w:hAnsi="Arial Narrow" w:cs="Calibri"/>
                <w:b/>
                <w:color w:val="000000"/>
                <w:sz w:val="20"/>
                <w:szCs w:val="20"/>
              </w:rPr>
            </w:pPr>
            <w:r w:rsidRPr="003145C8">
              <w:rPr>
                <w:rFonts w:ascii="Arial Narrow" w:hAnsi="Arial Narrow" w:cs="Calibri"/>
                <w:sz w:val="20"/>
                <w:szCs w:val="20"/>
              </w:rPr>
              <w:t>-2</w:t>
            </w:r>
          </w:p>
        </w:tc>
        <w:tc>
          <w:tcPr>
            <w:tcW w:w="720" w:type="dxa"/>
            <w:vAlign w:val="center"/>
          </w:tcPr>
          <w:p w14:paraId="713543C7" w14:textId="45A016F3" w:rsidR="003145C8" w:rsidRPr="003145C8" w:rsidRDefault="003145C8" w:rsidP="003145C8">
            <w:pPr>
              <w:jc w:val="center"/>
              <w:rPr>
                <w:rFonts w:ascii="Arial Narrow" w:hAnsi="Arial Narrow" w:cs="Calibri"/>
                <w:b/>
                <w:color w:val="000000"/>
                <w:sz w:val="20"/>
                <w:szCs w:val="20"/>
              </w:rPr>
            </w:pPr>
            <w:r w:rsidRPr="003145C8">
              <w:rPr>
                <w:rFonts w:ascii="Arial Narrow" w:hAnsi="Arial Narrow" w:cs="Calibri"/>
                <w:sz w:val="20"/>
                <w:szCs w:val="20"/>
              </w:rPr>
              <w:t>-2</w:t>
            </w:r>
          </w:p>
        </w:tc>
        <w:tc>
          <w:tcPr>
            <w:tcW w:w="990" w:type="dxa"/>
            <w:vAlign w:val="center"/>
          </w:tcPr>
          <w:p w14:paraId="23761C63" w14:textId="299D384D" w:rsidR="003145C8" w:rsidRPr="003145C8" w:rsidRDefault="003145C8" w:rsidP="003145C8">
            <w:pPr>
              <w:jc w:val="center"/>
              <w:rPr>
                <w:rFonts w:ascii="Arial Narrow" w:hAnsi="Arial Narrow" w:cs="Calibri"/>
                <w:b/>
                <w:color w:val="000000"/>
                <w:sz w:val="20"/>
                <w:szCs w:val="20"/>
              </w:rPr>
            </w:pPr>
            <w:r w:rsidRPr="003145C8">
              <w:rPr>
                <w:rFonts w:ascii="Arial Narrow" w:hAnsi="Arial Narrow" w:cs="Calibri"/>
                <w:sz w:val="20"/>
                <w:szCs w:val="20"/>
              </w:rPr>
              <w:t>-2</w:t>
            </w:r>
          </w:p>
        </w:tc>
        <w:tc>
          <w:tcPr>
            <w:tcW w:w="990" w:type="dxa"/>
            <w:vAlign w:val="center"/>
          </w:tcPr>
          <w:p w14:paraId="052BB572" w14:textId="0F85BB84" w:rsidR="003145C8" w:rsidRPr="003145C8" w:rsidRDefault="003145C8" w:rsidP="003145C8">
            <w:pPr>
              <w:jc w:val="center"/>
              <w:rPr>
                <w:rFonts w:ascii="Arial Narrow" w:hAnsi="Arial Narrow" w:cs="Calibri"/>
                <w:b/>
                <w:color w:val="000000"/>
                <w:sz w:val="20"/>
                <w:szCs w:val="20"/>
              </w:rPr>
            </w:pPr>
            <w:r w:rsidRPr="003145C8">
              <w:rPr>
                <w:rFonts w:ascii="Arial Narrow" w:hAnsi="Arial Narrow" w:cs="Calibri"/>
                <w:sz w:val="20"/>
                <w:szCs w:val="20"/>
              </w:rPr>
              <w:t>-2</w:t>
            </w:r>
          </w:p>
        </w:tc>
        <w:tc>
          <w:tcPr>
            <w:tcW w:w="3600" w:type="dxa"/>
            <w:vAlign w:val="center"/>
          </w:tcPr>
          <w:p w14:paraId="78DC81B8" w14:textId="18776CC1" w:rsidR="003145C8" w:rsidRPr="003145C8" w:rsidRDefault="003145C8" w:rsidP="003145C8">
            <w:pPr>
              <w:jc w:val="left"/>
              <w:rPr>
                <w:rFonts w:ascii="Arial Narrow" w:hAnsi="Arial Narrow"/>
                <w:color w:val="000000"/>
                <w:sz w:val="20"/>
                <w:szCs w:val="20"/>
                <w:highlight w:val="yellow"/>
              </w:rPr>
            </w:pPr>
            <w:r w:rsidRPr="003145C8">
              <w:rPr>
                <w:rFonts w:ascii="Arial Narrow" w:hAnsi="Arial Narrow" w:cs="Calibri"/>
                <w:color w:val="000000"/>
                <w:sz w:val="20"/>
                <w:szCs w:val="20"/>
              </w:rPr>
              <w:t xml:space="preserve">Since potassium levels are well below toxic levels, benthic impacts due to potassium are unlikely. </w:t>
            </w:r>
          </w:p>
        </w:tc>
      </w:tr>
      <w:tr w:rsidR="003145C8" w:rsidRPr="007A0C83" w14:paraId="41523A6C" w14:textId="77777777" w:rsidTr="003145C8">
        <w:trPr>
          <w:trHeight w:val="247"/>
        </w:trPr>
        <w:tc>
          <w:tcPr>
            <w:tcW w:w="2437" w:type="dxa"/>
            <w:vAlign w:val="center"/>
          </w:tcPr>
          <w:p w14:paraId="4C937D7A" w14:textId="47DE88F1" w:rsidR="003145C8" w:rsidRPr="003145C8" w:rsidRDefault="003145C8" w:rsidP="003145C8">
            <w:pPr>
              <w:jc w:val="left"/>
              <w:rPr>
                <w:rFonts w:ascii="Arial Narrow" w:hAnsi="Arial Narrow" w:cs="Calibri"/>
                <w:b/>
                <w:bCs/>
                <w:color w:val="000000"/>
                <w:sz w:val="20"/>
                <w:szCs w:val="20"/>
              </w:rPr>
            </w:pPr>
            <w:r w:rsidRPr="003145C8">
              <w:rPr>
                <w:rFonts w:ascii="Arial Narrow" w:hAnsi="Arial Narrow" w:cs="Calibri"/>
                <w:color w:val="000000"/>
                <w:sz w:val="20"/>
                <w:szCs w:val="20"/>
              </w:rPr>
              <w:t>Analogous Stressors</w:t>
            </w:r>
          </w:p>
        </w:tc>
        <w:tc>
          <w:tcPr>
            <w:tcW w:w="720" w:type="dxa"/>
            <w:vAlign w:val="center"/>
          </w:tcPr>
          <w:p w14:paraId="51418863" w14:textId="3F385EF1" w:rsidR="003145C8" w:rsidRPr="003145C8" w:rsidRDefault="003145C8" w:rsidP="003145C8">
            <w:pPr>
              <w:jc w:val="center"/>
              <w:rPr>
                <w:rFonts w:ascii="Arial Narrow" w:hAnsi="Arial Narrow" w:cs="Calibri"/>
                <w:b/>
                <w:color w:val="000000"/>
                <w:sz w:val="20"/>
                <w:szCs w:val="20"/>
              </w:rPr>
            </w:pPr>
            <w:r w:rsidRPr="003145C8">
              <w:rPr>
                <w:rFonts w:ascii="Arial Narrow" w:hAnsi="Arial Narrow" w:cs="Calibri"/>
                <w:color w:val="000000"/>
                <w:sz w:val="20"/>
                <w:szCs w:val="20"/>
              </w:rPr>
              <w:t>-3</w:t>
            </w:r>
          </w:p>
        </w:tc>
        <w:tc>
          <w:tcPr>
            <w:tcW w:w="720" w:type="dxa"/>
            <w:vAlign w:val="center"/>
          </w:tcPr>
          <w:p w14:paraId="5A1A1A5A" w14:textId="709F11C6" w:rsidR="003145C8" w:rsidRPr="003145C8" w:rsidRDefault="003145C8" w:rsidP="003145C8">
            <w:pPr>
              <w:jc w:val="center"/>
              <w:rPr>
                <w:rFonts w:ascii="Arial Narrow" w:hAnsi="Arial Narrow" w:cs="Calibri"/>
                <w:b/>
                <w:color w:val="000000"/>
                <w:sz w:val="20"/>
                <w:szCs w:val="20"/>
              </w:rPr>
            </w:pPr>
            <w:r w:rsidRPr="003145C8">
              <w:rPr>
                <w:rFonts w:ascii="Arial Narrow" w:hAnsi="Arial Narrow" w:cs="Calibri"/>
                <w:color w:val="000000"/>
                <w:sz w:val="20"/>
                <w:szCs w:val="20"/>
              </w:rPr>
              <w:t>1</w:t>
            </w:r>
          </w:p>
        </w:tc>
        <w:tc>
          <w:tcPr>
            <w:tcW w:w="990" w:type="dxa"/>
            <w:vAlign w:val="center"/>
          </w:tcPr>
          <w:p w14:paraId="3671C71D" w14:textId="2179CB0C" w:rsidR="003145C8" w:rsidRPr="003145C8" w:rsidRDefault="003145C8" w:rsidP="003145C8">
            <w:pPr>
              <w:jc w:val="center"/>
              <w:rPr>
                <w:rFonts w:ascii="Arial Narrow" w:hAnsi="Arial Narrow" w:cs="Calibri"/>
                <w:b/>
                <w:color w:val="000000"/>
                <w:sz w:val="20"/>
                <w:szCs w:val="20"/>
              </w:rPr>
            </w:pPr>
            <w:r w:rsidRPr="003145C8">
              <w:rPr>
                <w:rFonts w:ascii="Arial Narrow" w:hAnsi="Arial Narrow" w:cs="Calibri"/>
                <w:color w:val="000000"/>
                <w:sz w:val="20"/>
                <w:szCs w:val="20"/>
              </w:rPr>
              <w:t>-1</w:t>
            </w:r>
          </w:p>
        </w:tc>
        <w:tc>
          <w:tcPr>
            <w:tcW w:w="990" w:type="dxa"/>
            <w:vAlign w:val="center"/>
          </w:tcPr>
          <w:p w14:paraId="45F063E6" w14:textId="586F5769" w:rsidR="003145C8" w:rsidRPr="003145C8" w:rsidRDefault="003145C8" w:rsidP="003145C8">
            <w:pPr>
              <w:jc w:val="center"/>
              <w:rPr>
                <w:rFonts w:ascii="Arial Narrow" w:hAnsi="Arial Narrow" w:cs="Calibri"/>
                <w:b/>
                <w:color w:val="000000"/>
                <w:sz w:val="20"/>
                <w:szCs w:val="20"/>
              </w:rPr>
            </w:pPr>
            <w:r w:rsidRPr="003145C8">
              <w:rPr>
                <w:rFonts w:ascii="Arial Narrow" w:hAnsi="Arial Narrow" w:cs="Calibri"/>
                <w:color w:val="000000"/>
                <w:sz w:val="20"/>
                <w:szCs w:val="20"/>
              </w:rPr>
              <w:t>1</w:t>
            </w:r>
          </w:p>
        </w:tc>
        <w:tc>
          <w:tcPr>
            <w:tcW w:w="3600" w:type="dxa"/>
            <w:vAlign w:val="center"/>
          </w:tcPr>
          <w:p w14:paraId="32354985" w14:textId="42793EFF" w:rsidR="003145C8" w:rsidRPr="003145C8" w:rsidRDefault="003145C8" w:rsidP="003145C8">
            <w:pPr>
              <w:jc w:val="left"/>
              <w:rPr>
                <w:rFonts w:ascii="Arial Narrow" w:hAnsi="Arial Narrow"/>
                <w:color w:val="000000"/>
                <w:sz w:val="20"/>
                <w:szCs w:val="20"/>
                <w:highlight w:val="yellow"/>
              </w:rPr>
            </w:pPr>
            <w:r w:rsidRPr="003145C8">
              <w:rPr>
                <w:rFonts w:ascii="Arial Narrow" w:hAnsi="Arial Narrow" w:cs="Calibri"/>
                <w:color w:val="000000"/>
                <w:sz w:val="20"/>
                <w:szCs w:val="20"/>
              </w:rPr>
              <w:t xml:space="preserve">For the analogous stressor of conductivity, median conductivity values were in the no probability range for stressor effects in Wolf Creek, medium range in Tinker Creek, low range in Roanoke River (202.20), and medium range in Roanoke River (198.08). </w:t>
            </w:r>
          </w:p>
        </w:tc>
      </w:tr>
      <w:tr w:rsidR="003145C8" w:rsidRPr="007A0C83" w14:paraId="4A30FAE9" w14:textId="77777777" w:rsidTr="003145C8">
        <w:trPr>
          <w:trHeight w:val="247"/>
        </w:trPr>
        <w:tc>
          <w:tcPr>
            <w:tcW w:w="2437" w:type="dxa"/>
            <w:vAlign w:val="center"/>
          </w:tcPr>
          <w:p w14:paraId="0A98298A" w14:textId="0599684B" w:rsidR="003145C8" w:rsidRPr="003145C8" w:rsidRDefault="003145C8" w:rsidP="003145C8">
            <w:pPr>
              <w:jc w:val="left"/>
              <w:rPr>
                <w:rFonts w:ascii="Arial Narrow" w:hAnsi="Arial Narrow" w:cs="Calibri"/>
                <w:b/>
                <w:bCs/>
                <w:color w:val="000000"/>
                <w:sz w:val="20"/>
                <w:szCs w:val="20"/>
              </w:rPr>
            </w:pPr>
            <w:r w:rsidRPr="003145C8">
              <w:rPr>
                <w:rFonts w:ascii="Arial Narrow" w:hAnsi="Arial Narrow" w:cs="Calibri"/>
                <w:color w:val="000000"/>
                <w:sz w:val="20"/>
                <w:szCs w:val="20"/>
              </w:rPr>
              <w:t>Consistency of Evidence</w:t>
            </w:r>
          </w:p>
        </w:tc>
        <w:tc>
          <w:tcPr>
            <w:tcW w:w="720" w:type="dxa"/>
            <w:vAlign w:val="center"/>
          </w:tcPr>
          <w:p w14:paraId="0A7E409E" w14:textId="3CF8026F" w:rsidR="003145C8" w:rsidRPr="003145C8" w:rsidRDefault="003145C8" w:rsidP="003145C8">
            <w:pPr>
              <w:jc w:val="center"/>
              <w:rPr>
                <w:rFonts w:ascii="Arial Narrow" w:hAnsi="Arial Narrow" w:cs="Calibri"/>
                <w:b/>
                <w:color w:val="000000"/>
                <w:sz w:val="20"/>
                <w:szCs w:val="20"/>
              </w:rPr>
            </w:pPr>
            <w:r w:rsidRPr="003145C8">
              <w:rPr>
                <w:rFonts w:ascii="Arial Narrow" w:hAnsi="Arial Narrow" w:cs="Calibri"/>
                <w:color w:val="000000"/>
                <w:sz w:val="20"/>
                <w:szCs w:val="20"/>
              </w:rPr>
              <w:t>-1</w:t>
            </w:r>
          </w:p>
        </w:tc>
        <w:tc>
          <w:tcPr>
            <w:tcW w:w="720" w:type="dxa"/>
            <w:vAlign w:val="center"/>
          </w:tcPr>
          <w:p w14:paraId="2881AAB1" w14:textId="4C89EDBD" w:rsidR="003145C8" w:rsidRPr="003145C8" w:rsidRDefault="003145C8" w:rsidP="003145C8">
            <w:pPr>
              <w:jc w:val="center"/>
              <w:rPr>
                <w:rFonts w:ascii="Arial Narrow" w:hAnsi="Arial Narrow" w:cs="Calibri"/>
                <w:b/>
                <w:color w:val="000000"/>
                <w:sz w:val="20"/>
                <w:szCs w:val="20"/>
              </w:rPr>
            </w:pPr>
            <w:r w:rsidRPr="003145C8">
              <w:rPr>
                <w:rFonts w:ascii="Arial Narrow" w:hAnsi="Arial Narrow" w:cs="Calibri"/>
                <w:color w:val="000000"/>
                <w:sz w:val="20"/>
                <w:szCs w:val="20"/>
              </w:rPr>
              <w:t>0</w:t>
            </w:r>
          </w:p>
        </w:tc>
        <w:tc>
          <w:tcPr>
            <w:tcW w:w="990" w:type="dxa"/>
            <w:vAlign w:val="center"/>
          </w:tcPr>
          <w:p w14:paraId="117E121C" w14:textId="550F0F1A" w:rsidR="003145C8" w:rsidRPr="003145C8" w:rsidRDefault="003145C8" w:rsidP="003145C8">
            <w:pPr>
              <w:jc w:val="center"/>
              <w:rPr>
                <w:rFonts w:ascii="Arial Narrow" w:hAnsi="Arial Narrow" w:cs="Calibri"/>
                <w:b/>
                <w:color w:val="000000"/>
                <w:sz w:val="20"/>
                <w:szCs w:val="20"/>
              </w:rPr>
            </w:pPr>
            <w:r w:rsidRPr="003145C8">
              <w:rPr>
                <w:rFonts w:ascii="Arial Narrow" w:hAnsi="Arial Narrow" w:cs="Calibri"/>
                <w:color w:val="000000"/>
                <w:sz w:val="20"/>
                <w:szCs w:val="20"/>
              </w:rPr>
              <w:t>0</w:t>
            </w:r>
          </w:p>
        </w:tc>
        <w:tc>
          <w:tcPr>
            <w:tcW w:w="990" w:type="dxa"/>
            <w:vAlign w:val="center"/>
          </w:tcPr>
          <w:p w14:paraId="2C896C6D" w14:textId="05F99A59" w:rsidR="003145C8" w:rsidRPr="003145C8" w:rsidRDefault="003145C8" w:rsidP="003145C8">
            <w:pPr>
              <w:jc w:val="center"/>
              <w:rPr>
                <w:rFonts w:ascii="Arial Narrow" w:hAnsi="Arial Narrow" w:cs="Calibri"/>
                <w:b/>
                <w:color w:val="000000"/>
                <w:sz w:val="20"/>
                <w:szCs w:val="20"/>
              </w:rPr>
            </w:pPr>
            <w:r w:rsidRPr="003145C8">
              <w:rPr>
                <w:rFonts w:ascii="Arial Narrow" w:hAnsi="Arial Narrow" w:cs="Calibri"/>
                <w:color w:val="000000"/>
                <w:sz w:val="20"/>
                <w:szCs w:val="20"/>
              </w:rPr>
              <w:t>0</w:t>
            </w:r>
          </w:p>
        </w:tc>
        <w:tc>
          <w:tcPr>
            <w:tcW w:w="3600" w:type="dxa"/>
            <w:vAlign w:val="center"/>
          </w:tcPr>
          <w:p w14:paraId="2F116A8A" w14:textId="2F947B02" w:rsidR="003145C8" w:rsidRPr="003145C8" w:rsidRDefault="003145C8" w:rsidP="003145C8">
            <w:pPr>
              <w:jc w:val="left"/>
              <w:rPr>
                <w:rFonts w:ascii="Arial Narrow" w:hAnsi="Arial Narrow"/>
                <w:color w:val="000000"/>
                <w:sz w:val="20"/>
                <w:szCs w:val="20"/>
                <w:highlight w:val="yellow"/>
              </w:rPr>
            </w:pPr>
            <w:r w:rsidRPr="003145C8">
              <w:rPr>
                <w:rFonts w:ascii="Arial Narrow" w:hAnsi="Arial Narrow" w:cs="Calibri"/>
                <w:color w:val="000000"/>
                <w:sz w:val="20"/>
                <w:szCs w:val="20"/>
              </w:rPr>
              <w:t>Most evidence refutes potassium as a stressor in Wolf Creek, but evidence is inconsistent in other streams.</w:t>
            </w:r>
          </w:p>
        </w:tc>
      </w:tr>
      <w:tr w:rsidR="003145C8" w:rsidRPr="003145C8" w14:paraId="182E8766" w14:textId="77777777" w:rsidTr="009A553E">
        <w:trPr>
          <w:trHeight w:val="247"/>
        </w:trPr>
        <w:tc>
          <w:tcPr>
            <w:tcW w:w="2437" w:type="dxa"/>
            <w:vAlign w:val="center"/>
          </w:tcPr>
          <w:p w14:paraId="6970E2E8" w14:textId="736B0BC8" w:rsidR="003145C8" w:rsidRPr="003145C8" w:rsidRDefault="003145C8" w:rsidP="009A553E">
            <w:pPr>
              <w:jc w:val="right"/>
              <w:rPr>
                <w:rFonts w:ascii="Arial Narrow" w:hAnsi="Arial Narrow" w:cs="Calibri"/>
                <w:b/>
                <w:bCs/>
                <w:color w:val="000000"/>
                <w:sz w:val="20"/>
                <w:szCs w:val="20"/>
              </w:rPr>
            </w:pPr>
            <w:r w:rsidRPr="003145C8">
              <w:rPr>
                <w:rFonts w:ascii="Arial Narrow" w:hAnsi="Arial Narrow" w:cs="Calibri"/>
                <w:b/>
                <w:bCs/>
                <w:color w:val="000000"/>
                <w:sz w:val="20"/>
                <w:szCs w:val="20"/>
              </w:rPr>
              <w:t>Sum</w:t>
            </w:r>
          </w:p>
        </w:tc>
        <w:tc>
          <w:tcPr>
            <w:tcW w:w="720" w:type="dxa"/>
            <w:vAlign w:val="center"/>
          </w:tcPr>
          <w:p w14:paraId="2ABDC5FC" w14:textId="31AE33BF" w:rsidR="003145C8" w:rsidRPr="003145C8" w:rsidRDefault="003145C8" w:rsidP="003145C8">
            <w:pPr>
              <w:jc w:val="center"/>
              <w:rPr>
                <w:rFonts w:ascii="Arial Narrow" w:hAnsi="Arial Narrow" w:cs="Calibri"/>
                <w:b/>
                <w:color w:val="000000"/>
                <w:sz w:val="20"/>
                <w:szCs w:val="20"/>
              </w:rPr>
            </w:pPr>
            <w:r w:rsidRPr="003145C8">
              <w:rPr>
                <w:rFonts w:ascii="Arial Narrow" w:hAnsi="Arial Narrow" w:cs="Calibri"/>
                <w:b/>
                <w:color w:val="000000"/>
                <w:sz w:val="20"/>
                <w:szCs w:val="20"/>
              </w:rPr>
              <w:t>-11</w:t>
            </w:r>
          </w:p>
        </w:tc>
        <w:tc>
          <w:tcPr>
            <w:tcW w:w="720" w:type="dxa"/>
            <w:vAlign w:val="center"/>
          </w:tcPr>
          <w:p w14:paraId="4D611702" w14:textId="475C32DA" w:rsidR="003145C8" w:rsidRPr="003145C8" w:rsidRDefault="003145C8" w:rsidP="003145C8">
            <w:pPr>
              <w:jc w:val="center"/>
              <w:rPr>
                <w:rFonts w:ascii="Arial Narrow" w:hAnsi="Arial Narrow" w:cs="Calibri"/>
                <w:b/>
                <w:color w:val="000000"/>
                <w:sz w:val="20"/>
                <w:szCs w:val="20"/>
              </w:rPr>
            </w:pPr>
            <w:r w:rsidRPr="003145C8">
              <w:rPr>
                <w:rFonts w:ascii="Arial Narrow" w:hAnsi="Arial Narrow" w:cs="Calibri"/>
                <w:b/>
                <w:color w:val="000000"/>
                <w:sz w:val="20"/>
                <w:szCs w:val="20"/>
              </w:rPr>
              <w:t>-5</w:t>
            </w:r>
          </w:p>
        </w:tc>
        <w:tc>
          <w:tcPr>
            <w:tcW w:w="990" w:type="dxa"/>
            <w:vAlign w:val="center"/>
          </w:tcPr>
          <w:p w14:paraId="20BC85FD" w14:textId="2258184F" w:rsidR="003145C8" w:rsidRPr="003145C8" w:rsidRDefault="003145C8" w:rsidP="003145C8">
            <w:pPr>
              <w:jc w:val="center"/>
              <w:rPr>
                <w:rFonts w:ascii="Arial Narrow" w:hAnsi="Arial Narrow" w:cs="Calibri"/>
                <w:b/>
                <w:color w:val="000000"/>
                <w:sz w:val="20"/>
                <w:szCs w:val="20"/>
              </w:rPr>
            </w:pPr>
            <w:r w:rsidRPr="003145C8">
              <w:rPr>
                <w:rFonts w:ascii="Arial Narrow" w:hAnsi="Arial Narrow" w:cs="Calibri"/>
                <w:b/>
                <w:color w:val="000000"/>
                <w:sz w:val="20"/>
                <w:szCs w:val="20"/>
              </w:rPr>
              <w:t>-7</w:t>
            </w:r>
          </w:p>
        </w:tc>
        <w:tc>
          <w:tcPr>
            <w:tcW w:w="990" w:type="dxa"/>
            <w:vAlign w:val="center"/>
          </w:tcPr>
          <w:p w14:paraId="7B6D01B7" w14:textId="037E85F1" w:rsidR="003145C8" w:rsidRPr="003145C8" w:rsidRDefault="003145C8" w:rsidP="003145C8">
            <w:pPr>
              <w:jc w:val="center"/>
              <w:rPr>
                <w:rFonts w:ascii="Arial Narrow" w:hAnsi="Arial Narrow" w:cs="Calibri"/>
                <w:b/>
                <w:color w:val="000000"/>
                <w:sz w:val="20"/>
                <w:szCs w:val="20"/>
              </w:rPr>
            </w:pPr>
            <w:r w:rsidRPr="003145C8">
              <w:rPr>
                <w:rFonts w:ascii="Arial Narrow" w:hAnsi="Arial Narrow" w:cs="Calibri"/>
                <w:b/>
                <w:color w:val="000000"/>
                <w:sz w:val="20"/>
                <w:szCs w:val="20"/>
              </w:rPr>
              <w:t>-5</w:t>
            </w:r>
          </w:p>
        </w:tc>
        <w:tc>
          <w:tcPr>
            <w:tcW w:w="3600" w:type="dxa"/>
            <w:vAlign w:val="center"/>
          </w:tcPr>
          <w:p w14:paraId="1FE7BC46" w14:textId="77777777" w:rsidR="003145C8" w:rsidRPr="003145C8" w:rsidRDefault="003145C8" w:rsidP="003145C8">
            <w:pPr>
              <w:jc w:val="left"/>
              <w:rPr>
                <w:rFonts w:ascii="Arial Narrow" w:hAnsi="Arial Narrow"/>
                <w:b/>
                <w:color w:val="000000"/>
                <w:sz w:val="20"/>
                <w:szCs w:val="20"/>
                <w:highlight w:val="yellow"/>
              </w:rPr>
            </w:pPr>
          </w:p>
        </w:tc>
      </w:tr>
    </w:tbl>
    <w:p w14:paraId="3EEDB530" w14:textId="4AA6E464" w:rsidR="008A1F50" w:rsidRPr="00177C78" w:rsidRDefault="000A323F" w:rsidP="003B49F8">
      <w:pPr>
        <w:pStyle w:val="Heading2"/>
      </w:pPr>
      <w:bookmarkStart w:id="226" w:name="_Toc162948194"/>
      <w:r>
        <w:t xml:space="preserve">Dissolved </w:t>
      </w:r>
      <w:r w:rsidR="008A1F50" w:rsidRPr="00177C78">
        <w:t>Chloride</w:t>
      </w:r>
      <w:bookmarkEnd w:id="226"/>
    </w:p>
    <w:p w14:paraId="404CCB3A" w14:textId="67F4E99D" w:rsidR="008A1F50" w:rsidRPr="00177C78" w:rsidRDefault="008A1F50" w:rsidP="008A1F50">
      <w:pPr>
        <w:pStyle w:val="BlockText"/>
      </w:pPr>
      <w:r w:rsidRPr="00177C78">
        <w:fldChar w:fldCharType="begin"/>
      </w:r>
      <w:r w:rsidRPr="00177C78">
        <w:instrText xml:space="preserve"> REF _Ref50646774 \h  \* MERGEFORMAT </w:instrText>
      </w:r>
      <w:r w:rsidRPr="00177C78">
        <w:fldChar w:fldCharType="separate"/>
      </w:r>
      <w:r w:rsidR="004A78BF" w:rsidRPr="00177C78">
        <w:t xml:space="preserve">Table </w:t>
      </w:r>
      <w:r w:rsidR="004A78BF">
        <w:rPr>
          <w:noProof/>
        </w:rPr>
        <w:t>34</w:t>
      </w:r>
      <w:r w:rsidRPr="00177C78">
        <w:fldChar w:fldCharType="end"/>
      </w:r>
      <w:r w:rsidRPr="00177C78">
        <w:t xml:space="preserve"> shows the causal analysis results for dissolved chloride</w:t>
      </w:r>
      <w:r w:rsidR="00177C78">
        <w:t xml:space="preserve">. </w:t>
      </w:r>
      <w:r w:rsidR="00AA7BFD">
        <w:t>Total causal analysis scores ranged from -</w:t>
      </w:r>
      <w:r w:rsidR="00342292">
        <w:t>22</w:t>
      </w:r>
      <w:r w:rsidR="00AA7BFD">
        <w:t xml:space="preserve"> to -</w:t>
      </w:r>
      <w:r w:rsidR="00342292">
        <w:t>13</w:t>
      </w:r>
      <w:r w:rsidR="00AA7BFD">
        <w:t xml:space="preserve">, indicating that there is strong evidence that dissolved </w:t>
      </w:r>
      <w:r w:rsidR="00342292">
        <w:t>chloride</w:t>
      </w:r>
      <w:r w:rsidR="00AA7BFD">
        <w:t xml:space="preserve"> is a non-stressor in Roanoke River Project streams</w:t>
      </w:r>
      <w:r w:rsidR="00AA7BFD" w:rsidRPr="000842F0">
        <w:t xml:space="preserve">. </w:t>
      </w:r>
      <w:r w:rsidR="00342292">
        <w:t xml:space="preserve">Median dissolved chloride levels were in the low probability range for stressor effects, and maximum concentrations were well </w:t>
      </w:r>
      <w:r w:rsidR="00342292" w:rsidRPr="00177C78">
        <w:t xml:space="preserve">below the water quality standard of 230 mg/L. </w:t>
      </w:r>
      <w:r w:rsidR="00342292">
        <w:t xml:space="preserve">In addition, Biological Condition Gradient analysis identified chloride as one of the lowest ranked stressors. </w:t>
      </w:r>
      <w:r w:rsidRPr="00177C78">
        <w:t>For th</w:t>
      </w:r>
      <w:r w:rsidR="00177C78">
        <w:t>ese</w:t>
      </w:r>
      <w:r w:rsidRPr="00177C78">
        <w:t xml:space="preserve"> reason</w:t>
      </w:r>
      <w:r w:rsidR="00177C78">
        <w:t>s</w:t>
      </w:r>
      <w:r w:rsidRPr="00177C78">
        <w:t xml:space="preserve"> and others explained in </w:t>
      </w:r>
      <w:r w:rsidRPr="00177C78">
        <w:fldChar w:fldCharType="begin"/>
      </w:r>
      <w:r w:rsidRPr="00177C78">
        <w:instrText xml:space="preserve"> REF _Ref50646774 \h  \* MERGEFORMAT </w:instrText>
      </w:r>
      <w:r w:rsidRPr="00177C78">
        <w:fldChar w:fldCharType="separate"/>
      </w:r>
      <w:r w:rsidR="004A78BF" w:rsidRPr="00177C78">
        <w:t xml:space="preserve">Table </w:t>
      </w:r>
      <w:r w:rsidR="004A78BF">
        <w:rPr>
          <w:noProof/>
        </w:rPr>
        <w:t>34</w:t>
      </w:r>
      <w:r w:rsidRPr="00177C78">
        <w:fldChar w:fldCharType="end"/>
      </w:r>
      <w:r w:rsidRPr="00177C78">
        <w:t xml:space="preserve">, dissolved chloride was categorized as a </w:t>
      </w:r>
      <w:r w:rsidR="00177C78">
        <w:t xml:space="preserve">non-stressor in </w:t>
      </w:r>
      <w:r w:rsidR="00342292">
        <w:t>Roanoke River Project streams</w:t>
      </w:r>
      <w:r w:rsidR="00177C78">
        <w:t xml:space="preserve">. </w:t>
      </w:r>
      <w:r w:rsidRPr="00177C78">
        <w:t xml:space="preserve"> </w:t>
      </w:r>
    </w:p>
    <w:p w14:paraId="5D1D5346" w14:textId="77777777" w:rsidR="008A1F50" w:rsidRPr="00177C78" w:rsidRDefault="008A1F50" w:rsidP="008A1F50">
      <w:pPr>
        <w:pStyle w:val="Caption"/>
      </w:pPr>
    </w:p>
    <w:p w14:paraId="49109127" w14:textId="24C4AB32" w:rsidR="008A1F50" w:rsidRDefault="008A1F50" w:rsidP="008A1F50">
      <w:pPr>
        <w:pStyle w:val="Caption"/>
      </w:pPr>
      <w:bookmarkStart w:id="227" w:name="_Ref50646774"/>
      <w:bookmarkStart w:id="228" w:name="_Toc162948301"/>
      <w:r w:rsidRPr="00177C78">
        <w:t xml:space="preserve">Table </w:t>
      </w:r>
      <w:r w:rsidRPr="00177C78">
        <w:rPr>
          <w:noProof/>
        </w:rPr>
        <w:fldChar w:fldCharType="begin"/>
      </w:r>
      <w:r w:rsidRPr="00177C78">
        <w:rPr>
          <w:noProof/>
        </w:rPr>
        <w:instrText xml:space="preserve"> SEQ Table \* ARABIC </w:instrText>
      </w:r>
      <w:r w:rsidRPr="00177C78">
        <w:rPr>
          <w:noProof/>
        </w:rPr>
        <w:fldChar w:fldCharType="separate"/>
      </w:r>
      <w:r w:rsidR="004A78BF">
        <w:rPr>
          <w:noProof/>
        </w:rPr>
        <w:t>34</w:t>
      </w:r>
      <w:r w:rsidRPr="00177C78">
        <w:rPr>
          <w:noProof/>
        </w:rPr>
        <w:fldChar w:fldCharType="end"/>
      </w:r>
      <w:bookmarkEnd w:id="227"/>
      <w:r w:rsidRPr="00177C78">
        <w:t>. Causal analysis results for dissolved chloride.</w:t>
      </w:r>
      <w:bookmarkEnd w:id="228"/>
    </w:p>
    <w:tbl>
      <w:tblPr>
        <w:tblW w:w="9457"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7"/>
        <w:gridCol w:w="720"/>
        <w:gridCol w:w="720"/>
        <w:gridCol w:w="990"/>
        <w:gridCol w:w="990"/>
        <w:gridCol w:w="3600"/>
      </w:tblGrid>
      <w:tr w:rsidR="00250E0C" w:rsidRPr="007A0C83" w14:paraId="42CB97F0" w14:textId="77777777" w:rsidTr="009A553E">
        <w:trPr>
          <w:cantSplit/>
          <w:trHeight w:hRule="exact" w:val="1080"/>
        </w:trPr>
        <w:tc>
          <w:tcPr>
            <w:tcW w:w="2437" w:type="dxa"/>
            <w:shd w:val="clear" w:color="auto" w:fill="D9D9D9" w:themeFill="background1" w:themeFillShade="D9"/>
            <w:vAlign w:val="center"/>
          </w:tcPr>
          <w:p w14:paraId="72218320" w14:textId="77777777" w:rsidR="00250E0C" w:rsidRPr="00396EC1" w:rsidRDefault="00250E0C" w:rsidP="009A553E">
            <w:pPr>
              <w:jc w:val="center"/>
              <w:rPr>
                <w:rFonts w:ascii="Arial Narrow" w:hAnsi="Arial Narrow"/>
                <w:b/>
                <w:sz w:val="20"/>
                <w:szCs w:val="20"/>
              </w:rPr>
            </w:pPr>
            <w:r w:rsidRPr="00396EC1">
              <w:rPr>
                <w:rFonts w:ascii="Arial Narrow" w:hAnsi="Arial Narrow"/>
                <w:b/>
                <w:sz w:val="20"/>
                <w:szCs w:val="20"/>
              </w:rPr>
              <w:t>Evidence</w:t>
            </w:r>
          </w:p>
        </w:tc>
        <w:tc>
          <w:tcPr>
            <w:tcW w:w="720" w:type="dxa"/>
            <w:shd w:val="clear" w:color="auto" w:fill="D9D9D9" w:themeFill="background1" w:themeFillShade="D9"/>
            <w:vAlign w:val="center"/>
          </w:tcPr>
          <w:p w14:paraId="0AB05CFD" w14:textId="77777777" w:rsidR="00250E0C" w:rsidRPr="00396EC1" w:rsidRDefault="00250E0C" w:rsidP="009A553E">
            <w:pPr>
              <w:jc w:val="center"/>
              <w:rPr>
                <w:rFonts w:ascii="Arial Narrow" w:hAnsi="Arial Narrow"/>
                <w:b/>
                <w:sz w:val="20"/>
                <w:szCs w:val="20"/>
              </w:rPr>
            </w:pPr>
            <w:r>
              <w:rPr>
                <w:rFonts w:ascii="Arial Narrow" w:hAnsi="Arial Narrow"/>
                <w:b/>
                <w:sz w:val="20"/>
                <w:szCs w:val="20"/>
              </w:rPr>
              <w:t>Wolf Creek</w:t>
            </w:r>
          </w:p>
        </w:tc>
        <w:tc>
          <w:tcPr>
            <w:tcW w:w="720" w:type="dxa"/>
            <w:shd w:val="clear" w:color="auto" w:fill="D9D9D9" w:themeFill="background1" w:themeFillShade="D9"/>
            <w:vAlign w:val="center"/>
          </w:tcPr>
          <w:p w14:paraId="2AEBFADA" w14:textId="77777777" w:rsidR="00250E0C" w:rsidRPr="00396EC1" w:rsidRDefault="00250E0C" w:rsidP="009A553E">
            <w:pPr>
              <w:jc w:val="center"/>
              <w:rPr>
                <w:rFonts w:ascii="Arial Narrow" w:hAnsi="Arial Narrow"/>
                <w:b/>
                <w:sz w:val="20"/>
                <w:szCs w:val="20"/>
              </w:rPr>
            </w:pPr>
            <w:r>
              <w:rPr>
                <w:rFonts w:ascii="Arial Narrow" w:hAnsi="Arial Narrow"/>
                <w:b/>
                <w:sz w:val="20"/>
                <w:szCs w:val="20"/>
              </w:rPr>
              <w:t>Tinker Creek</w:t>
            </w:r>
          </w:p>
        </w:tc>
        <w:tc>
          <w:tcPr>
            <w:tcW w:w="990" w:type="dxa"/>
            <w:shd w:val="clear" w:color="auto" w:fill="D9D9D9" w:themeFill="background1" w:themeFillShade="D9"/>
            <w:vAlign w:val="center"/>
          </w:tcPr>
          <w:p w14:paraId="3A0345BA" w14:textId="77777777" w:rsidR="00250E0C" w:rsidRPr="00396EC1" w:rsidRDefault="00250E0C" w:rsidP="009A553E">
            <w:pPr>
              <w:jc w:val="center"/>
              <w:rPr>
                <w:rFonts w:ascii="Arial Narrow" w:hAnsi="Arial Narrow"/>
                <w:b/>
                <w:sz w:val="20"/>
                <w:szCs w:val="20"/>
              </w:rPr>
            </w:pPr>
            <w:r>
              <w:rPr>
                <w:rFonts w:ascii="Arial Narrow" w:hAnsi="Arial Narrow"/>
                <w:b/>
                <w:sz w:val="20"/>
                <w:szCs w:val="20"/>
              </w:rPr>
              <w:t>Roanoke River (202.20)</w:t>
            </w:r>
          </w:p>
        </w:tc>
        <w:tc>
          <w:tcPr>
            <w:tcW w:w="990" w:type="dxa"/>
            <w:shd w:val="clear" w:color="auto" w:fill="D9D9D9" w:themeFill="background1" w:themeFillShade="D9"/>
            <w:vAlign w:val="center"/>
          </w:tcPr>
          <w:p w14:paraId="2A96C3D1" w14:textId="77777777" w:rsidR="00250E0C" w:rsidRPr="00396EC1" w:rsidRDefault="00250E0C" w:rsidP="009A553E">
            <w:pPr>
              <w:jc w:val="center"/>
              <w:rPr>
                <w:rFonts w:ascii="Arial Narrow" w:hAnsi="Arial Narrow"/>
                <w:b/>
                <w:sz w:val="20"/>
                <w:szCs w:val="20"/>
              </w:rPr>
            </w:pPr>
            <w:r>
              <w:rPr>
                <w:rFonts w:ascii="Arial Narrow" w:hAnsi="Arial Narrow"/>
                <w:b/>
                <w:sz w:val="20"/>
                <w:szCs w:val="20"/>
              </w:rPr>
              <w:t>Roanoke River (198.08)</w:t>
            </w:r>
          </w:p>
        </w:tc>
        <w:tc>
          <w:tcPr>
            <w:tcW w:w="3600" w:type="dxa"/>
            <w:shd w:val="clear" w:color="auto" w:fill="D9D9D9" w:themeFill="background1" w:themeFillShade="D9"/>
            <w:vAlign w:val="center"/>
          </w:tcPr>
          <w:p w14:paraId="74E2FB32" w14:textId="77777777" w:rsidR="00250E0C" w:rsidRPr="00613B31" w:rsidRDefault="00250E0C" w:rsidP="009A553E">
            <w:pPr>
              <w:jc w:val="center"/>
              <w:rPr>
                <w:rFonts w:ascii="Arial Narrow" w:hAnsi="Arial Narrow"/>
                <w:b/>
                <w:sz w:val="20"/>
                <w:szCs w:val="20"/>
              </w:rPr>
            </w:pPr>
            <w:r w:rsidRPr="00396EC1">
              <w:rPr>
                <w:rFonts w:ascii="Arial Narrow" w:hAnsi="Arial Narrow"/>
                <w:b/>
                <w:sz w:val="20"/>
                <w:szCs w:val="20"/>
              </w:rPr>
              <w:t>Explanation</w:t>
            </w:r>
          </w:p>
        </w:tc>
      </w:tr>
      <w:tr w:rsidR="009A553E" w:rsidRPr="007A0C83" w14:paraId="0BB6F844" w14:textId="77777777" w:rsidTr="009A553E">
        <w:trPr>
          <w:trHeight w:val="247"/>
        </w:trPr>
        <w:tc>
          <w:tcPr>
            <w:tcW w:w="2437" w:type="dxa"/>
            <w:vAlign w:val="center"/>
          </w:tcPr>
          <w:p w14:paraId="1790A5E3" w14:textId="3C9CA4AA" w:rsidR="009A553E" w:rsidRPr="009A553E" w:rsidRDefault="009A553E" w:rsidP="009A553E">
            <w:pPr>
              <w:jc w:val="left"/>
              <w:rPr>
                <w:rFonts w:ascii="Arial Narrow" w:hAnsi="Arial Narrow"/>
                <w:sz w:val="20"/>
                <w:szCs w:val="20"/>
                <w:highlight w:val="yellow"/>
              </w:rPr>
            </w:pPr>
            <w:r w:rsidRPr="009A553E">
              <w:rPr>
                <w:rFonts w:ascii="Arial Narrow" w:hAnsi="Arial Narrow" w:cs="Calibri"/>
                <w:color w:val="000000"/>
                <w:sz w:val="20"/>
                <w:szCs w:val="20"/>
              </w:rPr>
              <w:t>Spatial Co-occurrence</w:t>
            </w:r>
          </w:p>
        </w:tc>
        <w:tc>
          <w:tcPr>
            <w:tcW w:w="720" w:type="dxa"/>
            <w:vAlign w:val="center"/>
          </w:tcPr>
          <w:p w14:paraId="2338A4D2" w14:textId="3FBAB288" w:rsidR="009A553E" w:rsidRPr="009A553E" w:rsidRDefault="009A553E" w:rsidP="009A553E">
            <w:pPr>
              <w:jc w:val="center"/>
              <w:rPr>
                <w:rFonts w:ascii="Arial Narrow" w:hAnsi="Arial Narrow" w:cs="Calibri"/>
                <w:color w:val="000000"/>
                <w:sz w:val="20"/>
                <w:szCs w:val="20"/>
              </w:rPr>
            </w:pPr>
            <w:r w:rsidRPr="009A553E">
              <w:rPr>
                <w:rFonts w:ascii="Arial Narrow" w:hAnsi="Arial Narrow" w:cs="Calibri"/>
                <w:color w:val="000000"/>
                <w:sz w:val="20"/>
                <w:szCs w:val="20"/>
              </w:rPr>
              <w:t>-3</w:t>
            </w:r>
          </w:p>
        </w:tc>
        <w:tc>
          <w:tcPr>
            <w:tcW w:w="720" w:type="dxa"/>
            <w:vAlign w:val="center"/>
          </w:tcPr>
          <w:p w14:paraId="4F17DE56" w14:textId="11213C9D" w:rsidR="009A553E" w:rsidRPr="009A553E" w:rsidRDefault="009A553E" w:rsidP="009A553E">
            <w:pPr>
              <w:jc w:val="center"/>
              <w:rPr>
                <w:rFonts w:ascii="Arial Narrow" w:hAnsi="Arial Narrow" w:cs="Calibri"/>
                <w:color w:val="000000"/>
                <w:sz w:val="20"/>
                <w:szCs w:val="20"/>
              </w:rPr>
            </w:pPr>
            <w:r w:rsidRPr="009A553E">
              <w:rPr>
                <w:rFonts w:ascii="Arial Narrow" w:hAnsi="Arial Narrow" w:cs="Calibri"/>
                <w:color w:val="000000"/>
                <w:sz w:val="20"/>
                <w:szCs w:val="20"/>
              </w:rPr>
              <w:t>1</w:t>
            </w:r>
          </w:p>
        </w:tc>
        <w:tc>
          <w:tcPr>
            <w:tcW w:w="990" w:type="dxa"/>
            <w:vAlign w:val="center"/>
          </w:tcPr>
          <w:p w14:paraId="61B95F1C" w14:textId="1B34FFA4" w:rsidR="009A553E" w:rsidRPr="009A553E" w:rsidRDefault="009A553E" w:rsidP="009A553E">
            <w:pPr>
              <w:jc w:val="center"/>
              <w:rPr>
                <w:rFonts w:ascii="Arial Narrow" w:hAnsi="Arial Narrow" w:cs="Calibri"/>
                <w:color w:val="000000"/>
                <w:sz w:val="20"/>
                <w:szCs w:val="20"/>
              </w:rPr>
            </w:pPr>
            <w:r w:rsidRPr="009A553E">
              <w:rPr>
                <w:rFonts w:ascii="Arial Narrow" w:hAnsi="Arial Narrow" w:cs="Calibri"/>
                <w:color w:val="000000"/>
                <w:sz w:val="20"/>
                <w:szCs w:val="20"/>
              </w:rPr>
              <w:t>1</w:t>
            </w:r>
          </w:p>
        </w:tc>
        <w:tc>
          <w:tcPr>
            <w:tcW w:w="990" w:type="dxa"/>
            <w:vAlign w:val="center"/>
          </w:tcPr>
          <w:p w14:paraId="1F829528" w14:textId="3E5928E1" w:rsidR="009A553E" w:rsidRPr="009A553E" w:rsidRDefault="009A553E" w:rsidP="009A553E">
            <w:pPr>
              <w:jc w:val="center"/>
              <w:rPr>
                <w:rFonts w:ascii="Arial Narrow" w:hAnsi="Arial Narrow"/>
                <w:color w:val="000000"/>
                <w:sz w:val="20"/>
                <w:szCs w:val="20"/>
                <w:highlight w:val="yellow"/>
              </w:rPr>
            </w:pPr>
            <w:r w:rsidRPr="009A553E">
              <w:rPr>
                <w:rFonts w:ascii="Arial Narrow" w:hAnsi="Arial Narrow" w:cs="Calibri"/>
                <w:color w:val="000000"/>
                <w:sz w:val="20"/>
                <w:szCs w:val="20"/>
              </w:rPr>
              <w:t>1</w:t>
            </w:r>
          </w:p>
        </w:tc>
        <w:tc>
          <w:tcPr>
            <w:tcW w:w="3600" w:type="dxa"/>
            <w:vAlign w:val="center"/>
          </w:tcPr>
          <w:p w14:paraId="6FA0ED28" w14:textId="01C323F6" w:rsidR="009A553E" w:rsidRPr="009A553E" w:rsidRDefault="009A553E" w:rsidP="009A553E">
            <w:pPr>
              <w:jc w:val="left"/>
              <w:rPr>
                <w:rFonts w:ascii="Arial Narrow" w:hAnsi="Arial Narrow"/>
                <w:color w:val="000000"/>
                <w:sz w:val="20"/>
                <w:szCs w:val="20"/>
                <w:highlight w:val="yellow"/>
              </w:rPr>
            </w:pPr>
            <w:r w:rsidRPr="009A553E">
              <w:rPr>
                <w:rFonts w:ascii="Arial Narrow" w:hAnsi="Arial Narrow" w:cs="Calibri"/>
                <w:color w:val="000000"/>
                <w:sz w:val="20"/>
                <w:szCs w:val="20"/>
              </w:rPr>
              <w:t xml:space="preserve">Tinker Creek and Roanoke River had statistically higher chloride levels than the applicable reference, but medians were in the low probability range for stressor effects. Wolf Creek was lower in chloride than the stream reference. </w:t>
            </w:r>
          </w:p>
        </w:tc>
      </w:tr>
      <w:tr w:rsidR="009A553E" w:rsidRPr="007A0C83" w14:paraId="21CFF752" w14:textId="77777777" w:rsidTr="009A553E">
        <w:trPr>
          <w:trHeight w:val="247"/>
        </w:trPr>
        <w:tc>
          <w:tcPr>
            <w:tcW w:w="2437" w:type="dxa"/>
            <w:vAlign w:val="center"/>
          </w:tcPr>
          <w:p w14:paraId="055F0F5D" w14:textId="66EF82E7" w:rsidR="009A553E" w:rsidRPr="009A553E" w:rsidRDefault="009A553E" w:rsidP="009A553E">
            <w:pPr>
              <w:jc w:val="left"/>
              <w:rPr>
                <w:rFonts w:ascii="Arial Narrow" w:hAnsi="Arial Narrow"/>
                <w:sz w:val="20"/>
                <w:szCs w:val="20"/>
                <w:highlight w:val="yellow"/>
              </w:rPr>
            </w:pPr>
            <w:r w:rsidRPr="009A553E">
              <w:rPr>
                <w:rFonts w:ascii="Arial Narrow" w:hAnsi="Arial Narrow" w:cs="Calibri"/>
                <w:color w:val="000000"/>
                <w:sz w:val="20"/>
                <w:szCs w:val="20"/>
              </w:rPr>
              <w:t>Temporal Co-occurrence</w:t>
            </w:r>
          </w:p>
        </w:tc>
        <w:tc>
          <w:tcPr>
            <w:tcW w:w="720" w:type="dxa"/>
            <w:vAlign w:val="center"/>
          </w:tcPr>
          <w:p w14:paraId="2ADD2147" w14:textId="2A4A0EF4" w:rsidR="009A553E" w:rsidRPr="009A553E" w:rsidRDefault="009A553E" w:rsidP="009A553E">
            <w:pPr>
              <w:jc w:val="center"/>
              <w:rPr>
                <w:rFonts w:ascii="Arial Narrow" w:hAnsi="Arial Narrow" w:cs="Calibri"/>
                <w:color w:val="000000"/>
                <w:sz w:val="20"/>
                <w:szCs w:val="20"/>
              </w:rPr>
            </w:pPr>
            <w:r w:rsidRPr="009A553E">
              <w:rPr>
                <w:rFonts w:ascii="Arial Narrow" w:hAnsi="Arial Narrow" w:cs="Calibri"/>
                <w:color w:val="000000"/>
                <w:sz w:val="20"/>
                <w:szCs w:val="20"/>
              </w:rPr>
              <w:t>-2</w:t>
            </w:r>
          </w:p>
        </w:tc>
        <w:tc>
          <w:tcPr>
            <w:tcW w:w="720" w:type="dxa"/>
            <w:vAlign w:val="center"/>
          </w:tcPr>
          <w:p w14:paraId="00526701" w14:textId="1F7897D7" w:rsidR="009A553E" w:rsidRPr="009A553E" w:rsidRDefault="009A553E" w:rsidP="009A553E">
            <w:pPr>
              <w:jc w:val="center"/>
              <w:rPr>
                <w:rFonts w:ascii="Arial Narrow" w:hAnsi="Arial Narrow" w:cs="Calibri"/>
                <w:color w:val="000000"/>
                <w:sz w:val="20"/>
                <w:szCs w:val="20"/>
              </w:rPr>
            </w:pPr>
            <w:r w:rsidRPr="009A553E">
              <w:rPr>
                <w:rFonts w:ascii="Arial Narrow" w:hAnsi="Arial Narrow" w:cs="Calibri"/>
                <w:color w:val="000000"/>
                <w:sz w:val="20"/>
                <w:szCs w:val="20"/>
              </w:rPr>
              <w:t>-2</w:t>
            </w:r>
          </w:p>
        </w:tc>
        <w:tc>
          <w:tcPr>
            <w:tcW w:w="990" w:type="dxa"/>
            <w:vAlign w:val="center"/>
          </w:tcPr>
          <w:p w14:paraId="74464C67" w14:textId="0BED4EE4" w:rsidR="009A553E" w:rsidRPr="009A553E" w:rsidRDefault="009A553E" w:rsidP="009A553E">
            <w:pPr>
              <w:jc w:val="center"/>
              <w:rPr>
                <w:rFonts w:ascii="Arial Narrow" w:hAnsi="Arial Narrow" w:cs="Calibri"/>
                <w:color w:val="000000"/>
                <w:sz w:val="20"/>
                <w:szCs w:val="20"/>
              </w:rPr>
            </w:pPr>
            <w:r w:rsidRPr="009A553E">
              <w:rPr>
                <w:rFonts w:ascii="Arial Narrow" w:hAnsi="Arial Narrow" w:cs="Calibri"/>
                <w:color w:val="000000"/>
                <w:sz w:val="20"/>
                <w:szCs w:val="20"/>
              </w:rPr>
              <w:t>-2</w:t>
            </w:r>
          </w:p>
        </w:tc>
        <w:tc>
          <w:tcPr>
            <w:tcW w:w="990" w:type="dxa"/>
            <w:vAlign w:val="center"/>
          </w:tcPr>
          <w:p w14:paraId="47EE10B7" w14:textId="31716C37" w:rsidR="009A553E" w:rsidRPr="009A553E" w:rsidRDefault="009A553E" w:rsidP="009A553E">
            <w:pPr>
              <w:jc w:val="center"/>
              <w:rPr>
                <w:rFonts w:ascii="Arial Narrow" w:hAnsi="Arial Narrow"/>
                <w:color w:val="000000"/>
                <w:sz w:val="20"/>
                <w:szCs w:val="20"/>
                <w:highlight w:val="yellow"/>
              </w:rPr>
            </w:pPr>
            <w:r w:rsidRPr="009A553E">
              <w:rPr>
                <w:rFonts w:ascii="Arial Narrow" w:hAnsi="Arial Narrow" w:cs="Calibri"/>
                <w:color w:val="000000"/>
                <w:sz w:val="20"/>
                <w:szCs w:val="20"/>
              </w:rPr>
              <w:t>1</w:t>
            </w:r>
          </w:p>
        </w:tc>
        <w:tc>
          <w:tcPr>
            <w:tcW w:w="3600" w:type="dxa"/>
            <w:vAlign w:val="center"/>
          </w:tcPr>
          <w:p w14:paraId="13042A1B" w14:textId="36DE2764" w:rsidR="009A553E" w:rsidRPr="009A553E" w:rsidRDefault="009A553E" w:rsidP="009A553E">
            <w:pPr>
              <w:jc w:val="left"/>
              <w:rPr>
                <w:rFonts w:ascii="Arial Narrow" w:hAnsi="Arial Narrow"/>
                <w:color w:val="000000"/>
                <w:sz w:val="20"/>
                <w:szCs w:val="20"/>
                <w:highlight w:val="yellow"/>
              </w:rPr>
            </w:pPr>
            <w:r w:rsidRPr="009A553E">
              <w:rPr>
                <w:rFonts w:ascii="Arial Narrow" w:hAnsi="Arial Narrow" w:cs="Calibri"/>
                <w:color w:val="000000"/>
                <w:sz w:val="20"/>
                <w:szCs w:val="20"/>
              </w:rPr>
              <w:t xml:space="preserve">At or around the time of benthic sampling, dissolved chloride levels were in the low probability range for stressor effects in Wolf Creek, Tinker Creek, and Roanoke River (202.20). Chloride levels were in the medium probability range on three occasions in the Roanoke River (198.08). </w:t>
            </w:r>
          </w:p>
        </w:tc>
      </w:tr>
      <w:tr w:rsidR="009A553E" w:rsidRPr="007A0C83" w14:paraId="16A9B9B2" w14:textId="77777777" w:rsidTr="009A553E">
        <w:trPr>
          <w:trHeight w:val="247"/>
        </w:trPr>
        <w:tc>
          <w:tcPr>
            <w:tcW w:w="2437" w:type="dxa"/>
            <w:vAlign w:val="center"/>
          </w:tcPr>
          <w:p w14:paraId="540EC839" w14:textId="2A630CA1" w:rsidR="009A553E" w:rsidRPr="009A553E" w:rsidRDefault="009A553E" w:rsidP="009A553E">
            <w:pPr>
              <w:jc w:val="left"/>
              <w:rPr>
                <w:rFonts w:ascii="Arial Narrow" w:hAnsi="Arial Narrow"/>
                <w:sz w:val="20"/>
                <w:szCs w:val="20"/>
                <w:highlight w:val="yellow"/>
              </w:rPr>
            </w:pPr>
            <w:r w:rsidRPr="009A553E">
              <w:rPr>
                <w:rFonts w:ascii="Arial Narrow" w:hAnsi="Arial Narrow" w:cs="Calibri"/>
                <w:color w:val="000000"/>
                <w:sz w:val="20"/>
                <w:szCs w:val="20"/>
              </w:rPr>
              <w:t>Stressor-Response Relationships from the Field</w:t>
            </w:r>
          </w:p>
        </w:tc>
        <w:tc>
          <w:tcPr>
            <w:tcW w:w="720" w:type="dxa"/>
            <w:vAlign w:val="center"/>
          </w:tcPr>
          <w:p w14:paraId="56241217" w14:textId="4CDACD81" w:rsidR="009A553E" w:rsidRPr="009A553E" w:rsidRDefault="009A553E" w:rsidP="009A553E">
            <w:pPr>
              <w:jc w:val="center"/>
              <w:rPr>
                <w:rFonts w:ascii="Arial Narrow" w:hAnsi="Arial Narrow" w:cs="Calibri"/>
                <w:color w:val="000000"/>
                <w:sz w:val="20"/>
                <w:szCs w:val="20"/>
              </w:rPr>
            </w:pPr>
            <w:r w:rsidRPr="009A553E">
              <w:rPr>
                <w:rFonts w:ascii="Arial Narrow" w:hAnsi="Arial Narrow" w:cs="Calibri"/>
                <w:color w:val="000000"/>
                <w:sz w:val="20"/>
                <w:szCs w:val="20"/>
              </w:rPr>
              <w:t>-2</w:t>
            </w:r>
          </w:p>
        </w:tc>
        <w:tc>
          <w:tcPr>
            <w:tcW w:w="720" w:type="dxa"/>
            <w:vAlign w:val="center"/>
          </w:tcPr>
          <w:p w14:paraId="40D6DEF6" w14:textId="0EC54D9A" w:rsidR="009A553E" w:rsidRPr="009A553E" w:rsidRDefault="009A553E" w:rsidP="009A553E">
            <w:pPr>
              <w:jc w:val="center"/>
              <w:rPr>
                <w:rFonts w:ascii="Arial Narrow" w:hAnsi="Arial Narrow" w:cs="Calibri"/>
                <w:color w:val="000000"/>
                <w:sz w:val="20"/>
                <w:szCs w:val="20"/>
              </w:rPr>
            </w:pPr>
            <w:r w:rsidRPr="009A553E">
              <w:rPr>
                <w:rFonts w:ascii="Arial Narrow" w:hAnsi="Arial Narrow" w:cs="Calibri"/>
                <w:color w:val="000000"/>
                <w:sz w:val="20"/>
                <w:szCs w:val="20"/>
              </w:rPr>
              <w:t>-2</w:t>
            </w:r>
          </w:p>
        </w:tc>
        <w:tc>
          <w:tcPr>
            <w:tcW w:w="990" w:type="dxa"/>
            <w:vAlign w:val="center"/>
          </w:tcPr>
          <w:p w14:paraId="0E345EB5" w14:textId="7F8228B6" w:rsidR="009A553E" w:rsidRPr="009A553E" w:rsidRDefault="009A553E" w:rsidP="009A553E">
            <w:pPr>
              <w:jc w:val="center"/>
              <w:rPr>
                <w:rFonts w:ascii="Arial Narrow" w:hAnsi="Arial Narrow" w:cs="Calibri"/>
                <w:color w:val="000000"/>
                <w:sz w:val="20"/>
                <w:szCs w:val="20"/>
              </w:rPr>
            </w:pPr>
            <w:r w:rsidRPr="009A553E">
              <w:rPr>
                <w:rFonts w:ascii="Arial Narrow" w:hAnsi="Arial Narrow" w:cs="Calibri"/>
                <w:color w:val="000000"/>
                <w:sz w:val="20"/>
                <w:szCs w:val="20"/>
              </w:rPr>
              <w:t>-2</w:t>
            </w:r>
          </w:p>
        </w:tc>
        <w:tc>
          <w:tcPr>
            <w:tcW w:w="990" w:type="dxa"/>
            <w:vAlign w:val="center"/>
          </w:tcPr>
          <w:p w14:paraId="0A220958" w14:textId="7E3CE3F3" w:rsidR="009A553E" w:rsidRPr="009A553E" w:rsidRDefault="009A553E" w:rsidP="009A553E">
            <w:pPr>
              <w:jc w:val="center"/>
              <w:rPr>
                <w:rFonts w:ascii="Arial Narrow" w:hAnsi="Arial Narrow"/>
                <w:color w:val="000000"/>
                <w:sz w:val="20"/>
                <w:szCs w:val="20"/>
                <w:highlight w:val="yellow"/>
              </w:rPr>
            </w:pPr>
            <w:r w:rsidRPr="009A553E">
              <w:rPr>
                <w:rFonts w:ascii="Arial Narrow" w:hAnsi="Arial Narrow" w:cs="Calibri"/>
                <w:color w:val="000000"/>
                <w:sz w:val="20"/>
                <w:szCs w:val="20"/>
              </w:rPr>
              <w:t>-2</w:t>
            </w:r>
          </w:p>
        </w:tc>
        <w:tc>
          <w:tcPr>
            <w:tcW w:w="3600" w:type="dxa"/>
            <w:vAlign w:val="center"/>
          </w:tcPr>
          <w:p w14:paraId="56CD224D" w14:textId="4236865B" w:rsidR="009A553E" w:rsidRPr="009A553E" w:rsidRDefault="009A553E" w:rsidP="009A553E">
            <w:pPr>
              <w:jc w:val="left"/>
              <w:rPr>
                <w:rFonts w:ascii="Arial Narrow" w:hAnsi="Arial Narrow"/>
                <w:color w:val="000000"/>
                <w:sz w:val="20"/>
                <w:szCs w:val="20"/>
                <w:highlight w:val="yellow"/>
              </w:rPr>
            </w:pPr>
            <w:r w:rsidRPr="009A553E">
              <w:rPr>
                <w:rFonts w:ascii="Arial Narrow" w:hAnsi="Arial Narrow" w:cs="Calibri"/>
                <w:color w:val="000000"/>
                <w:sz w:val="20"/>
                <w:szCs w:val="20"/>
              </w:rPr>
              <w:t>Dissolved chloride was not significantly correlated with benthic health across sites.</w:t>
            </w:r>
          </w:p>
        </w:tc>
      </w:tr>
      <w:tr w:rsidR="009A553E" w:rsidRPr="007A0C83" w14:paraId="325E18E7" w14:textId="77777777" w:rsidTr="009A553E">
        <w:trPr>
          <w:trHeight w:val="247"/>
        </w:trPr>
        <w:tc>
          <w:tcPr>
            <w:tcW w:w="2437" w:type="dxa"/>
            <w:vAlign w:val="center"/>
          </w:tcPr>
          <w:p w14:paraId="08458D5A" w14:textId="1AA8AE8C" w:rsidR="009A553E" w:rsidRPr="009A553E" w:rsidRDefault="009A553E" w:rsidP="009A553E">
            <w:pPr>
              <w:jc w:val="left"/>
              <w:rPr>
                <w:rFonts w:ascii="Arial Narrow" w:hAnsi="Arial Narrow" w:cs="Calibri"/>
                <w:b/>
                <w:bCs/>
                <w:color w:val="000000"/>
                <w:sz w:val="20"/>
                <w:szCs w:val="20"/>
                <w:highlight w:val="yellow"/>
              </w:rPr>
            </w:pPr>
            <w:r w:rsidRPr="009A553E">
              <w:rPr>
                <w:rFonts w:ascii="Arial Narrow" w:hAnsi="Arial Narrow" w:cs="Calibri"/>
                <w:color w:val="000000"/>
                <w:sz w:val="20"/>
                <w:szCs w:val="20"/>
              </w:rPr>
              <w:t>Laboratory Tests of Site Media</w:t>
            </w:r>
          </w:p>
        </w:tc>
        <w:tc>
          <w:tcPr>
            <w:tcW w:w="720" w:type="dxa"/>
            <w:vAlign w:val="center"/>
          </w:tcPr>
          <w:p w14:paraId="6F4C6533" w14:textId="543CE4C9" w:rsidR="009A553E" w:rsidRPr="009A553E" w:rsidRDefault="009A553E" w:rsidP="009A553E">
            <w:pPr>
              <w:jc w:val="center"/>
              <w:rPr>
                <w:rFonts w:ascii="Arial Narrow" w:hAnsi="Arial Narrow" w:cs="Calibri"/>
                <w:color w:val="000000"/>
                <w:sz w:val="20"/>
                <w:szCs w:val="20"/>
              </w:rPr>
            </w:pPr>
            <w:r w:rsidRPr="009A553E">
              <w:rPr>
                <w:rFonts w:ascii="Arial Narrow" w:hAnsi="Arial Narrow" w:cs="Calibri"/>
                <w:color w:val="000000"/>
                <w:sz w:val="20"/>
                <w:szCs w:val="20"/>
              </w:rPr>
              <w:t>0</w:t>
            </w:r>
          </w:p>
        </w:tc>
        <w:tc>
          <w:tcPr>
            <w:tcW w:w="720" w:type="dxa"/>
            <w:vAlign w:val="center"/>
          </w:tcPr>
          <w:p w14:paraId="60D33582" w14:textId="3F21C823" w:rsidR="009A553E" w:rsidRPr="009A553E" w:rsidRDefault="009A553E" w:rsidP="009A553E">
            <w:pPr>
              <w:jc w:val="center"/>
              <w:rPr>
                <w:rFonts w:ascii="Arial Narrow" w:hAnsi="Arial Narrow" w:cs="Calibri"/>
                <w:color w:val="000000"/>
                <w:sz w:val="20"/>
                <w:szCs w:val="20"/>
              </w:rPr>
            </w:pPr>
            <w:r w:rsidRPr="009A553E">
              <w:rPr>
                <w:rFonts w:ascii="Arial Narrow" w:hAnsi="Arial Narrow" w:cs="Calibri"/>
                <w:color w:val="000000"/>
                <w:sz w:val="20"/>
                <w:szCs w:val="20"/>
              </w:rPr>
              <w:t>0</w:t>
            </w:r>
          </w:p>
        </w:tc>
        <w:tc>
          <w:tcPr>
            <w:tcW w:w="990" w:type="dxa"/>
            <w:vAlign w:val="center"/>
          </w:tcPr>
          <w:p w14:paraId="21B8B04B" w14:textId="0E07CDBF" w:rsidR="009A553E" w:rsidRPr="009A553E" w:rsidRDefault="009A553E" w:rsidP="009A553E">
            <w:pPr>
              <w:jc w:val="center"/>
              <w:rPr>
                <w:rFonts w:ascii="Arial Narrow" w:hAnsi="Arial Narrow" w:cs="Calibri"/>
                <w:color w:val="000000"/>
                <w:sz w:val="20"/>
                <w:szCs w:val="20"/>
              </w:rPr>
            </w:pPr>
            <w:r w:rsidRPr="009A553E">
              <w:rPr>
                <w:rFonts w:ascii="Arial Narrow" w:hAnsi="Arial Narrow" w:cs="Calibri"/>
                <w:color w:val="000000"/>
                <w:sz w:val="20"/>
                <w:szCs w:val="20"/>
              </w:rPr>
              <w:t>-2</w:t>
            </w:r>
          </w:p>
        </w:tc>
        <w:tc>
          <w:tcPr>
            <w:tcW w:w="990" w:type="dxa"/>
            <w:vAlign w:val="center"/>
          </w:tcPr>
          <w:p w14:paraId="454FEE95" w14:textId="5C6CC27F" w:rsidR="009A553E" w:rsidRPr="009A553E" w:rsidRDefault="009A553E" w:rsidP="009A553E">
            <w:pPr>
              <w:jc w:val="center"/>
              <w:rPr>
                <w:rFonts w:ascii="Arial Narrow" w:hAnsi="Arial Narrow" w:cs="Calibri"/>
                <w:b/>
                <w:color w:val="000000"/>
                <w:sz w:val="20"/>
                <w:szCs w:val="20"/>
                <w:highlight w:val="yellow"/>
              </w:rPr>
            </w:pPr>
            <w:r w:rsidRPr="009A553E">
              <w:rPr>
                <w:rFonts w:ascii="Arial Narrow" w:hAnsi="Arial Narrow" w:cs="Calibri"/>
                <w:color w:val="000000"/>
                <w:sz w:val="20"/>
                <w:szCs w:val="20"/>
              </w:rPr>
              <w:t>-2</w:t>
            </w:r>
          </w:p>
        </w:tc>
        <w:tc>
          <w:tcPr>
            <w:tcW w:w="3600" w:type="dxa"/>
            <w:vAlign w:val="center"/>
          </w:tcPr>
          <w:p w14:paraId="2680B2F5" w14:textId="536E5F1F" w:rsidR="009A553E" w:rsidRPr="009A553E" w:rsidRDefault="009A553E" w:rsidP="009A553E">
            <w:pPr>
              <w:jc w:val="left"/>
              <w:rPr>
                <w:rFonts w:ascii="Arial Narrow" w:hAnsi="Arial Narrow"/>
                <w:color w:val="000000"/>
                <w:sz w:val="20"/>
                <w:szCs w:val="20"/>
                <w:highlight w:val="yellow"/>
              </w:rPr>
            </w:pPr>
            <w:r w:rsidRPr="009A553E">
              <w:rPr>
                <w:rFonts w:ascii="Arial Narrow" w:hAnsi="Arial Narrow" w:cs="Calibri"/>
                <w:color w:val="000000"/>
                <w:sz w:val="20"/>
                <w:szCs w:val="20"/>
              </w:rPr>
              <w:t xml:space="preserve">No toxicity (in IC25 endpoints) was observed in C. </w:t>
            </w:r>
            <w:proofErr w:type="spellStart"/>
            <w:r w:rsidRPr="009A553E">
              <w:rPr>
                <w:rFonts w:ascii="Arial Narrow" w:hAnsi="Arial Narrow" w:cs="Calibri"/>
                <w:color w:val="000000"/>
                <w:sz w:val="20"/>
                <w:szCs w:val="20"/>
              </w:rPr>
              <w:t>dubia</w:t>
            </w:r>
            <w:proofErr w:type="spellEnd"/>
            <w:r w:rsidRPr="009A553E">
              <w:rPr>
                <w:rFonts w:ascii="Arial Narrow" w:hAnsi="Arial Narrow" w:cs="Calibri"/>
                <w:color w:val="000000"/>
                <w:sz w:val="20"/>
                <w:szCs w:val="20"/>
              </w:rPr>
              <w:t xml:space="preserve"> and P. </w:t>
            </w:r>
            <w:proofErr w:type="spellStart"/>
            <w:r w:rsidRPr="009A553E">
              <w:rPr>
                <w:rFonts w:ascii="Arial Narrow" w:hAnsi="Arial Narrow" w:cs="Calibri"/>
                <w:color w:val="000000"/>
                <w:sz w:val="20"/>
                <w:szCs w:val="20"/>
              </w:rPr>
              <w:t>promelas</w:t>
            </w:r>
            <w:proofErr w:type="spellEnd"/>
            <w:r w:rsidRPr="009A553E">
              <w:rPr>
                <w:rFonts w:ascii="Arial Narrow" w:hAnsi="Arial Narrow" w:cs="Calibri"/>
                <w:color w:val="000000"/>
                <w:sz w:val="20"/>
                <w:szCs w:val="20"/>
              </w:rPr>
              <w:t xml:space="preserve"> laboratory toxicity testing of Roanoke River samples.</w:t>
            </w:r>
          </w:p>
        </w:tc>
      </w:tr>
      <w:tr w:rsidR="009A553E" w:rsidRPr="007A0C83" w14:paraId="4468BAFA" w14:textId="77777777" w:rsidTr="009A553E">
        <w:trPr>
          <w:trHeight w:val="247"/>
        </w:trPr>
        <w:tc>
          <w:tcPr>
            <w:tcW w:w="2437" w:type="dxa"/>
            <w:vAlign w:val="center"/>
          </w:tcPr>
          <w:p w14:paraId="5EEE1CB9" w14:textId="6A75B592" w:rsidR="009A553E" w:rsidRPr="009A553E" w:rsidRDefault="009A553E" w:rsidP="009A553E">
            <w:pPr>
              <w:jc w:val="left"/>
              <w:rPr>
                <w:rFonts w:ascii="Arial Narrow" w:hAnsi="Arial Narrow" w:cs="Calibri"/>
                <w:b/>
                <w:bCs/>
                <w:color w:val="000000"/>
                <w:sz w:val="20"/>
                <w:szCs w:val="20"/>
                <w:highlight w:val="yellow"/>
              </w:rPr>
            </w:pPr>
            <w:r w:rsidRPr="009A553E">
              <w:rPr>
                <w:rFonts w:ascii="Arial Narrow" w:hAnsi="Arial Narrow" w:cs="Calibri"/>
                <w:color w:val="000000"/>
                <w:sz w:val="20"/>
                <w:szCs w:val="20"/>
              </w:rPr>
              <w:t>Temporal Sequence</w:t>
            </w:r>
          </w:p>
        </w:tc>
        <w:tc>
          <w:tcPr>
            <w:tcW w:w="720" w:type="dxa"/>
            <w:vAlign w:val="center"/>
          </w:tcPr>
          <w:p w14:paraId="6FD0D7FF" w14:textId="2712514D" w:rsidR="009A553E" w:rsidRPr="009A553E" w:rsidRDefault="009A553E" w:rsidP="009A553E">
            <w:pPr>
              <w:jc w:val="center"/>
              <w:rPr>
                <w:rFonts w:ascii="Arial Narrow" w:hAnsi="Arial Narrow" w:cs="Calibri"/>
                <w:color w:val="000000"/>
                <w:sz w:val="20"/>
                <w:szCs w:val="20"/>
              </w:rPr>
            </w:pPr>
            <w:r w:rsidRPr="009A553E">
              <w:rPr>
                <w:rFonts w:ascii="Arial Narrow" w:hAnsi="Arial Narrow" w:cs="Calibri"/>
                <w:sz w:val="20"/>
                <w:szCs w:val="20"/>
              </w:rPr>
              <w:t>-1</w:t>
            </w:r>
          </w:p>
        </w:tc>
        <w:tc>
          <w:tcPr>
            <w:tcW w:w="720" w:type="dxa"/>
            <w:vAlign w:val="center"/>
          </w:tcPr>
          <w:p w14:paraId="39FB35F7" w14:textId="2E9EAA26" w:rsidR="009A553E" w:rsidRPr="009A553E" w:rsidRDefault="009A553E" w:rsidP="009A553E">
            <w:pPr>
              <w:jc w:val="center"/>
              <w:rPr>
                <w:rFonts w:ascii="Arial Narrow" w:hAnsi="Arial Narrow" w:cs="Calibri"/>
                <w:color w:val="000000"/>
                <w:sz w:val="20"/>
                <w:szCs w:val="20"/>
              </w:rPr>
            </w:pPr>
            <w:r w:rsidRPr="009A553E">
              <w:rPr>
                <w:rFonts w:ascii="Arial Narrow" w:hAnsi="Arial Narrow" w:cs="Calibri"/>
                <w:sz w:val="20"/>
                <w:szCs w:val="20"/>
              </w:rPr>
              <w:t>-1</w:t>
            </w:r>
          </w:p>
        </w:tc>
        <w:tc>
          <w:tcPr>
            <w:tcW w:w="990" w:type="dxa"/>
            <w:vAlign w:val="center"/>
          </w:tcPr>
          <w:p w14:paraId="755226F5" w14:textId="43354029" w:rsidR="009A553E" w:rsidRPr="009A553E" w:rsidRDefault="009A553E" w:rsidP="009A553E">
            <w:pPr>
              <w:jc w:val="center"/>
              <w:rPr>
                <w:rFonts w:ascii="Arial Narrow" w:hAnsi="Arial Narrow" w:cs="Calibri"/>
                <w:color w:val="000000"/>
                <w:sz w:val="20"/>
                <w:szCs w:val="20"/>
              </w:rPr>
            </w:pPr>
            <w:r w:rsidRPr="009A553E">
              <w:rPr>
                <w:rFonts w:ascii="Arial Narrow" w:hAnsi="Arial Narrow" w:cs="Calibri"/>
                <w:sz w:val="20"/>
                <w:szCs w:val="20"/>
              </w:rPr>
              <w:t>-2</w:t>
            </w:r>
          </w:p>
        </w:tc>
        <w:tc>
          <w:tcPr>
            <w:tcW w:w="990" w:type="dxa"/>
            <w:vAlign w:val="center"/>
          </w:tcPr>
          <w:p w14:paraId="6BAD8A39" w14:textId="1711ECA3" w:rsidR="009A553E" w:rsidRPr="009A553E" w:rsidRDefault="009A553E" w:rsidP="009A553E">
            <w:pPr>
              <w:jc w:val="center"/>
              <w:rPr>
                <w:rFonts w:ascii="Arial Narrow" w:hAnsi="Arial Narrow" w:cs="Calibri"/>
                <w:b/>
                <w:color w:val="000000"/>
                <w:sz w:val="20"/>
                <w:szCs w:val="20"/>
                <w:highlight w:val="yellow"/>
              </w:rPr>
            </w:pPr>
            <w:r w:rsidRPr="009A553E">
              <w:rPr>
                <w:rFonts w:ascii="Arial Narrow" w:hAnsi="Arial Narrow" w:cs="Calibri"/>
                <w:sz w:val="20"/>
                <w:szCs w:val="20"/>
              </w:rPr>
              <w:t>-2</w:t>
            </w:r>
          </w:p>
        </w:tc>
        <w:tc>
          <w:tcPr>
            <w:tcW w:w="3600" w:type="dxa"/>
            <w:vAlign w:val="center"/>
          </w:tcPr>
          <w:p w14:paraId="7B9CAB68" w14:textId="67C6378E" w:rsidR="009A553E" w:rsidRPr="009A553E" w:rsidRDefault="009A553E" w:rsidP="009A553E">
            <w:pPr>
              <w:jc w:val="left"/>
              <w:rPr>
                <w:rFonts w:ascii="Arial Narrow" w:hAnsi="Arial Narrow"/>
                <w:color w:val="000000"/>
                <w:sz w:val="20"/>
                <w:szCs w:val="20"/>
                <w:highlight w:val="yellow"/>
              </w:rPr>
            </w:pPr>
            <w:r w:rsidRPr="009A553E">
              <w:rPr>
                <w:rFonts w:ascii="Arial Narrow" w:hAnsi="Arial Narrow" w:cs="Calibri"/>
                <w:color w:val="000000"/>
                <w:sz w:val="20"/>
                <w:szCs w:val="20"/>
              </w:rPr>
              <w:t xml:space="preserve">Spring SCI scores were lower than fall scores in each impaired stream, but chloride was typically highest in the fall (Roanoke River) or no discernible seasonal pattern was observed (Wolf Creek and Tinker Creek). </w:t>
            </w:r>
          </w:p>
        </w:tc>
      </w:tr>
      <w:tr w:rsidR="009A553E" w:rsidRPr="007A0C83" w14:paraId="7740CCDD" w14:textId="77777777" w:rsidTr="009A553E">
        <w:trPr>
          <w:trHeight w:val="247"/>
        </w:trPr>
        <w:tc>
          <w:tcPr>
            <w:tcW w:w="2437" w:type="dxa"/>
            <w:vAlign w:val="center"/>
          </w:tcPr>
          <w:p w14:paraId="00D9EEF4" w14:textId="6587E685" w:rsidR="009A553E" w:rsidRPr="009A553E" w:rsidRDefault="009A553E" w:rsidP="009A553E">
            <w:pPr>
              <w:jc w:val="left"/>
              <w:rPr>
                <w:rFonts w:ascii="Arial Narrow" w:hAnsi="Arial Narrow" w:cs="Calibri"/>
                <w:b/>
                <w:bCs/>
                <w:color w:val="000000"/>
                <w:sz w:val="20"/>
                <w:szCs w:val="20"/>
                <w:highlight w:val="yellow"/>
              </w:rPr>
            </w:pPr>
            <w:r w:rsidRPr="009A553E">
              <w:rPr>
                <w:rFonts w:ascii="Arial Narrow" w:hAnsi="Arial Narrow" w:cs="Calibri"/>
                <w:color w:val="000000"/>
                <w:sz w:val="20"/>
                <w:szCs w:val="20"/>
              </w:rPr>
              <w:t>Symptoms</w:t>
            </w:r>
          </w:p>
        </w:tc>
        <w:tc>
          <w:tcPr>
            <w:tcW w:w="720" w:type="dxa"/>
            <w:vAlign w:val="center"/>
          </w:tcPr>
          <w:p w14:paraId="43B0A9DB" w14:textId="29A375A1"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-3</w:t>
            </w:r>
          </w:p>
        </w:tc>
        <w:tc>
          <w:tcPr>
            <w:tcW w:w="720" w:type="dxa"/>
            <w:vAlign w:val="center"/>
          </w:tcPr>
          <w:p w14:paraId="6B711EA2" w14:textId="7EE457E2"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-3</w:t>
            </w:r>
          </w:p>
        </w:tc>
        <w:tc>
          <w:tcPr>
            <w:tcW w:w="990" w:type="dxa"/>
            <w:vAlign w:val="center"/>
          </w:tcPr>
          <w:p w14:paraId="6DB11D9E" w14:textId="190C745C"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-3</w:t>
            </w:r>
          </w:p>
        </w:tc>
        <w:tc>
          <w:tcPr>
            <w:tcW w:w="990" w:type="dxa"/>
            <w:vAlign w:val="center"/>
          </w:tcPr>
          <w:p w14:paraId="3ECA1E79" w14:textId="0DD8BF9F" w:rsidR="009A553E" w:rsidRPr="009A553E" w:rsidRDefault="009A553E" w:rsidP="009A553E">
            <w:pPr>
              <w:jc w:val="center"/>
              <w:rPr>
                <w:rFonts w:ascii="Arial Narrow" w:hAnsi="Arial Narrow" w:cs="Calibri"/>
                <w:b/>
                <w:color w:val="000000"/>
                <w:sz w:val="20"/>
                <w:szCs w:val="20"/>
                <w:highlight w:val="yellow"/>
              </w:rPr>
            </w:pPr>
            <w:r w:rsidRPr="009A553E">
              <w:rPr>
                <w:rFonts w:ascii="Arial Narrow" w:hAnsi="Arial Narrow" w:cs="Calibri"/>
                <w:color w:val="000000"/>
                <w:sz w:val="20"/>
                <w:szCs w:val="20"/>
              </w:rPr>
              <w:t>-3</w:t>
            </w:r>
          </w:p>
        </w:tc>
        <w:tc>
          <w:tcPr>
            <w:tcW w:w="3600" w:type="dxa"/>
            <w:vAlign w:val="center"/>
          </w:tcPr>
          <w:p w14:paraId="6AFFED55" w14:textId="2728D54F" w:rsidR="009A553E" w:rsidRPr="009A553E" w:rsidRDefault="009A553E" w:rsidP="009A553E">
            <w:pPr>
              <w:jc w:val="left"/>
              <w:rPr>
                <w:rFonts w:ascii="Arial Narrow" w:hAnsi="Arial Narrow"/>
                <w:color w:val="000000"/>
                <w:sz w:val="20"/>
                <w:szCs w:val="20"/>
                <w:highlight w:val="yellow"/>
              </w:rPr>
            </w:pPr>
            <w:r w:rsidRPr="009A553E">
              <w:rPr>
                <w:rFonts w:ascii="Arial Narrow" w:hAnsi="Arial Narrow" w:cs="Calibri"/>
                <w:color w:val="000000"/>
                <w:sz w:val="20"/>
                <w:szCs w:val="20"/>
              </w:rPr>
              <w:t xml:space="preserve">Biological Condition Gradient </w:t>
            </w:r>
            <w:r w:rsidR="007E2E2D">
              <w:rPr>
                <w:rFonts w:ascii="Arial Narrow" w:hAnsi="Arial Narrow" w:cs="Calibri"/>
                <w:color w:val="000000"/>
                <w:sz w:val="20"/>
                <w:szCs w:val="20"/>
              </w:rPr>
              <w:t xml:space="preserve">attribute </w:t>
            </w:r>
            <w:r w:rsidRPr="009A553E">
              <w:rPr>
                <w:rFonts w:ascii="Arial Narrow" w:hAnsi="Arial Narrow" w:cs="Calibri"/>
                <w:color w:val="000000"/>
                <w:sz w:val="20"/>
                <w:szCs w:val="20"/>
              </w:rPr>
              <w:t xml:space="preserve">analysis did not identify any predominant taxa that increase in abundance in the presence of high chloride (score of 5), and chloride was one of the lowest ranked stressors based on average BCG </w:t>
            </w:r>
            <w:r w:rsidR="00CC60A2">
              <w:rPr>
                <w:rFonts w:ascii="Arial Narrow" w:hAnsi="Arial Narrow" w:cs="Calibri"/>
                <w:color w:val="000000"/>
                <w:sz w:val="20"/>
                <w:szCs w:val="20"/>
              </w:rPr>
              <w:t>attribut</w:t>
            </w:r>
            <w:r w:rsidR="007E2E2D">
              <w:rPr>
                <w:rFonts w:ascii="Arial Narrow" w:hAnsi="Arial Narrow" w:cs="Calibri"/>
                <w:color w:val="000000"/>
                <w:sz w:val="20"/>
                <w:szCs w:val="20"/>
              </w:rPr>
              <w:t>e</w:t>
            </w:r>
            <w:r w:rsidR="00CC60A2">
              <w:rPr>
                <w:rFonts w:ascii="Arial Narrow" w:hAnsi="Arial Narrow" w:cs="Calibri"/>
                <w:color w:val="000000"/>
                <w:sz w:val="20"/>
                <w:szCs w:val="20"/>
              </w:rPr>
              <w:t xml:space="preserve"> </w:t>
            </w:r>
            <w:r w:rsidRPr="009A553E">
              <w:rPr>
                <w:rFonts w:ascii="Arial Narrow" w:hAnsi="Arial Narrow" w:cs="Calibri"/>
                <w:color w:val="000000"/>
                <w:sz w:val="20"/>
                <w:szCs w:val="20"/>
              </w:rPr>
              <w:t>score.</w:t>
            </w:r>
          </w:p>
        </w:tc>
      </w:tr>
      <w:tr w:rsidR="009A553E" w:rsidRPr="007A0C83" w14:paraId="4A4905F9" w14:textId="77777777" w:rsidTr="009A553E">
        <w:trPr>
          <w:trHeight w:val="247"/>
        </w:trPr>
        <w:tc>
          <w:tcPr>
            <w:tcW w:w="2437" w:type="dxa"/>
            <w:vAlign w:val="center"/>
          </w:tcPr>
          <w:p w14:paraId="0C002536" w14:textId="06E6833B" w:rsidR="009A553E" w:rsidRPr="009A553E" w:rsidRDefault="009A553E" w:rsidP="009A553E">
            <w:pPr>
              <w:jc w:val="left"/>
              <w:rPr>
                <w:rFonts w:ascii="Arial Narrow" w:hAnsi="Arial Narrow" w:cs="Calibri"/>
                <w:b/>
                <w:bCs/>
                <w:color w:val="000000"/>
                <w:sz w:val="20"/>
                <w:szCs w:val="20"/>
              </w:rPr>
            </w:pPr>
            <w:r w:rsidRPr="009A553E">
              <w:rPr>
                <w:rFonts w:ascii="Arial Narrow" w:hAnsi="Arial Narrow" w:cs="Calibri"/>
                <w:color w:val="000000"/>
                <w:sz w:val="20"/>
                <w:szCs w:val="20"/>
              </w:rPr>
              <w:t>Stressor-Response Relationships from Other Field Studies</w:t>
            </w:r>
          </w:p>
        </w:tc>
        <w:tc>
          <w:tcPr>
            <w:tcW w:w="720" w:type="dxa"/>
            <w:vAlign w:val="center"/>
          </w:tcPr>
          <w:p w14:paraId="7CA043E2" w14:textId="544521C2"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-1</w:t>
            </w:r>
          </w:p>
        </w:tc>
        <w:tc>
          <w:tcPr>
            <w:tcW w:w="720" w:type="dxa"/>
            <w:vAlign w:val="center"/>
          </w:tcPr>
          <w:p w14:paraId="2B5928F1" w14:textId="7B2CF992"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-1</w:t>
            </w:r>
          </w:p>
        </w:tc>
        <w:tc>
          <w:tcPr>
            <w:tcW w:w="990" w:type="dxa"/>
            <w:vAlign w:val="center"/>
          </w:tcPr>
          <w:p w14:paraId="16847880" w14:textId="076F5E0A"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-1</w:t>
            </w:r>
          </w:p>
        </w:tc>
        <w:tc>
          <w:tcPr>
            <w:tcW w:w="990" w:type="dxa"/>
            <w:vAlign w:val="center"/>
          </w:tcPr>
          <w:p w14:paraId="730F7CE5" w14:textId="56774CD2"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-1</w:t>
            </w:r>
          </w:p>
        </w:tc>
        <w:tc>
          <w:tcPr>
            <w:tcW w:w="3600" w:type="dxa"/>
            <w:vAlign w:val="center"/>
          </w:tcPr>
          <w:p w14:paraId="34375873" w14:textId="39CAEE0E" w:rsidR="009A553E" w:rsidRPr="009A553E" w:rsidRDefault="009A553E" w:rsidP="009A553E">
            <w:pPr>
              <w:jc w:val="left"/>
              <w:rPr>
                <w:rFonts w:ascii="Arial Narrow" w:hAnsi="Arial Narrow"/>
                <w:color w:val="000000"/>
                <w:sz w:val="20"/>
                <w:szCs w:val="20"/>
                <w:highlight w:val="yellow"/>
              </w:rPr>
            </w:pPr>
            <w:r w:rsidRPr="009A553E">
              <w:rPr>
                <w:rFonts w:ascii="Arial Narrow" w:hAnsi="Arial Narrow" w:cs="Calibri"/>
                <w:color w:val="000000"/>
                <w:sz w:val="20"/>
                <w:szCs w:val="20"/>
              </w:rPr>
              <w:t xml:space="preserve">Median chloride levels were in the low probability range for stressor effects in each of the impaired streams. </w:t>
            </w:r>
          </w:p>
        </w:tc>
      </w:tr>
      <w:tr w:rsidR="009A553E" w:rsidRPr="007A0C83" w14:paraId="3883FE94" w14:textId="77777777" w:rsidTr="009A553E">
        <w:trPr>
          <w:trHeight w:val="247"/>
        </w:trPr>
        <w:tc>
          <w:tcPr>
            <w:tcW w:w="2437" w:type="dxa"/>
            <w:vAlign w:val="center"/>
          </w:tcPr>
          <w:p w14:paraId="6E770542" w14:textId="695077E4" w:rsidR="009A553E" w:rsidRPr="009A553E" w:rsidRDefault="009A553E" w:rsidP="009A553E">
            <w:pPr>
              <w:jc w:val="left"/>
              <w:rPr>
                <w:rFonts w:ascii="Arial Narrow" w:hAnsi="Arial Narrow" w:cs="Calibri"/>
                <w:b/>
                <w:bCs/>
                <w:color w:val="000000"/>
                <w:sz w:val="20"/>
                <w:szCs w:val="20"/>
              </w:rPr>
            </w:pPr>
            <w:r w:rsidRPr="009A553E">
              <w:rPr>
                <w:rFonts w:ascii="Arial Narrow" w:hAnsi="Arial Narrow" w:cs="Calibri"/>
                <w:color w:val="000000"/>
                <w:sz w:val="20"/>
                <w:szCs w:val="20"/>
              </w:rPr>
              <w:t>Stressor-Response Relationships from Laboratory Studies</w:t>
            </w:r>
          </w:p>
        </w:tc>
        <w:tc>
          <w:tcPr>
            <w:tcW w:w="720" w:type="dxa"/>
            <w:vAlign w:val="center"/>
          </w:tcPr>
          <w:p w14:paraId="6711B314" w14:textId="5ACF2745"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-3</w:t>
            </w:r>
          </w:p>
        </w:tc>
        <w:tc>
          <w:tcPr>
            <w:tcW w:w="720" w:type="dxa"/>
            <w:vAlign w:val="center"/>
          </w:tcPr>
          <w:p w14:paraId="2D0FFB15" w14:textId="3A2F5950"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-3</w:t>
            </w:r>
          </w:p>
        </w:tc>
        <w:tc>
          <w:tcPr>
            <w:tcW w:w="990" w:type="dxa"/>
            <w:vAlign w:val="center"/>
          </w:tcPr>
          <w:p w14:paraId="59200EEC" w14:textId="2FB27962"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-3</w:t>
            </w:r>
          </w:p>
        </w:tc>
        <w:tc>
          <w:tcPr>
            <w:tcW w:w="990" w:type="dxa"/>
            <w:vAlign w:val="center"/>
          </w:tcPr>
          <w:p w14:paraId="3DE959B6" w14:textId="044CF05F"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-3</w:t>
            </w:r>
          </w:p>
        </w:tc>
        <w:tc>
          <w:tcPr>
            <w:tcW w:w="3600" w:type="dxa"/>
            <w:vAlign w:val="center"/>
          </w:tcPr>
          <w:p w14:paraId="3C237D20" w14:textId="2EA11A85" w:rsidR="009A553E" w:rsidRPr="009A553E" w:rsidRDefault="009A553E" w:rsidP="009A553E">
            <w:pPr>
              <w:jc w:val="left"/>
              <w:rPr>
                <w:rFonts w:ascii="Arial Narrow" w:hAnsi="Arial Narrow"/>
                <w:color w:val="000000"/>
                <w:sz w:val="20"/>
                <w:szCs w:val="20"/>
                <w:highlight w:val="yellow"/>
              </w:rPr>
            </w:pPr>
            <w:r w:rsidRPr="009A553E">
              <w:rPr>
                <w:rFonts w:ascii="Arial Narrow" w:hAnsi="Arial Narrow" w:cs="Calibri"/>
                <w:color w:val="000000"/>
                <w:sz w:val="20"/>
                <w:szCs w:val="20"/>
              </w:rPr>
              <w:t>Chloride levels were all well below the Virginia water quality standard for chloride.</w:t>
            </w:r>
          </w:p>
        </w:tc>
      </w:tr>
      <w:tr w:rsidR="009A553E" w:rsidRPr="007A0C83" w14:paraId="4A2EFC48" w14:textId="77777777" w:rsidTr="009A553E">
        <w:trPr>
          <w:trHeight w:val="247"/>
        </w:trPr>
        <w:tc>
          <w:tcPr>
            <w:tcW w:w="2437" w:type="dxa"/>
            <w:vAlign w:val="center"/>
          </w:tcPr>
          <w:p w14:paraId="28BCF820" w14:textId="20BAEA70" w:rsidR="009A553E" w:rsidRPr="009A553E" w:rsidRDefault="009A553E" w:rsidP="009A553E">
            <w:pPr>
              <w:jc w:val="left"/>
              <w:rPr>
                <w:rFonts w:ascii="Arial Narrow" w:hAnsi="Arial Narrow" w:cs="Calibri"/>
                <w:b/>
                <w:bCs/>
                <w:color w:val="000000"/>
                <w:sz w:val="20"/>
                <w:szCs w:val="20"/>
              </w:rPr>
            </w:pPr>
            <w:r w:rsidRPr="009A553E">
              <w:rPr>
                <w:rFonts w:ascii="Arial Narrow" w:hAnsi="Arial Narrow" w:cs="Calibri"/>
                <w:sz w:val="20"/>
                <w:szCs w:val="20"/>
              </w:rPr>
              <w:t>Mechanistically Plausible Cause</w:t>
            </w:r>
          </w:p>
        </w:tc>
        <w:tc>
          <w:tcPr>
            <w:tcW w:w="720" w:type="dxa"/>
            <w:vAlign w:val="center"/>
          </w:tcPr>
          <w:p w14:paraId="7487B7FE" w14:textId="3DC09697"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sz w:val="20"/>
                <w:szCs w:val="20"/>
              </w:rPr>
              <w:t>-2</w:t>
            </w:r>
          </w:p>
        </w:tc>
        <w:tc>
          <w:tcPr>
            <w:tcW w:w="720" w:type="dxa"/>
            <w:vAlign w:val="center"/>
          </w:tcPr>
          <w:p w14:paraId="15AA7959" w14:textId="205DF8C6"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sz w:val="20"/>
                <w:szCs w:val="20"/>
              </w:rPr>
              <w:t>-2</w:t>
            </w:r>
          </w:p>
        </w:tc>
        <w:tc>
          <w:tcPr>
            <w:tcW w:w="990" w:type="dxa"/>
            <w:vAlign w:val="center"/>
          </w:tcPr>
          <w:p w14:paraId="47FDF85D" w14:textId="501D7635"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sz w:val="20"/>
                <w:szCs w:val="20"/>
              </w:rPr>
              <w:t>-2</w:t>
            </w:r>
          </w:p>
        </w:tc>
        <w:tc>
          <w:tcPr>
            <w:tcW w:w="990" w:type="dxa"/>
            <w:vAlign w:val="center"/>
          </w:tcPr>
          <w:p w14:paraId="752DE7FD" w14:textId="154CA486"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sz w:val="20"/>
                <w:szCs w:val="20"/>
              </w:rPr>
              <w:t>-2</w:t>
            </w:r>
          </w:p>
        </w:tc>
        <w:tc>
          <w:tcPr>
            <w:tcW w:w="3600" w:type="dxa"/>
            <w:vAlign w:val="center"/>
          </w:tcPr>
          <w:p w14:paraId="7D29DDCD" w14:textId="38507748" w:rsidR="009A553E" w:rsidRPr="009A553E" w:rsidRDefault="009A553E" w:rsidP="009A553E">
            <w:pPr>
              <w:jc w:val="left"/>
              <w:rPr>
                <w:rFonts w:ascii="Arial Narrow" w:hAnsi="Arial Narrow"/>
                <w:color w:val="000000"/>
                <w:sz w:val="20"/>
                <w:szCs w:val="20"/>
                <w:highlight w:val="yellow"/>
              </w:rPr>
            </w:pPr>
            <w:r w:rsidRPr="009A553E">
              <w:rPr>
                <w:rFonts w:ascii="Arial Narrow" w:hAnsi="Arial Narrow" w:cs="Calibri"/>
                <w:sz w:val="20"/>
                <w:szCs w:val="20"/>
              </w:rPr>
              <w:t xml:space="preserve">Since chloride levels are well below toxic levels, benthic impacts due to chloride are unlikely. </w:t>
            </w:r>
          </w:p>
        </w:tc>
      </w:tr>
      <w:tr w:rsidR="009A553E" w:rsidRPr="007A0C83" w14:paraId="44988D1D" w14:textId="77777777" w:rsidTr="009A553E">
        <w:trPr>
          <w:trHeight w:val="247"/>
        </w:trPr>
        <w:tc>
          <w:tcPr>
            <w:tcW w:w="2437" w:type="dxa"/>
            <w:vAlign w:val="center"/>
          </w:tcPr>
          <w:p w14:paraId="506DD343" w14:textId="277445EF" w:rsidR="009A553E" w:rsidRPr="009A553E" w:rsidRDefault="009A553E" w:rsidP="009A553E">
            <w:pPr>
              <w:jc w:val="left"/>
              <w:rPr>
                <w:rFonts w:ascii="Arial Narrow" w:hAnsi="Arial Narrow" w:cs="Calibri"/>
                <w:b/>
                <w:bCs/>
                <w:color w:val="000000"/>
                <w:sz w:val="20"/>
                <w:szCs w:val="20"/>
              </w:rPr>
            </w:pPr>
            <w:r w:rsidRPr="009A553E">
              <w:rPr>
                <w:rFonts w:ascii="Arial Narrow" w:hAnsi="Arial Narrow" w:cs="Calibri"/>
                <w:color w:val="000000"/>
                <w:sz w:val="20"/>
                <w:szCs w:val="20"/>
              </w:rPr>
              <w:t>Analogous Stressors</w:t>
            </w:r>
          </w:p>
        </w:tc>
        <w:tc>
          <w:tcPr>
            <w:tcW w:w="720" w:type="dxa"/>
            <w:vAlign w:val="center"/>
          </w:tcPr>
          <w:p w14:paraId="204EA063" w14:textId="32ABBA77"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-3</w:t>
            </w:r>
          </w:p>
        </w:tc>
        <w:tc>
          <w:tcPr>
            <w:tcW w:w="720" w:type="dxa"/>
            <w:vAlign w:val="center"/>
          </w:tcPr>
          <w:p w14:paraId="036BB0CA" w14:textId="011D3C81"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1</w:t>
            </w:r>
          </w:p>
        </w:tc>
        <w:tc>
          <w:tcPr>
            <w:tcW w:w="990" w:type="dxa"/>
            <w:vAlign w:val="center"/>
          </w:tcPr>
          <w:p w14:paraId="5569D90C" w14:textId="59A6C919"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-1</w:t>
            </w:r>
          </w:p>
        </w:tc>
        <w:tc>
          <w:tcPr>
            <w:tcW w:w="990" w:type="dxa"/>
            <w:vAlign w:val="center"/>
          </w:tcPr>
          <w:p w14:paraId="58B88CE1" w14:textId="6E7DB2AD"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1</w:t>
            </w:r>
          </w:p>
        </w:tc>
        <w:tc>
          <w:tcPr>
            <w:tcW w:w="3600" w:type="dxa"/>
            <w:vAlign w:val="center"/>
          </w:tcPr>
          <w:p w14:paraId="3B0186AE" w14:textId="673C800B" w:rsidR="009A553E" w:rsidRPr="009A553E" w:rsidRDefault="009A553E" w:rsidP="009A553E">
            <w:pPr>
              <w:jc w:val="left"/>
              <w:rPr>
                <w:rFonts w:ascii="Arial Narrow" w:hAnsi="Arial Narrow"/>
                <w:color w:val="000000"/>
                <w:sz w:val="20"/>
                <w:szCs w:val="20"/>
                <w:highlight w:val="yellow"/>
              </w:rPr>
            </w:pPr>
            <w:r w:rsidRPr="009A553E">
              <w:rPr>
                <w:rFonts w:ascii="Arial Narrow" w:hAnsi="Arial Narrow" w:cs="Calibri"/>
                <w:color w:val="000000"/>
                <w:sz w:val="20"/>
                <w:szCs w:val="20"/>
              </w:rPr>
              <w:t xml:space="preserve">For the analogous stressor of conductivity, median conductivity values were in the no probability range for stressor effects in Wolf Creek, medium range in Tinker Creek, low range in Roanoke River (202.20), and medium range in Roanoke River (198.08). </w:t>
            </w:r>
          </w:p>
        </w:tc>
      </w:tr>
      <w:tr w:rsidR="009A553E" w:rsidRPr="007A0C83" w14:paraId="246A44C7" w14:textId="77777777" w:rsidTr="009A553E">
        <w:trPr>
          <w:trHeight w:val="247"/>
        </w:trPr>
        <w:tc>
          <w:tcPr>
            <w:tcW w:w="2437" w:type="dxa"/>
            <w:vAlign w:val="center"/>
          </w:tcPr>
          <w:p w14:paraId="2B6A6B73" w14:textId="552DC2A5" w:rsidR="009A553E" w:rsidRPr="009A553E" w:rsidRDefault="009A553E" w:rsidP="009A553E">
            <w:pPr>
              <w:jc w:val="left"/>
              <w:rPr>
                <w:rFonts w:ascii="Arial Narrow" w:hAnsi="Arial Narrow" w:cs="Calibri"/>
                <w:b/>
                <w:bCs/>
                <w:color w:val="000000"/>
                <w:sz w:val="20"/>
                <w:szCs w:val="20"/>
              </w:rPr>
            </w:pPr>
            <w:r w:rsidRPr="009A553E">
              <w:rPr>
                <w:rFonts w:ascii="Arial Narrow" w:hAnsi="Arial Narrow" w:cs="Calibri"/>
                <w:color w:val="000000"/>
                <w:sz w:val="20"/>
                <w:szCs w:val="20"/>
              </w:rPr>
              <w:t>Consistency of Evidence</w:t>
            </w:r>
          </w:p>
        </w:tc>
        <w:tc>
          <w:tcPr>
            <w:tcW w:w="720" w:type="dxa"/>
            <w:vAlign w:val="center"/>
          </w:tcPr>
          <w:p w14:paraId="2CA8F36B" w14:textId="76CF9507"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-2</w:t>
            </w:r>
          </w:p>
        </w:tc>
        <w:tc>
          <w:tcPr>
            <w:tcW w:w="720" w:type="dxa"/>
            <w:vAlign w:val="center"/>
          </w:tcPr>
          <w:p w14:paraId="688F2523" w14:textId="3756E92C"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-1</w:t>
            </w:r>
          </w:p>
        </w:tc>
        <w:tc>
          <w:tcPr>
            <w:tcW w:w="990" w:type="dxa"/>
            <w:vAlign w:val="center"/>
          </w:tcPr>
          <w:p w14:paraId="5690A4AD" w14:textId="47FC918F"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-2</w:t>
            </w:r>
          </w:p>
        </w:tc>
        <w:tc>
          <w:tcPr>
            <w:tcW w:w="990" w:type="dxa"/>
            <w:vAlign w:val="center"/>
          </w:tcPr>
          <w:p w14:paraId="060A6F72" w14:textId="36A3B0A7"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-1</w:t>
            </w:r>
          </w:p>
        </w:tc>
        <w:tc>
          <w:tcPr>
            <w:tcW w:w="3600" w:type="dxa"/>
            <w:vAlign w:val="center"/>
          </w:tcPr>
          <w:p w14:paraId="59621FC9" w14:textId="262D81AF" w:rsidR="009A553E" w:rsidRPr="009A553E" w:rsidRDefault="009A553E" w:rsidP="009A553E">
            <w:pPr>
              <w:jc w:val="left"/>
              <w:rPr>
                <w:rFonts w:ascii="Arial Narrow" w:hAnsi="Arial Narrow"/>
                <w:color w:val="000000"/>
                <w:sz w:val="20"/>
                <w:szCs w:val="20"/>
                <w:highlight w:val="yellow"/>
              </w:rPr>
            </w:pPr>
            <w:r w:rsidRPr="009A553E">
              <w:rPr>
                <w:rFonts w:ascii="Arial Narrow" w:hAnsi="Arial Narrow" w:cs="Calibri"/>
                <w:color w:val="000000"/>
                <w:sz w:val="20"/>
                <w:szCs w:val="20"/>
              </w:rPr>
              <w:t xml:space="preserve">Evidence consistently refutes chloride as a stressor in Wolf Creek and Roanoke River (202.20) and mostly refutes chloride as a stressor in Tinker Creek and Roanoke River (198.08). </w:t>
            </w:r>
          </w:p>
        </w:tc>
      </w:tr>
      <w:tr w:rsidR="009A553E" w:rsidRPr="009A553E" w14:paraId="6C4F6BDB" w14:textId="77777777" w:rsidTr="009A553E">
        <w:trPr>
          <w:trHeight w:val="247"/>
        </w:trPr>
        <w:tc>
          <w:tcPr>
            <w:tcW w:w="2437" w:type="dxa"/>
            <w:vAlign w:val="center"/>
          </w:tcPr>
          <w:p w14:paraId="3E06DBBA" w14:textId="38DCC9D2" w:rsidR="009A553E" w:rsidRPr="009A553E" w:rsidRDefault="009A553E" w:rsidP="009A553E">
            <w:pPr>
              <w:jc w:val="right"/>
              <w:rPr>
                <w:rFonts w:ascii="Arial Narrow" w:hAnsi="Arial Narrow" w:cs="Calibri"/>
                <w:b/>
                <w:bCs/>
                <w:color w:val="000000"/>
                <w:sz w:val="20"/>
                <w:szCs w:val="20"/>
              </w:rPr>
            </w:pPr>
            <w:r w:rsidRPr="009A553E">
              <w:rPr>
                <w:rFonts w:ascii="Arial Narrow" w:hAnsi="Arial Narrow" w:cs="Calibri"/>
                <w:b/>
                <w:bCs/>
                <w:color w:val="000000"/>
                <w:sz w:val="20"/>
                <w:szCs w:val="20"/>
              </w:rPr>
              <w:t>Sum</w:t>
            </w:r>
          </w:p>
        </w:tc>
        <w:tc>
          <w:tcPr>
            <w:tcW w:w="720" w:type="dxa"/>
            <w:vAlign w:val="center"/>
          </w:tcPr>
          <w:p w14:paraId="28283BAC" w14:textId="278447CA"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b/>
                <w:color w:val="000000"/>
                <w:sz w:val="20"/>
                <w:szCs w:val="20"/>
              </w:rPr>
              <w:t>-22</w:t>
            </w:r>
          </w:p>
        </w:tc>
        <w:tc>
          <w:tcPr>
            <w:tcW w:w="720" w:type="dxa"/>
            <w:vAlign w:val="center"/>
          </w:tcPr>
          <w:p w14:paraId="2A860BCE" w14:textId="03BB16C5"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b/>
                <w:color w:val="000000"/>
                <w:sz w:val="20"/>
                <w:szCs w:val="20"/>
              </w:rPr>
              <w:t>-13</w:t>
            </w:r>
          </w:p>
        </w:tc>
        <w:tc>
          <w:tcPr>
            <w:tcW w:w="990" w:type="dxa"/>
            <w:vAlign w:val="center"/>
          </w:tcPr>
          <w:p w14:paraId="737F9AE6" w14:textId="33FABE4F"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b/>
                <w:color w:val="000000"/>
                <w:sz w:val="20"/>
                <w:szCs w:val="20"/>
              </w:rPr>
              <w:t>-19</w:t>
            </w:r>
          </w:p>
        </w:tc>
        <w:tc>
          <w:tcPr>
            <w:tcW w:w="990" w:type="dxa"/>
            <w:vAlign w:val="center"/>
          </w:tcPr>
          <w:p w14:paraId="01666B2F" w14:textId="4B64B491"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b/>
                <w:color w:val="000000"/>
                <w:sz w:val="20"/>
                <w:szCs w:val="20"/>
              </w:rPr>
              <w:t>-13</w:t>
            </w:r>
          </w:p>
        </w:tc>
        <w:tc>
          <w:tcPr>
            <w:tcW w:w="3600" w:type="dxa"/>
            <w:vAlign w:val="center"/>
          </w:tcPr>
          <w:p w14:paraId="512AA6D7" w14:textId="77777777" w:rsidR="009A553E" w:rsidRPr="009A553E" w:rsidRDefault="009A553E" w:rsidP="009A553E">
            <w:pPr>
              <w:jc w:val="left"/>
              <w:rPr>
                <w:rFonts w:ascii="Arial Narrow" w:hAnsi="Arial Narrow"/>
                <w:b/>
                <w:color w:val="000000"/>
                <w:sz w:val="20"/>
                <w:szCs w:val="20"/>
                <w:highlight w:val="yellow"/>
              </w:rPr>
            </w:pPr>
          </w:p>
        </w:tc>
      </w:tr>
    </w:tbl>
    <w:p w14:paraId="370912C3" w14:textId="77777777" w:rsidR="00250E0C" w:rsidRPr="00250E0C" w:rsidRDefault="00250E0C" w:rsidP="00250E0C"/>
    <w:p w14:paraId="5BC6BBFB" w14:textId="7E847FD4" w:rsidR="008A1F50" w:rsidRPr="00177C78" w:rsidRDefault="000A323F" w:rsidP="003B49F8">
      <w:pPr>
        <w:pStyle w:val="Heading2"/>
      </w:pPr>
      <w:bookmarkStart w:id="229" w:name="_Toc162948195"/>
      <w:r>
        <w:t xml:space="preserve">Dissolved </w:t>
      </w:r>
      <w:r w:rsidR="008A1F50" w:rsidRPr="00177C78">
        <w:t>Sulfate</w:t>
      </w:r>
      <w:bookmarkEnd w:id="229"/>
    </w:p>
    <w:p w14:paraId="722672FC" w14:textId="7EFF45F4" w:rsidR="008A1F50" w:rsidRPr="00177C78" w:rsidRDefault="008A1F50" w:rsidP="008A1F50">
      <w:pPr>
        <w:pStyle w:val="BlockText"/>
      </w:pPr>
      <w:r w:rsidRPr="00177C78">
        <w:fldChar w:fldCharType="begin"/>
      </w:r>
      <w:r w:rsidRPr="00177C78">
        <w:instrText xml:space="preserve"> REF _Ref50646937 \h  \* MERGEFORMAT </w:instrText>
      </w:r>
      <w:r w:rsidRPr="00177C78">
        <w:fldChar w:fldCharType="separate"/>
      </w:r>
      <w:r w:rsidR="004A78BF" w:rsidRPr="00177C78">
        <w:t xml:space="preserve">Table </w:t>
      </w:r>
      <w:r w:rsidR="004A78BF">
        <w:rPr>
          <w:noProof/>
        </w:rPr>
        <w:t>35</w:t>
      </w:r>
      <w:r w:rsidRPr="00177C78">
        <w:fldChar w:fldCharType="end"/>
      </w:r>
      <w:r w:rsidRPr="00177C78">
        <w:t xml:space="preserve"> shows the causal analysis results for dissolved sulfate</w:t>
      </w:r>
      <w:r w:rsidR="00177C78">
        <w:t>.</w:t>
      </w:r>
      <w:r w:rsidRPr="00177C78">
        <w:t xml:space="preserve"> </w:t>
      </w:r>
      <w:r w:rsidR="00342292">
        <w:t xml:space="preserve">Total causal analysis scores ranged from -18 to -2, indicating that there is </w:t>
      </w:r>
      <w:r w:rsidR="006F3068">
        <w:t xml:space="preserve">some evidence </w:t>
      </w:r>
      <w:r w:rsidR="00342292">
        <w:t>to strong evidence that dissolved sulfate is a non-stressor in Roanoke River Project streams</w:t>
      </w:r>
      <w:r w:rsidRPr="00177C78">
        <w:t xml:space="preserve">. </w:t>
      </w:r>
      <w:r w:rsidR="00177C78">
        <w:t>M</w:t>
      </w:r>
      <w:r w:rsidRPr="00177C78">
        <w:t xml:space="preserve">edian dissolved sulfate values were in the no </w:t>
      </w:r>
      <w:r w:rsidR="00A42705">
        <w:t xml:space="preserve">to low </w:t>
      </w:r>
      <w:r w:rsidRPr="00177C78">
        <w:t>probability range for stressor effects</w:t>
      </w:r>
      <w:r w:rsidR="00A42705">
        <w:t xml:space="preserve"> in Wolf Creek and Roanoke River, but the medium range in Tinker Creek. Even at the higher levels observed in Tinker Creek, </w:t>
      </w:r>
      <w:r w:rsidR="00177C78">
        <w:t xml:space="preserve">maximum concentrations </w:t>
      </w:r>
      <w:r w:rsidRPr="00177C78">
        <w:t xml:space="preserve">were </w:t>
      </w:r>
      <w:r w:rsidR="0061256D">
        <w:t xml:space="preserve">well </w:t>
      </w:r>
      <w:r w:rsidRPr="00177C78">
        <w:t xml:space="preserve">below toxic thresholds reported by Mount </w:t>
      </w:r>
      <w:r w:rsidRPr="00177C78">
        <w:rPr>
          <w:i/>
        </w:rPr>
        <w:t>et al.</w:t>
      </w:r>
      <w:r w:rsidRPr="00177C78">
        <w:t xml:space="preserve"> (2016). </w:t>
      </w:r>
      <w:r w:rsidR="00A42705">
        <w:t xml:space="preserve">Dissolved sulfate was also not significantly correlated with benthic health across sites. </w:t>
      </w:r>
      <w:r w:rsidRPr="00177C78">
        <w:t xml:space="preserve">For these reasons and others explained in </w:t>
      </w:r>
      <w:r w:rsidRPr="00177C78">
        <w:fldChar w:fldCharType="begin"/>
      </w:r>
      <w:r w:rsidRPr="00177C78">
        <w:instrText xml:space="preserve"> REF _Ref50646937 \h  \* MERGEFORMAT </w:instrText>
      </w:r>
      <w:r w:rsidRPr="00177C78">
        <w:fldChar w:fldCharType="separate"/>
      </w:r>
      <w:r w:rsidR="004A78BF" w:rsidRPr="00177C78">
        <w:t xml:space="preserve">Table </w:t>
      </w:r>
      <w:r w:rsidR="004A78BF">
        <w:rPr>
          <w:noProof/>
        </w:rPr>
        <w:t>35</w:t>
      </w:r>
      <w:r w:rsidRPr="00177C78">
        <w:fldChar w:fldCharType="end"/>
      </w:r>
      <w:r w:rsidRPr="00177C78">
        <w:t>, dissolved sulfate was categorized as a non-stressor</w:t>
      </w:r>
      <w:r w:rsidR="0061256D">
        <w:t xml:space="preserve"> in </w:t>
      </w:r>
      <w:r w:rsidR="00A42705">
        <w:t>Roanoke River Project streams.</w:t>
      </w:r>
      <w:r w:rsidRPr="00177C78">
        <w:t xml:space="preserve"> </w:t>
      </w:r>
    </w:p>
    <w:p w14:paraId="48160F7A" w14:textId="46E3A694" w:rsidR="008A1F50" w:rsidRDefault="008A1F50" w:rsidP="008A1F50">
      <w:pPr>
        <w:pStyle w:val="Caption"/>
      </w:pPr>
    </w:p>
    <w:p w14:paraId="267A64AB" w14:textId="4074B2FC" w:rsidR="0093755C" w:rsidRDefault="0093755C" w:rsidP="0093755C"/>
    <w:p w14:paraId="58035698" w14:textId="77777777" w:rsidR="0093755C" w:rsidRPr="0093755C" w:rsidRDefault="0093755C" w:rsidP="0093755C"/>
    <w:p w14:paraId="115CA4BF" w14:textId="0AE8A4A5" w:rsidR="008A1F50" w:rsidRPr="00177C78" w:rsidRDefault="008A1F50" w:rsidP="008A1F50">
      <w:pPr>
        <w:pStyle w:val="Caption"/>
      </w:pPr>
      <w:bookmarkStart w:id="230" w:name="_Ref50646937"/>
      <w:bookmarkStart w:id="231" w:name="_Toc162948302"/>
      <w:r w:rsidRPr="00177C78">
        <w:t xml:space="preserve">Table </w:t>
      </w:r>
      <w:r w:rsidRPr="00177C78">
        <w:rPr>
          <w:noProof/>
        </w:rPr>
        <w:fldChar w:fldCharType="begin"/>
      </w:r>
      <w:r w:rsidRPr="00177C78">
        <w:rPr>
          <w:noProof/>
        </w:rPr>
        <w:instrText xml:space="preserve"> SEQ Table \* ARABIC </w:instrText>
      </w:r>
      <w:r w:rsidRPr="00177C78">
        <w:rPr>
          <w:noProof/>
        </w:rPr>
        <w:fldChar w:fldCharType="separate"/>
      </w:r>
      <w:r w:rsidR="004A78BF">
        <w:rPr>
          <w:noProof/>
        </w:rPr>
        <w:t>35</w:t>
      </w:r>
      <w:r w:rsidRPr="00177C78">
        <w:rPr>
          <w:noProof/>
        </w:rPr>
        <w:fldChar w:fldCharType="end"/>
      </w:r>
      <w:bookmarkEnd w:id="230"/>
      <w:r w:rsidRPr="00177C78">
        <w:t>. Causal analysis results for dissolved sulfate.</w:t>
      </w:r>
      <w:bookmarkEnd w:id="231"/>
    </w:p>
    <w:tbl>
      <w:tblPr>
        <w:tblW w:w="9457"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7"/>
        <w:gridCol w:w="720"/>
        <w:gridCol w:w="720"/>
        <w:gridCol w:w="990"/>
        <w:gridCol w:w="990"/>
        <w:gridCol w:w="3600"/>
      </w:tblGrid>
      <w:tr w:rsidR="00250E0C" w:rsidRPr="007A0C83" w14:paraId="7BEA8554" w14:textId="77777777" w:rsidTr="009A553E">
        <w:trPr>
          <w:cantSplit/>
          <w:trHeight w:hRule="exact" w:val="1080"/>
        </w:trPr>
        <w:tc>
          <w:tcPr>
            <w:tcW w:w="2437" w:type="dxa"/>
            <w:shd w:val="clear" w:color="auto" w:fill="D9D9D9" w:themeFill="background1" w:themeFillShade="D9"/>
            <w:vAlign w:val="center"/>
          </w:tcPr>
          <w:p w14:paraId="275996C6" w14:textId="77777777" w:rsidR="00250E0C" w:rsidRPr="00396EC1" w:rsidRDefault="00250E0C" w:rsidP="009A553E">
            <w:pPr>
              <w:jc w:val="center"/>
              <w:rPr>
                <w:rFonts w:ascii="Arial Narrow" w:hAnsi="Arial Narrow"/>
                <w:b/>
                <w:sz w:val="20"/>
                <w:szCs w:val="20"/>
              </w:rPr>
            </w:pPr>
            <w:r w:rsidRPr="00396EC1">
              <w:rPr>
                <w:rFonts w:ascii="Arial Narrow" w:hAnsi="Arial Narrow"/>
                <w:b/>
                <w:sz w:val="20"/>
                <w:szCs w:val="20"/>
              </w:rPr>
              <w:t>Evidence</w:t>
            </w:r>
          </w:p>
        </w:tc>
        <w:tc>
          <w:tcPr>
            <w:tcW w:w="720" w:type="dxa"/>
            <w:shd w:val="clear" w:color="auto" w:fill="D9D9D9" w:themeFill="background1" w:themeFillShade="D9"/>
            <w:vAlign w:val="center"/>
          </w:tcPr>
          <w:p w14:paraId="32F9E3C7" w14:textId="77777777" w:rsidR="00250E0C" w:rsidRPr="00396EC1" w:rsidRDefault="00250E0C" w:rsidP="009A553E">
            <w:pPr>
              <w:jc w:val="center"/>
              <w:rPr>
                <w:rFonts w:ascii="Arial Narrow" w:hAnsi="Arial Narrow"/>
                <w:b/>
                <w:sz w:val="20"/>
                <w:szCs w:val="20"/>
              </w:rPr>
            </w:pPr>
            <w:r>
              <w:rPr>
                <w:rFonts w:ascii="Arial Narrow" w:hAnsi="Arial Narrow"/>
                <w:b/>
                <w:sz w:val="20"/>
                <w:szCs w:val="20"/>
              </w:rPr>
              <w:t>Wolf Creek</w:t>
            </w:r>
          </w:p>
        </w:tc>
        <w:tc>
          <w:tcPr>
            <w:tcW w:w="720" w:type="dxa"/>
            <w:shd w:val="clear" w:color="auto" w:fill="D9D9D9" w:themeFill="background1" w:themeFillShade="D9"/>
            <w:vAlign w:val="center"/>
          </w:tcPr>
          <w:p w14:paraId="37A40576" w14:textId="77777777" w:rsidR="00250E0C" w:rsidRPr="00396EC1" w:rsidRDefault="00250E0C" w:rsidP="009A553E">
            <w:pPr>
              <w:jc w:val="center"/>
              <w:rPr>
                <w:rFonts w:ascii="Arial Narrow" w:hAnsi="Arial Narrow"/>
                <w:b/>
                <w:sz w:val="20"/>
                <w:szCs w:val="20"/>
              </w:rPr>
            </w:pPr>
            <w:r>
              <w:rPr>
                <w:rFonts w:ascii="Arial Narrow" w:hAnsi="Arial Narrow"/>
                <w:b/>
                <w:sz w:val="20"/>
                <w:szCs w:val="20"/>
              </w:rPr>
              <w:t>Tinker Creek</w:t>
            </w:r>
          </w:p>
        </w:tc>
        <w:tc>
          <w:tcPr>
            <w:tcW w:w="990" w:type="dxa"/>
            <w:shd w:val="clear" w:color="auto" w:fill="D9D9D9" w:themeFill="background1" w:themeFillShade="D9"/>
            <w:vAlign w:val="center"/>
          </w:tcPr>
          <w:p w14:paraId="2A72543D" w14:textId="77777777" w:rsidR="00250E0C" w:rsidRPr="00396EC1" w:rsidRDefault="00250E0C" w:rsidP="009A553E">
            <w:pPr>
              <w:jc w:val="center"/>
              <w:rPr>
                <w:rFonts w:ascii="Arial Narrow" w:hAnsi="Arial Narrow"/>
                <w:b/>
                <w:sz w:val="20"/>
                <w:szCs w:val="20"/>
              </w:rPr>
            </w:pPr>
            <w:r>
              <w:rPr>
                <w:rFonts w:ascii="Arial Narrow" w:hAnsi="Arial Narrow"/>
                <w:b/>
                <w:sz w:val="20"/>
                <w:szCs w:val="20"/>
              </w:rPr>
              <w:t>Roanoke River (202.20)</w:t>
            </w:r>
          </w:p>
        </w:tc>
        <w:tc>
          <w:tcPr>
            <w:tcW w:w="990" w:type="dxa"/>
            <w:shd w:val="clear" w:color="auto" w:fill="D9D9D9" w:themeFill="background1" w:themeFillShade="D9"/>
            <w:vAlign w:val="center"/>
          </w:tcPr>
          <w:p w14:paraId="7F166FDD" w14:textId="77777777" w:rsidR="00250E0C" w:rsidRPr="00396EC1" w:rsidRDefault="00250E0C" w:rsidP="009A553E">
            <w:pPr>
              <w:jc w:val="center"/>
              <w:rPr>
                <w:rFonts w:ascii="Arial Narrow" w:hAnsi="Arial Narrow"/>
                <w:b/>
                <w:sz w:val="20"/>
                <w:szCs w:val="20"/>
              </w:rPr>
            </w:pPr>
            <w:r>
              <w:rPr>
                <w:rFonts w:ascii="Arial Narrow" w:hAnsi="Arial Narrow"/>
                <w:b/>
                <w:sz w:val="20"/>
                <w:szCs w:val="20"/>
              </w:rPr>
              <w:t>Roanoke River (198.08)</w:t>
            </w:r>
          </w:p>
        </w:tc>
        <w:tc>
          <w:tcPr>
            <w:tcW w:w="3600" w:type="dxa"/>
            <w:shd w:val="clear" w:color="auto" w:fill="D9D9D9" w:themeFill="background1" w:themeFillShade="D9"/>
            <w:vAlign w:val="center"/>
          </w:tcPr>
          <w:p w14:paraId="1ACE6AF9" w14:textId="77777777" w:rsidR="00250E0C" w:rsidRPr="00613B31" w:rsidRDefault="00250E0C" w:rsidP="009A553E">
            <w:pPr>
              <w:jc w:val="center"/>
              <w:rPr>
                <w:rFonts w:ascii="Arial Narrow" w:hAnsi="Arial Narrow"/>
                <w:b/>
                <w:sz w:val="20"/>
                <w:szCs w:val="20"/>
              </w:rPr>
            </w:pPr>
            <w:r w:rsidRPr="00396EC1">
              <w:rPr>
                <w:rFonts w:ascii="Arial Narrow" w:hAnsi="Arial Narrow"/>
                <w:b/>
                <w:sz w:val="20"/>
                <w:szCs w:val="20"/>
              </w:rPr>
              <w:t>Explanation</w:t>
            </w:r>
          </w:p>
        </w:tc>
      </w:tr>
      <w:tr w:rsidR="009A553E" w:rsidRPr="007A0C83" w14:paraId="52877AC6" w14:textId="77777777" w:rsidTr="009A553E">
        <w:trPr>
          <w:trHeight w:val="247"/>
        </w:trPr>
        <w:tc>
          <w:tcPr>
            <w:tcW w:w="2437" w:type="dxa"/>
            <w:vAlign w:val="center"/>
          </w:tcPr>
          <w:p w14:paraId="6F09F487" w14:textId="5C3B5377" w:rsidR="009A553E" w:rsidRPr="009A553E" w:rsidRDefault="009A553E" w:rsidP="009A553E">
            <w:pPr>
              <w:jc w:val="left"/>
              <w:rPr>
                <w:rFonts w:ascii="Arial Narrow" w:hAnsi="Arial Narrow"/>
                <w:sz w:val="20"/>
                <w:szCs w:val="20"/>
                <w:highlight w:val="yellow"/>
              </w:rPr>
            </w:pPr>
            <w:r w:rsidRPr="009A553E">
              <w:rPr>
                <w:rFonts w:ascii="Arial Narrow" w:hAnsi="Arial Narrow" w:cs="Calibri"/>
                <w:color w:val="000000"/>
                <w:sz w:val="20"/>
                <w:szCs w:val="20"/>
              </w:rPr>
              <w:t>Spatial Co-occurrence</w:t>
            </w:r>
          </w:p>
        </w:tc>
        <w:tc>
          <w:tcPr>
            <w:tcW w:w="720" w:type="dxa"/>
            <w:vAlign w:val="center"/>
          </w:tcPr>
          <w:p w14:paraId="6BF6D98C" w14:textId="287471EB" w:rsidR="009A553E" w:rsidRPr="009A553E" w:rsidRDefault="009A553E" w:rsidP="009A553E">
            <w:pPr>
              <w:jc w:val="center"/>
              <w:rPr>
                <w:rFonts w:ascii="Arial Narrow" w:hAnsi="Arial Narrow" w:cs="Calibri"/>
                <w:color w:val="000000"/>
                <w:sz w:val="20"/>
                <w:szCs w:val="20"/>
              </w:rPr>
            </w:pPr>
            <w:r w:rsidRPr="009A553E">
              <w:rPr>
                <w:rFonts w:ascii="Arial Narrow" w:hAnsi="Arial Narrow" w:cs="Calibri"/>
                <w:color w:val="000000"/>
                <w:sz w:val="20"/>
                <w:szCs w:val="20"/>
              </w:rPr>
              <w:t>-3</w:t>
            </w:r>
          </w:p>
        </w:tc>
        <w:tc>
          <w:tcPr>
            <w:tcW w:w="720" w:type="dxa"/>
            <w:vAlign w:val="center"/>
          </w:tcPr>
          <w:p w14:paraId="7804CF76" w14:textId="24C5F381" w:rsidR="009A553E" w:rsidRPr="009A553E" w:rsidRDefault="009A553E" w:rsidP="009A553E">
            <w:pPr>
              <w:jc w:val="center"/>
              <w:rPr>
                <w:rFonts w:ascii="Arial Narrow" w:hAnsi="Arial Narrow" w:cs="Calibri"/>
                <w:color w:val="000000"/>
                <w:sz w:val="20"/>
                <w:szCs w:val="20"/>
              </w:rPr>
            </w:pPr>
            <w:r w:rsidRPr="009A553E">
              <w:rPr>
                <w:rFonts w:ascii="Arial Narrow" w:hAnsi="Arial Narrow" w:cs="Calibri"/>
                <w:color w:val="000000"/>
                <w:sz w:val="20"/>
                <w:szCs w:val="20"/>
              </w:rPr>
              <w:t>2</w:t>
            </w:r>
          </w:p>
        </w:tc>
        <w:tc>
          <w:tcPr>
            <w:tcW w:w="990" w:type="dxa"/>
            <w:vAlign w:val="center"/>
          </w:tcPr>
          <w:p w14:paraId="6B97C897" w14:textId="082149E2" w:rsidR="009A553E" w:rsidRPr="009A553E" w:rsidRDefault="009A553E" w:rsidP="009A553E">
            <w:pPr>
              <w:jc w:val="center"/>
              <w:rPr>
                <w:rFonts w:ascii="Arial Narrow" w:hAnsi="Arial Narrow" w:cs="Calibri"/>
                <w:color w:val="000000"/>
                <w:sz w:val="20"/>
                <w:szCs w:val="20"/>
              </w:rPr>
            </w:pPr>
            <w:r w:rsidRPr="009A553E">
              <w:rPr>
                <w:rFonts w:ascii="Arial Narrow" w:hAnsi="Arial Narrow" w:cs="Calibri"/>
                <w:color w:val="000000"/>
                <w:sz w:val="20"/>
                <w:szCs w:val="20"/>
              </w:rPr>
              <w:t>1</w:t>
            </w:r>
          </w:p>
        </w:tc>
        <w:tc>
          <w:tcPr>
            <w:tcW w:w="990" w:type="dxa"/>
            <w:vAlign w:val="center"/>
          </w:tcPr>
          <w:p w14:paraId="38F74A42" w14:textId="52896731" w:rsidR="009A553E" w:rsidRPr="009A553E" w:rsidRDefault="009A553E" w:rsidP="009A553E">
            <w:pPr>
              <w:jc w:val="center"/>
              <w:rPr>
                <w:rFonts w:ascii="Arial Narrow" w:hAnsi="Arial Narrow"/>
                <w:color w:val="000000"/>
                <w:sz w:val="20"/>
                <w:szCs w:val="20"/>
                <w:highlight w:val="yellow"/>
              </w:rPr>
            </w:pPr>
            <w:r w:rsidRPr="009A553E">
              <w:rPr>
                <w:rFonts w:ascii="Arial Narrow" w:hAnsi="Arial Narrow" w:cs="Calibri"/>
                <w:color w:val="000000"/>
                <w:sz w:val="20"/>
                <w:szCs w:val="20"/>
              </w:rPr>
              <w:t>1</w:t>
            </w:r>
          </w:p>
        </w:tc>
        <w:tc>
          <w:tcPr>
            <w:tcW w:w="3600" w:type="dxa"/>
            <w:vAlign w:val="center"/>
          </w:tcPr>
          <w:p w14:paraId="01E89422" w14:textId="0B9F3DC2" w:rsidR="009A553E" w:rsidRPr="009A553E" w:rsidRDefault="009A553E" w:rsidP="009A553E">
            <w:pPr>
              <w:jc w:val="left"/>
              <w:rPr>
                <w:rFonts w:ascii="Arial Narrow" w:hAnsi="Arial Narrow"/>
                <w:color w:val="000000"/>
                <w:sz w:val="20"/>
                <w:szCs w:val="20"/>
                <w:highlight w:val="yellow"/>
              </w:rPr>
            </w:pPr>
            <w:r w:rsidRPr="009A553E">
              <w:rPr>
                <w:rFonts w:ascii="Arial Narrow" w:hAnsi="Arial Narrow" w:cs="Calibri"/>
                <w:color w:val="000000"/>
                <w:sz w:val="20"/>
                <w:szCs w:val="20"/>
              </w:rPr>
              <w:t xml:space="preserve">Tinker Creek and Roanoke River had statistically higher sulfate levels than the applicable reference, but medians were in the low probability range for stressor effects in Roanoke River. Wolf Creek was lower in sulfate than the stream reference. </w:t>
            </w:r>
          </w:p>
        </w:tc>
      </w:tr>
      <w:tr w:rsidR="009A553E" w:rsidRPr="007A0C83" w14:paraId="40DED2AF" w14:textId="77777777" w:rsidTr="009A553E">
        <w:trPr>
          <w:trHeight w:val="247"/>
        </w:trPr>
        <w:tc>
          <w:tcPr>
            <w:tcW w:w="2437" w:type="dxa"/>
            <w:vAlign w:val="center"/>
          </w:tcPr>
          <w:p w14:paraId="327DCE08" w14:textId="5E0DEAEF" w:rsidR="009A553E" w:rsidRPr="009A553E" w:rsidRDefault="009A553E" w:rsidP="009A553E">
            <w:pPr>
              <w:jc w:val="left"/>
              <w:rPr>
                <w:rFonts w:ascii="Arial Narrow" w:hAnsi="Arial Narrow"/>
                <w:sz w:val="20"/>
                <w:szCs w:val="20"/>
                <w:highlight w:val="yellow"/>
              </w:rPr>
            </w:pPr>
            <w:r w:rsidRPr="009A553E">
              <w:rPr>
                <w:rFonts w:ascii="Arial Narrow" w:hAnsi="Arial Narrow" w:cs="Calibri"/>
                <w:color w:val="000000"/>
                <w:sz w:val="20"/>
                <w:szCs w:val="20"/>
              </w:rPr>
              <w:t>Temporal Co-occurrence</w:t>
            </w:r>
          </w:p>
        </w:tc>
        <w:tc>
          <w:tcPr>
            <w:tcW w:w="720" w:type="dxa"/>
            <w:vAlign w:val="center"/>
          </w:tcPr>
          <w:p w14:paraId="1F55DA0E" w14:textId="6C6528E8" w:rsidR="009A553E" w:rsidRPr="009A553E" w:rsidRDefault="009A553E" w:rsidP="009A553E">
            <w:pPr>
              <w:jc w:val="center"/>
              <w:rPr>
                <w:rFonts w:ascii="Arial Narrow" w:hAnsi="Arial Narrow" w:cs="Calibri"/>
                <w:color w:val="000000"/>
                <w:sz w:val="20"/>
                <w:szCs w:val="20"/>
              </w:rPr>
            </w:pPr>
            <w:r w:rsidRPr="009A553E">
              <w:rPr>
                <w:rFonts w:ascii="Arial Narrow" w:hAnsi="Arial Narrow" w:cs="Calibri"/>
                <w:color w:val="000000"/>
                <w:sz w:val="20"/>
                <w:szCs w:val="20"/>
              </w:rPr>
              <w:t>-2</w:t>
            </w:r>
          </w:p>
        </w:tc>
        <w:tc>
          <w:tcPr>
            <w:tcW w:w="720" w:type="dxa"/>
            <w:vAlign w:val="center"/>
          </w:tcPr>
          <w:p w14:paraId="3B9B1A10" w14:textId="326F5AD9" w:rsidR="009A553E" w:rsidRPr="009A553E" w:rsidRDefault="009A553E" w:rsidP="009A553E">
            <w:pPr>
              <w:jc w:val="center"/>
              <w:rPr>
                <w:rFonts w:ascii="Arial Narrow" w:hAnsi="Arial Narrow" w:cs="Calibri"/>
                <w:color w:val="000000"/>
                <w:sz w:val="20"/>
                <w:szCs w:val="20"/>
              </w:rPr>
            </w:pPr>
            <w:r w:rsidRPr="009A553E">
              <w:rPr>
                <w:rFonts w:ascii="Arial Narrow" w:hAnsi="Arial Narrow" w:cs="Calibri"/>
                <w:color w:val="000000"/>
                <w:sz w:val="20"/>
                <w:szCs w:val="20"/>
              </w:rPr>
              <w:t>1</w:t>
            </w:r>
          </w:p>
        </w:tc>
        <w:tc>
          <w:tcPr>
            <w:tcW w:w="990" w:type="dxa"/>
            <w:vAlign w:val="center"/>
          </w:tcPr>
          <w:p w14:paraId="48439C86" w14:textId="2C559E12" w:rsidR="009A553E" w:rsidRPr="009A553E" w:rsidRDefault="009A553E" w:rsidP="009A553E">
            <w:pPr>
              <w:jc w:val="center"/>
              <w:rPr>
                <w:rFonts w:ascii="Arial Narrow" w:hAnsi="Arial Narrow" w:cs="Calibri"/>
                <w:color w:val="000000"/>
                <w:sz w:val="20"/>
                <w:szCs w:val="20"/>
              </w:rPr>
            </w:pPr>
            <w:r w:rsidRPr="009A553E">
              <w:rPr>
                <w:rFonts w:ascii="Arial Narrow" w:hAnsi="Arial Narrow" w:cs="Calibri"/>
                <w:color w:val="000000"/>
                <w:sz w:val="20"/>
                <w:szCs w:val="20"/>
              </w:rPr>
              <w:t>0</w:t>
            </w:r>
          </w:p>
        </w:tc>
        <w:tc>
          <w:tcPr>
            <w:tcW w:w="990" w:type="dxa"/>
            <w:vAlign w:val="center"/>
          </w:tcPr>
          <w:p w14:paraId="64D889CF" w14:textId="23295EC7" w:rsidR="009A553E" w:rsidRPr="009A553E" w:rsidRDefault="009A553E" w:rsidP="009A553E">
            <w:pPr>
              <w:jc w:val="center"/>
              <w:rPr>
                <w:rFonts w:ascii="Arial Narrow" w:hAnsi="Arial Narrow"/>
                <w:color w:val="000000"/>
                <w:sz w:val="20"/>
                <w:szCs w:val="20"/>
                <w:highlight w:val="yellow"/>
              </w:rPr>
            </w:pPr>
            <w:r w:rsidRPr="009A553E">
              <w:rPr>
                <w:rFonts w:ascii="Arial Narrow" w:hAnsi="Arial Narrow" w:cs="Calibri"/>
                <w:color w:val="000000"/>
                <w:sz w:val="20"/>
                <w:szCs w:val="20"/>
              </w:rPr>
              <w:t>1</w:t>
            </w:r>
          </w:p>
        </w:tc>
        <w:tc>
          <w:tcPr>
            <w:tcW w:w="3600" w:type="dxa"/>
            <w:vAlign w:val="center"/>
          </w:tcPr>
          <w:p w14:paraId="622BAED3" w14:textId="2E9E546B" w:rsidR="009A553E" w:rsidRPr="009A553E" w:rsidRDefault="009A553E" w:rsidP="009A553E">
            <w:pPr>
              <w:jc w:val="left"/>
              <w:rPr>
                <w:rFonts w:ascii="Arial Narrow" w:hAnsi="Arial Narrow"/>
                <w:color w:val="000000"/>
                <w:sz w:val="20"/>
                <w:szCs w:val="20"/>
                <w:highlight w:val="yellow"/>
              </w:rPr>
            </w:pPr>
            <w:r w:rsidRPr="009A553E">
              <w:rPr>
                <w:rFonts w:ascii="Arial Narrow" w:hAnsi="Arial Narrow" w:cs="Calibri"/>
                <w:color w:val="000000"/>
                <w:sz w:val="20"/>
                <w:szCs w:val="20"/>
              </w:rPr>
              <w:t xml:space="preserve">At or around the time of benthic sampling, dissolved sulfate levels were in the low probability range for stressor effects in Wolf Creek. Sulfate levels were in the medium probability range on five occasions in Tinker Creek, one occasion </w:t>
            </w:r>
            <w:r w:rsidR="00342292">
              <w:rPr>
                <w:rFonts w:ascii="Arial Narrow" w:hAnsi="Arial Narrow" w:cs="Calibri"/>
                <w:color w:val="000000"/>
                <w:sz w:val="20"/>
                <w:szCs w:val="20"/>
              </w:rPr>
              <w:t>at</w:t>
            </w:r>
            <w:r w:rsidRPr="009A553E">
              <w:rPr>
                <w:rFonts w:ascii="Arial Narrow" w:hAnsi="Arial Narrow" w:cs="Calibri"/>
                <w:color w:val="000000"/>
                <w:sz w:val="20"/>
                <w:szCs w:val="20"/>
              </w:rPr>
              <w:t xml:space="preserve"> Roanoke River (202.20), and three occasions </w:t>
            </w:r>
            <w:r w:rsidR="00342292">
              <w:rPr>
                <w:rFonts w:ascii="Arial Narrow" w:hAnsi="Arial Narrow" w:cs="Calibri"/>
                <w:color w:val="000000"/>
                <w:sz w:val="20"/>
                <w:szCs w:val="20"/>
              </w:rPr>
              <w:t>at</w:t>
            </w:r>
            <w:r w:rsidRPr="009A553E">
              <w:rPr>
                <w:rFonts w:ascii="Arial Narrow" w:hAnsi="Arial Narrow" w:cs="Calibri"/>
                <w:color w:val="000000"/>
                <w:sz w:val="20"/>
                <w:szCs w:val="20"/>
              </w:rPr>
              <w:t xml:space="preserve"> Roanoke River (198.08). </w:t>
            </w:r>
          </w:p>
        </w:tc>
      </w:tr>
      <w:tr w:rsidR="009A553E" w:rsidRPr="007A0C83" w14:paraId="2AA50A70" w14:textId="77777777" w:rsidTr="009A553E">
        <w:trPr>
          <w:trHeight w:val="247"/>
        </w:trPr>
        <w:tc>
          <w:tcPr>
            <w:tcW w:w="2437" w:type="dxa"/>
            <w:vAlign w:val="center"/>
          </w:tcPr>
          <w:p w14:paraId="00646206" w14:textId="680B9322" w:rsidR="009A553E" w:rsidRPr="009A553E" w:rsidRDefault="009A553E" w:rsidP="009A553E">
            <w:pPr>
              <w:jc w:val="left"/>
              <w:rPr>
                <w:rFonts w:ascii="Arial Narrow" w:hAnsi="Arial Narrow"/>
                <w:sz w:val="20"/>
                <w:szCs w:val="20"/>
                <w:highlight w:val="yellow"/>
              </w:rPr>
            </w:pPr>
            <w:r w:rsidRPr="009A553E">
              <w:rPr>
                <w:rFonts w:ascii="Arial Narrow" w:hAnsi="Arial Narrow" w:cs="Calibri"/>
                <w:color w:val="000000"/>
                <w:sz w:val="20"/>
                <w:szCs w:val="20"/>
              </w:rPr>
              <w:t>Stressor-Response Relationships from the Field</w:t>
            </w:r>
          </w:p>
        </w:tc>
        <w:tc>
          <w:tcPr>
            <w:tcW w:w="720" w:type="dxa"/>
            <w:vAlign w:val="center"/>
          </w:tcPr>
          <w:p w14:paraId="261121F9" w14:textId="08A32A9E" w:rsidR="009A553E" w:rsidRPr="009A553E" w:rsidRDefault="009A553E" w:rsidP="009A553E">
            <w:pPr>
              <w:jc w:val="center"/>
              <w:rPr>
                <w:rFonts w:ascii="Arial Narrow" w:hAnsi="Arial Narrow" w:cs="Calibri"/>
                <w:color w:val="000000"/>
                <w:sz w:val="20"/>
                <w:szCs w:val="20"/>
              </w:rPr>
            </w:pPr>
            <w:r w:rsidRPr="009A553E">
              <w:rPr>
                <w:rFonts w:ascii="Arial Narrow" w:hAnsi="Arial Narrow" w:cs="Calibri"/>
                <w:color w:val="000000"/>
                <w:sz w:val="20"/>
                <w:szCs w:val="20"/>
              </w:rPr>
              <w:t>-2</w:t>
            </w:r>
          </w:p>
        </w:tc>
        <w:tc>
          <w:tcPr>
            <w:tcW w:w="720" w:type="dxa"/>
            <w:vAlign w:val="center"/>
          </w:tcPr>
          <w:p w14:paraId="7A512439" w14:textId="7141E2DD" w:rsidR="009A553E" w:rsidRPr="009A553E" w:rsidRDefault="009A553E" w:rsidP="009A553E">
            <w:pPr>
              <w:jc w:val="center"/>
              <w:rPr>
                <w:rFonts w:ascii="Arial Narrow" w:hAnsi="Arial Narrow" w:cs="Calibri"/>
                <w:color w:val="000000"/>
                <w:sz w:val="20"/>
                <w:szCs w:val="20"/>
              </w:rPr>
            </w:pPr>
            <w:r w:rsidRPr="009A553E">
              <w:rPr>
                <w:rFonts w:ascii="Arial Narrow" w:hAnsi="Arial Narrow" w:cs="Calibri"/>
                <w:color w:val="000000"/>
                <w:sz w:val="20"/>
                <w:szCs w:val="20"/>
              </w:rPr>
              <w:t>-2</w:t>
            </w:r>
          </w:p>
        </w:tc>
        <w:tc>
          <w:tcPr>
            <w:tcW w:w="990" w:type="dxa"/>
            <w:vAlign w:val="center"/>
          </w:tcPr>
          <w:p w14:paraId="15E793F9" w14:textId="00E630CD" w:rsidR="009A553E" w:rsidRPr="009A553E" w:rsidRDefault="009A553E" w:rsidP="009A553E">
            <w:pPr>
              <w:jc w:val="center"/>
              <w:rPr>
                <w:rFonts w:ascii="Arial Narrow" w:hAnsi="Arial Narrow" w:cs="Calibri"/>
                <w:color w:val="000000"/>
                <w:sz w:val="20"/>
                <w:szCs w:val="20"/>
              </w:rPr>
            </w:pPr>
            <w:r w:rsidRPr="009A553E">
              <w:rPr>
                <w:rFonts w:ascii="Arial Narrow" w:hAnsi="Arial Narrow" w:cs="Calibri"/>
                <w:color w:val="000000"/>
                <w:sz w:val="20"/>
                <w:szCs w:val="20"/>
              </w:rPr>
              <w:t>-2</w:t>
            </w:r>
          </w:p>
        </w:tc>
        <w:tc>
          <w:tcPr>
            <w:tcW w:w="990" w:type="dxa"/>
            <w:vAlign w:val="center"/>
          </w:tcPr>
          <w:p w14:paraId="70247545" w14:textId="611635AF" w:rsidR="009A553E" w:rsidRPr="009A553E" w:rsidRDefault="009A553E" w:rsidP="009A553E">
            <w:pPr>
              <w:jc w:val="center"/>
              <w:rPr>
                <w:rFonts w:ascii="Arial Narrow" w:hAnsi="Arial Narrow"/>
                <w:color w:val="000000"/>
                <w:sz w:val="20"/>
                <w:szCs w:val="20"/>
                <w:highlight w:val="yellow"/>
              </w:rPr>
            </w:pPr>
            <w:r w:rsidRPr="009A553E">
              <w:rPr>
                <w:rFonts w:ascii="Arial Narrow" w:hAnsi="Arial Narrow" w:cs="Calibri"/>
                <w:color w:val="000000"/>
                <w:sz w:val="20"/>
                <w:szCs w:val="20"/>
              </w:rPr>
              <w:t>-2</w:t>
            </w:r>
          </w:p>
        </w:tc>
        <w:tc>
          <w:tcPr>
            <w:tcW w:w="3600" w:type="dxa"/>
            <w:vAlign w:val="center"/>
          </w:tcPr>
          <w:p w14:paraId="41B3D2A6" w14:textId="70DD9AA0" w:rsidR="009A553E" w:rsidRPr="009A553E" w:rsidRDefault="009A553E" w:rsidP="009A553E">
            <w:pPr>
              <w:jc w:val="left"/>
              <w:rPr>
                <w:rFonts w:ascii="Arial Narrow" w:hAnsi="Arial Narrow"/>
                <w:color w:val="000000"/>
                <w:sz w:val="20"/>
                <w:szCs w:val="20"/>
                <w:highlight w:val="yellow"/>
              </w:rPr>
            </w:pPr>
            <w:r w:rsidRPr="009A553E">
              <w:rPr>
                <w:rFonts w:ascii="Arial Narrow" w:hAnsi="Arial Narrow" w:cs="Calibri"/>
                <w:color w:val="000000"/>
                <w:sz w:val="20"/>
                <w:szCs w:val="20"/>
              </w:rPr>
              <w:t>Dissolved sulfate was not significantly correlated with benthic health across sites.</w:t>
            </w:r>
          </w:p>
        </w:tc>
      </w:tr>
      <w:tr w:rsidR="009A553E" w:rsidRPr="007A0C83" w14:paraId="6665AD0E" w14:textId="77777777" w:rsidTr="009A553E">
        <w:trPr>
          <w:trHeight w:val="247"/>
        </w:trPr>
        <w:tc>
          <w:tcPr>
            <w:tcW w:w="2437" w:type="dxa"/>
            <w:vAlign w:val="center"/>
          </w:tcPr>
          <w:p w14:paraId="188E4641" w14:textId="117139FE" w:rsidR="009A553E" w:rsidRPr="009A553E" w:rsidRDefault="009A553E" w:rsidP="009A553E">
            <w:pPr>
              <w:jc w:val="left"/>
              <w:rPr>
                <w:rFonts w:ascii="Arial Narrow" w:hAnsi="Arial Narrow" w:cs="Calibri"/>
                <w:b/>
                <w:bCs/>
                <w:color w:val="000000"/>
                <w:sz w:val="20"/>
                <w:szCs w:val="20"/>
                <w:highlight w:val="yellow"/>
              </w:rPr>
            </w:pPr>
            <w:r w:rsidRPr="009A553E">
              <w:rPr>
                <w:rFonts w:ascii="Arial Narrow" w:hAnsi="Arial Narrow" w:cs="Calibri"/>
                <w:color w:val="000000"/>
                <w:sz w:val="20"/>
                <w:szCs w:val="20"/>
              </w:rPr>
              <w:t>Laboratory Tests of Site Media</w:t>
            </w:r>
          </w:p>
        </w:tc>
        <w:tc>
          <w:tcPr>
            <w:tcW w:w="720" w:type="dxa"/>
            <w:vAlign w:val="center"/>
          </w:tcPr>
          <w:p w14:paraId="2529DDBE" w14:textId="3FCA8111" w:rsidR="009A553E" w:rsidRPr="009A553E" w:rsidRDefault="009A553E" w:rsidP="009A553E">
            <w:pPr>
              <w:jc w:val="center"/>
              <w:rPr>
                <w:rFonts w:ascii="Arial Narrow" w:hAnsi="Arial Narrow" w:cs="Calibri"/>
                <w:color w:val="000000"/>
                <w:sz w:val="20"/>
                <w:szCs w:val="20"/>
              </w:rPr>
            </w:pPr>
            <w:r w:rsidRPr="009A553E">
              <w:rPr>
                <w:rFonts w:ascii="Arial Narrow" w:hAnsi="Arial Narrow" w:cs="Calibri"/>
                <w:color w:val="000000"/>
                <w:sz w:val="20"/>
                <w:szCs w:val="20"/>
              </w:rPr>
              <w:t>0</w:t>
            </w:r>
          </w:p>
        </w:tc>
        <w:tc>
          <w:tcPr>
            <w:tcW w:w="720" w:type="dxa"/>
            <w:vAlign w:val="center"/>
          </w:tcPr>
          <w:p w14:paraId="522C895B" w14:textId="56C64C91" w:rsidR="009A553E" w:rsidRPr="009A553E" w:rsidRDefault="009A553E" w:rsidP="009A553E">
            <w:pPr>
              <w:jc w:val="center"/>
              <w:rPr>
                <w:rFonts w:ascii="Arial Narrow" w:hAnsi="Arial Narrow" w:cs="Calibri"/>
                <w:color w:val="000000"/>
                <w:sz w:val="20"/>
                <w:szCs w:val="20"/>
              </w:rPr>
            </w:pPr>
            <w:r w:rsidRPr="009A553E">
              <w:rPr>
                <w:rFonts w:ascii="Arial Narrow" w:hAnsi="Arial Narrow" w:cs="Calibri"/>
                <w:color w:val="000000"/>
                <w:sz w:val="20"/>
                <w:szCs w:val="20"/>
              </w:rPr>
              <w:t>0</w:t>
            </w:r>
          </w:p>
        </w:tc>
        <w:tc>
          <w:tcPr>
            <w:tcW w:w="990" w:type="dxa"/>
            <w:vAlign w:val="center"/>
          </w:tcPr>
          <w:p w14:paraId="119E3EE7" w14:textId="107441AD" w:rsidR="009A553E" w:rsidRPr="009A553E" w:rsidRDefault="009A553E" w:rsidP="009A553E">
            <w:pPr>
              <w:jc w:val="center"/>
              <w:rPr>
                <w:rFonts w:ascii="Arial Narrow" w:hAnsi="Arial Narrow" w:cs="Calibri"/>
                <w:color w:val="000000"/>
                <w:sz w:val="20"/>
                <w:szCs w:val="20"/>
              </w:rPr>
            </w:pPr>
            <w:r w:rsidRPr="009A553E">
              <w:rPr>
                <w:rFonts w:ascii="Arial Narrow" w:hAnsi="Arial Narrow" w:cs="Calibri"/>
                <w:color w:val="000000"/>
                <w:sz w:val="20"/>
                <w:szCs w:val="20"/>
              </w:rPr>
              <w:t>-2</w:t>
            </w:r>
          </w:p>
        </w:tc>
        <w:tc>
          <w:tcPr>
            <w:tcW w:w="990" w:type="dxa"/>
            <w:vAlign w:val="center"/>
          </w:tcPr>
          <w:p w14:paraId="7EDFEB65" w14:textId="57084C02" w:rsidR="009A553E" w:rsidRPr="009A553E" w:rsidRDefault="009A553E" w:rsidP="009A553E">
            <w:pPr>
              <w:jc w:val="center"/>
              <w:rPr>
                <w:rFonts w:ascii="Arial Narrow" w:hAnsi="Arial Narrow" w:cs="Calibri"/>
                <w:b/>
                <w:color w:val="000000"/>
                <w:sz w:val="20"/>
                <w:szCs w:val="20"/>
                <w:highlight w:val="yellow"/>
              </w:rPr>
            </w:pPr>
            <w:r w:rsidRPr="009A553E">
              <w:rPr>
                <w:rFonts w:ascii="Arial Narrow" w:hAnsi="Arial Narrow" w:cs="Calibri"/>
                <w:color w:val="000000"/>
                <w:sz w:val="20"/>
                <w:szCs w:val="20"/>
              </w:rPr>
              <w:t>-2</w:t>
            </w:r>
          </w:p>
        </w:tc>
        <w:tc>
          <w:tcPr>
            <w:tcW w:w="3600" w:type="dxa"/>
            <w:vAlign w:val="center"/>
          </w:tcPr>
          <w:p w14:paraId="6F568CD5" w14:textId="7458D179" w:rsidR="009A553E" w:rsidRPr="009A553E" w:rsidRDefault="009A553E" w:rsidP="009A553E">
            <w:pPr>
              <w:jc w:val="left"/>
              <w:rPr>
                <w:rFonts w:ascii="Arial Narrow" w:hAnsi="Arial Narrow"/>
                <w:color w:val="000000"/>
                <w:sz w:val="20"/>
                <w:szCs w:val="20"/>
                <w:highlight w:val="yellow"/>
              </w:rPr>
            </w:pPr>
            <w:r w:rsidRPr="009A553E">
              <w:rPr>
                <w:rFonts w:ascii="Arial Narrow" w:hAnsi="Arial Narrow" w:cs="Calibri"/>
                <w:color w:val="000000"/>
                <w:sz w:val="20"/>
                <w:szCs w:val="20"/>
              </w:rPr>
              <w:t xml:space="preserve">No toxicity (in IC25 endpoints) was observed in C. </w:t>
            </w:r>
            <w:proofErr w:type="spellStart"/>
            <w:r w:rsidRPr="009A553E">
              <w:rPr>
                <w:rFonts w:ascii="Arial Narrow" w:hAnsi="Arial Narrow" w:cs="Calibri"/>
                <w:color w:val="000000"/>
                <w:sz w:val="20"/>
                <w:szCs w:val="20"/>
              </w:rPr>
              <w:t>dubia</w:t>
            </w:r>
            <w:proofErr w:type="spellEnd"/>
            <w:r w:rsidRPr="009A553E">
              <w:rPr>
                <w:rFonts w:ascii="Arial Narrow" w:hAnsi="Arial Narrow" w:cs="Calibri"/>
                <w:color w:val="000000"/>
                <w:sz w:val="20"/>
                <w:szCs w:val="20"/>
              </w:rPr>
              <w:t xml:space="preserve"> and P. </w:t>
            </w:r>
            <w:proofErr w:type="spellStart"/>
            <w:r w:rsidRPr="009A553E">
              <w:rPr>
                <w:rFonts w:ascii="Arial Narrow" w:hAnsi="Arial Narrow" w:cs="Calibri"/>
                <w:color w:val="000000"/>
                <w:sz w:val="20"/>
                <w:szCs w:val="20"/>
              </w:rPr>
              <w:t>promelas</w:t>
            </w:r>
            <w:proofErr w:type="spellEnd"/>
            <w:r w:rsidRPr="009A553E">
              <w:rPr>
                <w:rFonts w:ascii="Arial Narrow" w:hAnsi="Arial Narrow" w:cs="Calibri"/>
                <w:color w:val="000000"/>
                <w:sz w:val="20"/>
                <w:szCs w:val="20"/>
              </w:rPr>
              <w:t xml:space="preserve"> laboratory toxicity testing of Roanoke River samples.</w:t>
            </w:r>
          </w:p>
        </w:tc>
      </w:tr>
      <w:tr w:rsidR="009A553E" w:rsidRPr="007A0C83" w14:paraId="7FC82900" w14:textId="77777777" w:rsidTr="009A553E">
        <w:trPr>
          <w:trHeight w:val="247"/>
        </w:trPr>
        <w:tc>
          <w:tcPr>
            <w:tcW w:w="2437" w:type="dxa"/>
            <w:vAlign w:val="center"/>
          </w:tcPr>
          <w:p w14:paraId="65ACDEA8" w14:textId="6F15AE09" w:rsidR="009A553E" w:rsidRPr="009A553E" w:rsidRDefault="009A553E" w:rsidP="009A553E">
            <w:pPr>
              <w:jc w:val="left"/>
              <w:rPr>
                <w:rFonts w:ascii="Arial Narrow" w:hAnsi="Arial Narrow" w:cs="Calibri"/>
                <w:b/>
                <w:bCs/>
                <w:color w:val="000000"/>
                <w:sz w:val="20"/>
                <w:szCs w:val="20"/>
                <w:highlight w:val="yellow"/>
              </w:rPr>
            </w:pPr>
            <w:r w:rsidRPr="009A553E">
              <w:rPr>
                <w:rFonts w:ascii="Arial Narrow" w:hAnsi="Arial Narrow" w:cs="Calibri"/>
                <w:color w:val="000000"/>
                <w:sz w:val="20"/>
                <w:szCs w:val="20"/>
              </w:rPr>
              <w:t>Temporal Sequence</w:t>
            </w:r>
          </w:p>
        </w:tc>
        <w:tc>
          <w:tcPr>
            <w:tcW w:w="720" w:type="dxa"/>
            <w:vAlign w:val="center"/>
          </w:tcPr>
          <w:p w14:paraId="33E6B470" w14:textId="1B015266" w:rsidR="009A553E" w:rsidRPr="009A553E" w:rsidRDefault="009A553E" w:rsidP="009A553E">
            <w:pPr>
              <w:jc w:val="center"/>
              <w:rPr>
                <w:rFonts w:ascii="Arial Narrow" w:hAnsi="Arial Narrow" w:cs="Calibri"/>
                <w:color w:val="000000"/>
                <w:sz w:val="20"/>
                <w:szCs w:val="20"/>
              </w:rPr>
            </w:pPr>
            <w:r w:rsidRPr="009A553E">
              <w:rPr>
                <w:rFonts w:ascii="Arial Narrow" w:hAnsi="Arial Narrow" w:cs="Calibri"/>
                <w:sz w:val="20"/>
                <w:szCs w:val="20"/>
              </w:rPr>
              <w:t>-1</w:t>
            </w:r>
          </w:p>
        </w:tc>
        <w:tc>
          <w:tcPr>
            <w:tcW w:w="720" w:type="dxa"/>
            <w:vAlign w:val="center"/>
          </w:tcPr>
          <w:p w14:paraId="34A50B9F" w14:textId="7BAB0E82" w:rsidR="009A553E" w:rsidRPr="009A553E" w:rsidRDefault="009A553E" w:rsidP="009A553E">
            <w:pPr>
              <w:jc w:val="center"/>
              <w:rPr>
                <w:rFonts w:ascii="Arial Narrow" w:hAnsi="Arial Narrow" w:cs="Calibri"/>
                <w:color w:val="000000"/>
                <w:sz w:val="20"/>
                <w:szCs w:val="20"/>
              </w:rPr>
            </w:pPr>
            <w:r w:rsidRPr="009A553E">
              <w:rPr>
                <w:rFonts w:ascii="Arial Narrow" w:hAnsi="Arial Narrow" w:cs="Calibri"/>
                <w:sz w:val="20"/>
                <w:szCs w:val="20"/>
              </w:rPr>
              <w:t>-1</w:t>
            </w:r>
          </w:p>
        </w:tc>
        <w:tc>
          <w:tcPr>
            <w:tcW w:w="990" w:type="dxa"/>
            <w:vAlign w:val="center"/>
          </w:tcPr>
          <w:p w14:paraId="3ABBB1EC" w14:textId="1CBBDB8A" w:rsidR="009A553E" w:rsidRPr="009A553E" w:rsidRDefault="009A553E" w:rsidP="009A553E">
            <w:pPr>
              <w:jc w:val="center"/>
              <w:rPr>
                <w:rFonts w:ascii="Arial Narrow" w:hAnsi="Arial Narrow" w:cs="Calibri"/>
                <w:color w:val="000000"/>
                <w:sz w:val="20"/>
                <w:szCs w:val="20"/>
              </w:rPr>
            </w:pPr>
            <w:r w:rsidRPr="009A553E">
              <w:rPr>
                <w:rFonts w:ascii="Arial Narrow" w:hAnsi="Arial Narrow" w:cs="Calibri"/>
                <w:sz w:val="20"/>
                <w:szCs w:val="20"/>
              </w:rPr>
              <w:t>-2</w:t>
            </w:r>
          </w:p>
        </w:tc>
        <w:tc>
          <w:tcPr>
            <w:tcW w:w="990" w:type="dxa"/>
            <w:vAlign w:val="center"/>
          </w:tcPr>
          <w:p w14:paraId="4DA5786F" w14:textId="141CB134" w:rsidR="009A553E" w:rsidRPr="009A553E" w:rsidRDefault="009A553E" w:rsidP="009A553E">
            <w:pPr>
              <w:jc w:val="center"/>
              <w:rPr>
                <w:rFonts w:ascii="Arial Narrow" w:hAnsi="Arial Narrow" w:cs="Calibri"/>
                <w:b/>
                <w:color w:val="000000"/>
                <w:sz w:val="20"/>
                <w:szCs w:val="20"/>
                <w:highlight w:val="yellow"/>
              </w:rPr>
            </w:pPr>
            <w:r w:rsidRPr="009A553E">
              <w:rPr>
                <w:rFonts w:ascii="Arial Narrow" w:hAnsi="Arial Narrow" w:cs="Calibri"/>
                <w:sz w:val="20"/>
                <w:szCs w:val="20"/>
              </w:rPr>
              <w:t>-2</w:t>
            </w:r>
          </w:p>
        </w:tc>
        <w:tc>
          <w:tcPr>
            <w:tcW w:w="3600" w:type="dxa"/>
            <w:vAlign w:val="center"/>
          </w:tcPr>
          <w:p w14:paraId="600A2206" w14:textId="05719B72" w:rsidR="009A553E" w:rsidRPr="009A553E" w:rsidRDefault="009A553E" w:rsidP="009A553E">
            <w:pPr>
              <w:jc w:val="left"/>
              <w:rPr>
                <w:rFonts w:ascii="Arial Narrow" w:hAnsi="Arial Narrow"/>
                <w:color w:val="000000"/>
                <w:sz w:val="20"/>
                <w:szCs w:val="20"/>
                <w:highlight w:val="yellow"/>
              </w:rPr>
            </w:pPr>
            <w:r w:rsidRPr="009A553E">
              <w:rPr>
                <w:rFonts w:ascii="Arial Narrow" w:hAnsi="Arial Narrow" w:cs="Calibri"/>
                <w:color w:val="000000"/>
                <w:sz w:val="20"/>
                <w:szCs w:val="20"/>
              </w:rPr>
              <w:t xml:space="preserve">Spring SCI scores were lower than fall scores in each impaired stream, but sulfate was typically highest in the fall (Roanoke River) or no discernible seasonal pattern was observed (Wolf Creek and Tinker Creek). </w:t>
            </w:r>
          </w:p>
        </w:tc>
      </w:tr>
      <w:tr w:rsidR="009A553E" w:rsidRPr="007A0C83" w14:paraId="0833E325" w14:textId="77777777" w:rsidTr="009A553E">
        <w:trPr>
          <w:trHeight w:val="247"/>
        </w:trPr>
        <w:tc>
          <w:tcPr>
            <w:tcW w:w="2437" w:type="dxa"/>
            <w:vAlign w:val="center"/>
          </w:tcPr>
          <w:p w14:paraId="3CD9E9A0" w14:textId="28A63648" w:rsidR="009A553E" w:rsidRPr="009A553E" w:rsidRDefault="009A553E" w:rsidP="009A553E">
            <w:pPr>
              <w:jc w:val="left"/>
              <w:rPr>
                <w:rFonts w:ascii="Arial Narrow" w:hAnsi="Arial Narrow" w:cs="Calibri"/>
                <w:b/>
                <w:bCs/>
                <w:color w:val="000000"/>
                <w:sz w:val="20"/>
                <w:szCs w:val="20"/>
                <w:highlight w:val="yellow"/>
              </w:rPr>
            </w:pPr>
            <w:r w:rsidRPr="009A553E">
              <w:rPr>
                <w:rFonts w:ascii="Arial Narrow" w:hAnsi="Arial Narrow" w:cs="Calibri"/>
                <w:color w:val="000000"/>
                <w:sz w:val="20"/>
                <w:szCs w:val="20"/>
              </w:rPr>
              <w:t>Symptoms</w:t>
            </w:r>
          </w:p>
        </w:tc>
        <w:tc>
          <w:tcPr>
            <w:tcW w:w="720" w:type="dxa"/>
            <w:vAlign w:val="center"/>
          </w:tcPr>
          <w:p w14:paraId="0EE46616" w14:textId="0B7D30EA"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3</w:t>
            </w:r>
          </w:p>
        </w:tc>
        <w:tc>
          <w:tcPr>
            <w:tcW w:w="720" w:type="dxa"/>
            <w:vAlign w:val="center"/>
          </w:tcPr>
          <w:p w14:paraId="6B2D0DFD" w14:textId="5CCA42CB"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1</w:t>
            </w:r>
          </w:p>
        </w:tc>
        <w:tc>
          <w:tcPr>
            <w:tcW w:w="990" w:type="dxa"/>
            <w:vAlign w:val="center"/>
          </w:tcPr>
          <w:p w14:paraId="3A7EA55C" w14:textId="56715204"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-1</w:t>
            </w:r>
          </w:p>
        </w:tc>
        <w:tc>
          <w:tcPr>
            <w:tcW w:w="990" w:type="dxa"/>
            <w:vAlign w:val="center"/>
          </w:tcPr>
          <w:p w14:paraId="279A9D67" w14:textId="54644F59" w:rsidR="009A553E" w:rsidRPr="009A553E" w:rsidRDefault="009A553E" w:rsidP="009A553E">
            <w:pPr>
              <w:jc w:val="center"/>
              <w:rPr>
                <w:rFonts w:ascii="Arial Narrow" w:hAnsi="Arial Narrow" w:cs="Calibri"/>
                <w:b/>
                <w:color w:val="000000"/>
                <w:sz w:val="20"/>
                <w:szCs w:val="20"/>
                <w:highlight w:val="yellow"/>
              </w:rPr>
            </w:pPr>
            <w:r w:rsidRPr="009A553E">
              <w:rPr>
                <w:rFonts w:ascii="Arial Narrow" w:hAnsi="Arial Narrow" w:cs="Calibri"/>
                <w:color w:val="000000"/>
                <w:sz w:val="20"/>
                <w:szCs w:val="20"/>
              </w:rPr>
              <w:t>1</w:t>
            </w:r>
          </w:p>
        </w:tc>
        <w:tc>
          <w:tcPr>
            <w:tcW w:w="3600" w:type="dxa"/>
            <w:vAlign w:val="center"/>
          </w:tcPr>
          <w:p w14:paraId="7195503B" w14:textId="163D1861" w:rsidR="009A553E" w:rsidRPr="009A553E" w:rsidRDefault="009A553E" w:rsidP="009A553E">
            <w:pPr>
              <w:jc w:val="left"/>
              <w:rPr>
                <w:rFonts w:ascii="Arial Narrow" w:hAnsi="Arial Narrow"/>
                <w:color w:val="000000"/>
                <w:sz w:val="20"/>
                <w:szCs w:val="20"/>
                <w:highlight w:val="yellow"/>
              </w:rPr>
            </w:pPr>
            <w:r w:rsidRPr="009A553E">
              <w:rPr>
                <w:rFonts w:ascii="Arial Narrow" w:hAnsi="Arial Narrow" w:cs="Calibri"/>
                <w:color w:val="000000"/>
                <w:sz w:val="20"/>
                <w:szCs w:val="20"/>
              </w:rPr>
              <w:t xml:space="preserve">Biological Condition Gradient </w:t>
            </w:r>
            <w:r w:rsidR="007E2E2D">
              <w:rPr>
                <w:rFonts w:ascii="Arial Narrow" w:hAnsi="Arial Narrow" w:cs="Calibri"/>
                <w:color w:val="000000"/>
                <w:sz w:val="20"/>
                <w:szCs w:val="20"/>
              </w:rPr>
              <w:t xml:space="preserve">attribute </w:t>
            </w:r>
            <w:r w:rsidRPr="009A553E">
              <w:rPr>
                <w:rFonts w:ascii="Arial Narrow" w:hAnsi="Arial Narrow" w:cs="Calibri"/>
                <w:color w:val="000000"/>
                <w:sz w:val="20"/>
                <w:szCs w:val="20"/>
              </w:rPr>
              <w:t xml:space="preserve">analysis identified one of the top predominant taxa in Wolf Creek as increasing in abundance in the presence of high sulfate (score of 5). Sulfate was also the highest ranked stressor in Wolf Creek. In Tinker Creek, Roanoke River (202.20), and Roanoke River (198.08), sulfate was ranked third, fifth, and second based on average BCG </w:t>
            </w:r>
            <w:r w:rsidR="00CC60A2">
              <w:rPr>
                <w:rFonts w:ascii="Arial Narrow" w:hAnsi="Arial Narrow" w:cs="Calibri"/>
                <w:color w:val="000000"/>
                <w:sz w:val="20"/>
                <w:szCs w:val="20"/>
              </w:rPr>
              <w:t>attribut</w:t>
            </w:r>
            <w:r w:rsidR="007E2E2D">
              <w:rPr>
                <w:rFonts w:ascii="Arial Narrow" w:hAnsi="Arial Narrow" w:cs="Calibri"/>
                <w:color w:val="000000"/>
                <w:sz w:val="20"/>
                <w:szCs w:val="20"/>
              </w:rPr>
              <w:t>e</w:t>
            </w:r>
            <w:r w:rsidR="00CC60A2">
              <w:rPr>
                <w:rFonts w:ascii="Arial Narrow" w:hAnsi="Arial Narrow" w:cs="Calibri"/>
                <w:color w:val="000000"/>
                <w:sz w:val="20"/>
                <w:szCs w:val="20"/>
              </w:rPr>
              <w:t xml:space="preserve"> </w:t>
            </w:r>
            <w:r w:rsidRPr="009A553E">
              <w:rPr>
                <w:rFonts w:ascii="Arial Narrow" w:hAnsi="Arial Narrow" w:cs="Calibri"/>
                <w:color w:val="000000"/>
                <w:sz w:val="20"/>
                <w:szCs w:val="20"/>
              </w:rPr>
              <w:t>scores, respectively.</w:t>
            </w:r>
          </w:p>
        </w:tc>
      </w:tr>
      <w:tr w:rsidR="009A553E" w:rsidRPr="007A0C83" w14:paraId="5A95B3B2" w14:textId="77777777" w:rsidTr="009A553E">
        <w:trPr>
          <w:trHeight w:val="247"/>
        </w:trPr>
        <w:tc>
          <w:tcPr>
            <w:tcW w:w="2437" w:type="dxa"/>
            <w:vAlign w:val="center"/>
          </w:tcPr>
          <w:p w14:paraId="499DB1B9" w14:textId="6FAD86EE" w:rsidR="009A553E" w:rsidRPr="009A553E" w:rsidRDefault="009A553E" w:rsidP="009A553E">
            <w:pPr>
              <w:jc w:val="left"/>
              <w:rPr>
                <w:rFonts w:ascii="Arial Narrow" w:hAnsi="Arial Narrow" w:cs="Calibri"/>
                <w:b/>
                <w:bCs/>
                <w:color w:val="000000"/>
                <w:sz w:val="20"/>
                <w:szCs w:val="20"/>
              </w:rPr>
            </w:pPr>
            <w:r w:rsidRPr="009A553E">
              <w:rPr>
                <w:rFonts w:ascii="Arial Narrow" w:hAnsi="Arial Narrow" w:cs="Calibri"/>
                <w:color w:val="000000"/>
                <w:sz w:val="20"/>
                <w:szCs w:val="20"/>
              </w:rPr>
              <w:t>Stressor-Response Relationships from Other Field Studies</w:t>
            </w:r>
          </w:p>
        </w:tc>
        <w:tc>
          <w:tcPr>
            <w:tcW w:w="720" w:type="dxa"/>
            <w:vAlign w:val="center"/>
          </w:tcPr>
          <w:p w14:paraId="41B7D149" w14:textId="6F1E45DB"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-3</w:t>
            </w:r>
          </w:p>
        </w:tc>
        <w:tc>
          <w:tcPr>
            <w:tcW w:w="720" w:type="dxa"/>
            <w:vAlign w:val="center"/>
          </w:tcPr>
          <w:p w14:paraId="43E4B782" w14:textId="776AC3E3"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1</w:t>
            </w:r>
          </w:p>
        </w:tc>
        <w:tc>
          <w:tcPr>
            <w:tcW w:w="990" w:type="dxa"/>
            <w:vAlign w:val="center"/>
          </w:tcPr>
          <w:p w14:paraId="3860D5D6" w14:textId="55E9D9DE"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-1</w:t>
            </w:r>
          </w:p>
        </w:tc>
        <w:tc>
          <w:tcPr>
            <w:tcW w:w="990" w:type="dxa"/>
            <w:vAlign w:val="center"/>
          </w:tcPr>
          <w:p w14:paraId="75F843E3" w14:textId="075803FA"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-1</w:t>
            </w:r>
          </w:p>
        </w:tc>
        <w:tc>
          <w:tcPr>
            <w:tcW w:w="3600" w:type="dxa"/>
            <w:vAlign w:val="center"/>
          </w:tcPr>
          <w:p w14:paraId="505150CD" w14:textId="569D37A1" w:rsidR="009A553E" w:rsidRPr="009A553E" w:rsidRDefault="009A553E" w:rsidP="009A553E">
            <w:pPr>
              <w:jc w:val="left"/>
              <w:rPr>
                <w:rFonts w:ascii="Arial Narrow" w:hAnsi="Arial Narrow"/>
                <w:color w:val="000000"/>
                <w:sz w:val="20"/>
                <w:szCs w:val="20"/>
                <w:highlight w:val="yellow"/>
              </w:rPr>
            </w:pPr>
            <w:r w:rsidRPr="009A553E">
              <w:rPr>
                <w:rFonts w:ascii="Arial Narrow" w:hAnsi="Arial Narrow" w:cs="Calibri"/>
                <w:color w:val="000000"/>
                <w:sz w:val="20"/>
                <w:szCs w:val="20"/>
              </w:rPr>
              <w:t>Median sulfate levels were in the no, medium, and low probability ranges for stressor effects in Wolf Creek, Tinker Creek, and Roanoke River, respectively.</w:t>
            </w:r>
          </w:p>
        </w:tc>
      </w:tr>
      <w:tr w:rsidR="009A553E" w:rsidRPr="007A0C83" w14:paraId="7381E420" w14:textId="77777777" w:rsidTr="009A553E">
        <w:trPr>
          <w:trHeight w:val="247"/>
        </w:trPr>
        <w:tc>
          <w:tcPr>
            <w:tcW w:w="2437" w:type="dxa"/>
            <w:vAlign w:val="center"/>
          </w:tcPr>
          <w:p w14:paraId="3C1B8ABB" w14:textId="12BA91A7" w:rsidR="009A553E" w:rsidRPr="009A553E" w:rsidRDefault="009A553E" w:rsidP="009A553E">
            <w:pPr>
              <w:jc w:val="left"/>
              <w:rPr>
                <w:rFonts w:ascii="Arial Narrow" w:hAnsi="Arial Narrow" w:cs="Calibri"/>
                <w:b/>
                <w:bCs/>
                <w:color w:val="000000"/>
                <w:sz w:val="20"/>
                <w:szCs w:val="20"/>
              </w:rPr>
            </w:pPr>
            <w:r w:rsidRPr="009A553E">
              <w:rPr>
                <w:rFonts w:ascii="Arial Narrow" w:hAnsi="Arial Narrow" w:cs="Calibri"/>
                <w:color w:val="000000"/>
                <w:sz w:val="20"/>
                <w:szCs w:val="20"/>
              </w:rPr>
              <w:t>Stressor-Response Relationships from Laboratory Studies</w:t>
            </w:r>
          </w:p>
        </w:tc>
        <w:tc>
          <w:tcPr>
            <w:tcW w:w="720" w:type="dxa"/>
            <w:vAlign w:val="center"/>
          </w:tcPr>
          <w:p w14:paraId="07A60453" w14:textId="346FAB25"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-3</w:t>
            </w:r>
          </w:p>
        </w:tc>
        <w:tc>
          <w:tcPr>
            <w:tcW w:w="720" w:type="dxa"/>
            <w:vAlign w:val="center"/>
          </w:tcPr>
          <w:p w14:paraId="07009635" w14:textId="5D4354BE"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-3</w:t>
            </w:r>
          </w:p>
        </w:tc>
        <w:tc>
          <w:tcPr>
            <w:tcW w:w="990" w:type="dxa"/>
            <w:vAlign w:val="center"/>
          </w:tcPr>
          <w:p w14:paraId="3C8F2F9E" w14:textId="36A5294D"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-3</w:t>
            </w:r>
          </w:p>
        </w:tc>
        <w:tc>
          <w:tcPr>
            <w:tcW w:w="990" w:type="dxa"/>
            <w:vAlign w:val="center"/>
          </w:tcPr>
          <w:p w14:paraId="5C229B5C" w14:textId="00641CF6"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-3</w:t>
            </w:r>
          </w:p>
        </w:tc>
        <w:tc>
          <w:tcPr>
            <w:tcW w:w="3600" w:type="dxa"/>
            <w:vAlign w:val="center"/>
          </w:tcPr>
          <w:p w14:paraId="36AF05E5" w14:textId="7380F461" w:rsidR="009A553E" w:rsidRPr="009A553E" w:rsidRDefault="009A553E" w:rsidP="009A553E">
            <w:pPr>
              <w:jc w:val="left"/>
              <w:rPr>
                <w:rFonts w:ascii="Arial Narrow" w:hAnsi="Arial Narrow"/>
                <w:color w:val="000000"/>
                <w:sz w:val="20"/>
                <w:szCs w:val="20"/>
                <w:highlight w:val="yellow"/>
              </w:rPr>
            </w:pPr>
            <w:r w:rsidRPr="009A553E">
              <w:rPr>
                <w:rFonts w:ascii="Arial Narrow" w:hAnsi="Arial Narrow" w:cs="Calibri"/>
                <w:color w:val="000000"/>
                <w:sz w:val="20"/>
                <w:szCs w:val="20"/>
              </w:rPr>
              <w:t>In an analysis of toxicity to major ions (Mount et al., 2016), all LC50s for Ceriodaphnia exposed to sulfate salts were well above the sulfate levels in Roanoke River project streams.</w:t>
            </w:r>
          </w:p>
        </w:tc>
      </w:tr>
      <w:tr w:rsidR="009A553E" w:rsidRPr="007A0C83" w14:paraId="3AC170F1" w14:textId="77777777" w:rsidTr="009A553E">
        <w:trPr>
          <w:trHeight w:val="247"/>
        </w:trPr>
        <w:tc>
          <w:tcPr>
            <w:tcW w:w="2437" w:type="dxa"/>
            <w:vAlign w:val="center"/>
          </w:tcPr>
          <w:p w14:paraId="758B6C1A" w14:textId="076EA82F" w:rsidR="009A553E" w:rsidRPr="009A553E" w:rsidRDefault="009A553E" w:rsidP="009A553E">
            <w:pPr>
              <w:jc w:val="left"/>
              <w:rPr>
                <w:rFonts w:ascii="Arial Narrow" w:hAnsi="Arial Narrow" w:cs="Calibri"/>
                <w:b/>
                <w:bCs/>
                <w:color w:val="000000"/>
                <w:sz w:val="20"/>
                <w:szCs w:val="20"/>
              </w:rPr>
            </w:pPr>
            <w:r w:rsidRPr="009A553E">
              <w:rPr>
                <w:rFonts w:ascii="Arial Narrow" w:hAnsi="Arial Narrow" w:cs="Calibri"/>
                <w:color w:val="000000"/>
                <w:sz w:val="20"/>
                <w:szCs w:val="20"/>
              </w:rPr>
              <w:t>Mechanistically Plausible Cause</w:t>
            </w:r>
          </w:p>
        </w:tc>
        <w:tc>
          <w:tcPr>
            <w:tcW w:w="720" w:type="dxa"/>
            <w:vAlign w:val="center"/>
          </w:tcPr>
          <w:p w14:paraId="00BF05EE" w14:textId="3B36D9A8"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sz w:val="20"/>
                <w:szCs w:val="20"/>
              </w:rPr>
              <w:t>-2</w:t>
            </w:r>
          </w:p>
        </w:tc>
        <w:tc>
          <w:tcPr>
            <w:tcW w:w="720" w:type="dxa"/>
            <w:vAlign w:val="center"/>
          </w:tcPr>
          <w:p w14:paraId="3B531EE7" w14:textId="4248DFEB"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sz w:val="20"/>
                <w:szCs w:val="20"/>
              </w:rPr>
              <w:t>-2</w:t>
            </w:r>
          </w:p>
        </w:tc>
        <w:tc>
          <w:tcPr>
            <w:tcW w:w="990" w:type="dxa"/>
            <w:vAlign w:val="center"/>
          </w:tcPr>
          <w:p w14:paraId="7ED55A88" w14:textId="00C304B4"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sz w:val="20"/>
                <w:szCs w:val="20"/>
              </w:rPr>
              <w:t>-2</w:t>
            </w:r>
          </w:p>
        </w:tc>
        <w:tc>
          <w:tcPr>
            <w:tcW w:w="990" w:type="dxa"/>
            <w:vAlign w:val="center"/>
          </w:tcPr>
          <w:p w14:paraId="59FF1E2C" w14:textId="5498280F"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sz w:val="20"/>
                <w:szCs w:val="20"/>
              </w:rPr>
              <w:t>-2</w:t>
            </w:r>
          </w:p>
        </w:tc>
        <w:tc>
          <w:tcPr>
            <w:tcW w:w="3600" w:type="dxa"/>
            <w:vAlign w:val="center"/>
          </w:tcPr>
          <w:p w14:paraId="2B35671C" w14:textId="6C45A9E7" w:rsidR="009A553E" w:rsidRPr="009A553E" w:rsidRDefault="009A553E" w:rsidP="009A553E">
            <w:pPr>
              <w:jc w:val="left"/>
              <w:rPr>
                <w:rFonts w:ascii="Arial Narrow" w:hAnsi="Arial Narrow"/>
                <w:color w:val="000000"/>
                <w:sz w:val="20"/>
                <w:szCs w:val="20"/>
                <w:highlight w:val="yellow"/>
              </w:rPr>
            </w:pPr>
            <w:r w:rsidRPr="009A553E">
              <w:rPr>
                <w:rFonts w:ascii="Arial Narrow" w:hAnsi="Arial Narrow" w:cs="Calibri"/>
                <w:color w:val="000000"/>
                <w:sz w:val="20"/>
                <w:szCs w:val="20"/>
              </w:rPr>
              <w:t xml:space="preserve">Since sulfate levels are well below toxic levels, benthic impacts due to sulfate are unlikely. </w:t>
            </w:r>
          </w:p>
        </w:tc>
      </w:tr>
      <w:tr w:rsidR="009A553E" w:rsidRPr="007A0C83" w14:paraId="4807F4F3" w14:textId="77777777" w:rsidTr="009A553E">
        <w:trPr>
          <w:trHeight w:val="247"/>
        </w:trPr>
        <w:tc>
          <w:tcPr>
            <w:tcW w:w="2437" w:type="dxa"/>
            <w:vAlign w:val="center"/>
          </w:tcPr>
          <w:p w14:paraId="27EE9EE9" w14:textId="16BB445B" w:rsidR="009A553E" w:rsidRPr="009A553E" w:rsidRDefault="009A553E" w:rsidP="009A553E">
            <w:pPr>
              <w:jc w:val="left"/>
              <w:rPr>
                <w:rFonts w:ascii="Arial Narrow" w:hAnsi="Arial Narrow" w:cs="Calibri"/>
                <w:b/>
                <w:bCs/>
                <w:color w:val="000000"/>
                <w:sz w:val="20"/>
                <w:szCs w:val="20"/>
              </w:rPr>
            </w:pPr>
            <w:r w:rsidRPr="009A553E">
              <w:rPr>
                <w:rFonts w:ascii="Arial Narrow" w:hAnsi="Arial Narrow" w:cs="Calibri"/>
                <w:color w:val="000000"/>
                <w:sz w:val="20"/>
                <w:szCs w:val="20"/>
              </w:rPr>
              <w:t>Analogous Stressors</w:t>
            </w:r>
          </w:p>
        </w:tc>
        <w:tc>
          <w:tcPr>
            <w:tcW w:w="720" w:type="dxa"/>
            <w:vAlign w:val="center"/>
          </w:tcPr>
          <w:p w14:paraId="08530F23" w14:textId="293A049E"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-3</w:t>
            </w:r>
          </w:p>
        </w:tc>
        <w:tc>
          <w:tcPr>
            <w:tcW w:w="720" w:type="dxa"/>
            <w:vAlign w:val="center"/>
          </w:tcPr>
          <w:p w14:paraId="757877EB" w14:textId="31CFE5A9"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1</w:t>
            </w:r>
          </w:p>
        </w:tc>
        <w:tc>
          <w:tcPr>
            <w:tcW w:w="990" w:type="dxa"/>
            <w:vAlign w:val="center"/>
          </w:tcPr>
          <w:p w14:paraId="299D7A25" w14:textId="0FAA4A15"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-1</w:t>
            </w:r>
          </w:p>
        </w:tc>
        <w:tc>
          <w:tcPr>
            <w:tcW w:w="990" w:type="dxa"/>
            <w:vAlign w:val="center"/>
          </w:tcPr>
          <w:p w14:paraId="19639604" w14:textId="12E8B843"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1</w:t>
            </w:r>
          </w:p>
        </w:tc>
        <w:tc>
          <w:tcPr>
            <w:tcW w:w="3600" w:type="dxa"/>
            <w:vAlign w:val="center"/>
          </w:tcPr>
          <w:p w14:paraId="1C7ED040" w14:textId="04F19166" w:rsidR="009A553E" w:rsidRPr="009A553E" w:rsidRDefault="009A553E" w:rsidP="009A553E">
            <w:pPr>
              <w:jc w:val="left"/>
              <w:rPr>
                <w:rFonts w:ascii="Arial Narrow" w:hAnsi="Arial Narrow"/>
                <w:color w:val="000000"/>
                <w:sz w:val="20"/>
                <w:szCs w:val="20"/>
                <w:highlight w:val="yellow"/>
              </w:rPr>
            </w:pPr>
            <w:r w:rsidRPr="009A553E">
              <w:rPr>
                <w:rFonts w:ascii="Arial Narrow" w:hAnsi="Arial Narrow" w:cs="Calibri"/>
                <w:color w:val="000000"/>
                <w:sz w:val="20"/>
                <w:szCs w:val="20"/>
              </w:rPr>
              <w:t xml:space="preserve">For the analogous stressor of conductivity, median conductivity values were in the no probability range for stressor effects in Wolf Creek, medium range in Tinker Creek, low range in Roanoke River (202.20), and medium range in Roanoke River (198.08). </w:t>
            </w:r>
          </w:p>
        </w:tc>
      </w:tr>
      <w:tr w:rsidR="009A553E" w:rsidRPr="007A0C83" w14:paraId="7C23C71E" w14:textId="77777777" w:rsidTr="009A553E">
        <w:trPr>
          <w:trHeight w:val="247"/>
        </w:trPr>
        <w:tc>
          <w:tcPr>
            <w:tcW w:w="2437" w:type="dxa"/>
            <w:vAlign w:val="center"/>
          </w:tcPr>
          <w:p w14:paraId="744CF5FA" w14:textId="04D3136D" w:rsidR="009A553E" w:rsidRPr="009A553E" w:rsidRDefault="009A553E" w:rsidP="009A553E">
            <w:pPr>
              <w:jc w:val="left"/>
              <w:rPr>
                <w:rFonts w:ascii="Arial Narrow" w:hAnsi="Arial Narrow" w:cs="Calibri"/>
                <w:b/>
                <w:bCs/>
                <w:color w:val="000000"/>
                <w:sz w:val="20"/>
                <w:szCs w:val="20"/>
              </w:rPr>
            </w:pPr>
            <w:r w:rsidRPr="009A553E">
              <w:rPr>
                <w:rFonts w:ascii="Arial Narrow" w:hAnsi="Arial Narrow" w:cs="Calibri"/>
                <w:color w:val="000000"/>
                <w:sz w:val="20"/>
                <w:szCs w:val="20"/>
              </w:rPr>
              <w:t>Consistency of Evidence</w:t>
            </w:r>
          </w:p>
        </w:tc>
        <w:tc>
          <w:tcPr>
            <w:tcW w:w="720" w:type="dxa"/>
            <w:vAlign w:val="center"/>
          </w:tcPr>
          <w:p w14:paraId="478560A5" w14:textId="1065128F"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-2</w:t>
            </w:r>
          </w:p>
        </w:tc>
        <w:tc>
          <w:tcPr>
            <w:tcW w:w="720" w:type="dxa"/>
            <w:vAlign w:val="center"/>
          </w:tcPr>
          <w:p w14:paraId="62D97846" w14:textId="74F1308A"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0</w:t>
            </w:r>
          </w:p>
        </w:tc>
        <w:tc>
          <w:tcPr>
            <w:tcW w:w="990" w:type="dxa"/>
            <w:vAlign w:val="center"/>
          </w:tcPr>
          <w:p w14:paraId="4BE80991" w14:textId="27A25EDF"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-1</w:t>
            </w:r>
          </w:p>
        </w:tc>
        <w:tc>
          <w:tcPr>
            <w:tcW w:w="990" w:type="dxa"/>
            <w:vAlign w:val="center"/>
          </w:tcPr>
          <w:p w14:paraId="1FC3EE59" w14:textId="75780716"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-1</w:t>
            </w:r>
          </w:p>
        </w:tc>
        <w:tc>
          <w:tcPr>
            <w:tcW w:w="3600" w:type="dxa"/>
            <w:vAlign w:val="center"/>
          </w:tcPr>
          <w:p w14:paraId="3A9B8AAC" w14:textId="693832F2" w:rsidR="009A553E" w:rsidRPr="009A553E" w:rsidRDefault="009A553E" w:rsidP="009A553E">
            <w:pPr>
              <w:jc w:val="left"/>
              <w:rPr>
                <w:rFonts w:ascii="Arial Narrow" w:hAnsi="Arial Narrow"/>
                <w:color w:val="000000"/>
                <w:sz w:val="20"/>
                <w:szCs w:val="20"/>
                <w:highlight w:val="yellow"/>
              </w:rPr>
            </w:pPr>
            <w:r w:rsidRPr="009A553E">
              <w:rPr>
                <w:rFonts w:ascii="Arial Narrow" w:hAnsi="Arial Narrow" w:cs="Calibri"/>
                <w:color w:val="000000"/>
                <w:sz w:val="20"/>
                <w:szCs w:val="20"/>
              </w:rPr>
              <w:t xml:space="preserve">Evidence consistently refutes sulfate as a stressor in Wolf Creek, mostly refutes sulfate as a stressor in Roanoke River, and is inconsistent in Tinker Creek. </w:t>
            </w:r>
          </w:p>
        </w:tc>
      </w:tr>
      <w:tr w:rsidR="009A553E" w:rsidRPr="009A553E" w14:paraId="5202DE32" w14:textId="77777777" w:rsidTr="009A553E">
        <w:trPr>
          <w:trHeight w:val="247"/>
        </w:trPr>
        <w:tc>
          <w:tcPr>
            <w:tcW w:w="2437" w:type="dxa"/>
            <w:vAlign w:val="center"/>
          </w:tcPr>
          <w:p w14:paraId="55BBF5FE" w14:textId="2A9ED2F1" w:rsidR="009A553E" w:rsidRPr="009A553E" w:rsidRDefault="009A553E" w:rsidP="009A553E">
            <w:pPr>
              <w:jc w:val="right"/>
              <w:rPr>
                <w:rFonts w:ascii="Arial Narrow" w:hAnsi="Arial Narrow" w:cs="Calibri"/>
                <w:b/>
                <w:bCs/>
                <w:color w:val="000000"/>
                <w:sz w:val="20"/>
                <w:szCs w:val="20"/>
              </w:rPr>
            </w:pPr>
            <w:r w:rsidRPr="009A553E">
              <w:rPr>
                <w:rFonts w:ascii="Arial Narrow" w:hAnsi="Arial Narrow" w:cs="Calibri"/>
                <w:b/>
                <w:bCs/>
                <w:color w:val="000000"/>
                <w:sz w:val="20"/>
                <w:szCs w:val="20"/>
              </w:rPr>
              <w:t>Sum</w:t>
            </w:r>
          </w:p>
        </w:tc>
        <w:tc>
          <w:tcPr>
            <w:tcW w:w="720" w:type="dxa"/>
            <w:vAlign w:val="center"/>
          </w:tcPr>
          <w:p w14:paraId="26D8F77A" w14:textId="266C0994"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b/>
                <w:color w:val="000000"/>
                <w:sz w:val="20"/>
                <w:szCs w:val="20"/>
              </w:rPr>
              <w:t>-18</w:t>
            </w:r>
          </w:p>
        </w:tc>
        <w:tc>
          <w:tcPr>
            <w:tcW w:w="720" w:type="dxa"/>
            <w:vAlign w:val="center"/>
          </w:tcPr>
          <w:p w14:paraId="6C9AD3DE" w14:textId="4D4314C9"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b/>
                <w:color w:val="000000"/>
                <w:sz w:val="20"/>
                <w:szCs w:val="20"/>
              </w:rPr>
              <w:t>-2</w:t>
            </w:r>
          </w:p>
        </w:tc>
        <w:tc>
          <w:tcPr>
            <w:tcW w:w="990" w:type="dxa"/>
            <w:vAlign w:val="center"/>
          </w:tcPr>
          <w:p w14:paraId="0ABECF9B" w14:textId="73DDCE8D"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b/>
                <w:color w:val="000000"/>
                <w:sz w:val="20"/>
                <w:szCs w:val="20"/>
              </w:rPr>
              <w:t>-14</w:t>
            </w:r>
          </w:p>
        </w:tc>
        <w:tc>
          <w:tcPr>
            <w:tcW w:w="990" w:type="dxa"/>
            <w:vAlign w:val="center"/>
          </w:tcPr>
          <w:p w14:paraId="552F2CC6" w14:textId="720AD4C3"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b/>
                <w:color w:val="000000"/>
                <w:sz w:val="20"/>
                <w:szCs w:val="20"/>
              </w:rPr>
              <w:t>-9</w:t>
            </w:r>
          </w:p>
        </w:tc>
        <w:tc>
          <w:tcPr>
            <w:tcW w:w="3600" w:type="dxa"/>
            <w:vAlign w:val="center"/>
          </w:tcPr>
          <w:p w14:paraId="0DD57C01" w14:textId="77777777" w:rsidR="009A553E" w:rsidRPr="009A553E" w:rsidRDefault="009A553E" w:rsidP="009A553E">
            <w:pPr>
              <w:jc w:val="left"/>
              <w:rPr>
                <w:rFonts w:ascii="Arial Narrow" w:hAnsi="Arial Narrow"/>
                <w:b/>
                <w:color w:val="000000"/>
                <w:sz w:val="20"/>
                <w:szCs w:val="20"/>
                <w:highlight w:val="yellow"/>
              </w:rPr>
            </w:pPr>
          </w:p>
        </w:tc>
      </w:tr>
    </w:tbl>
    <w:p w14:paraId="10E1203F" w14:textId="4F3FBF49" w:rsidR="008A1F50" w:rsidRDefault="008A1F50" w:rsidP="005E4B50">
      <w:pPr>
        <w:pStyle w:val="BlockText"/>
        <w:spacing w:before="0" w:after="0" w:line="240" w:lineRule="auto"/>
        <w:rPr>
          <w:highlight w:val="yellow"/>
        </w:rPr>
      </w:pPr>
    </w:p>
    <w:p w14:paraId="1C08EB02" w14:textId="77777777" w:rsidR="00B32C1C" w:rsidRPr="006755B7" w:rsidRDefault="00B32C1C" w:rsidP="00B32C1C">
      <w:pPr>
        <w:pStyle w:val="Heading2"/>
      </w:pPr>
      <w:bookmarkStart w:id="232" w:name="_Ref51923396"/>
      <w:bookmarkStart w:id="233" w:name="_Toc162948196"/>
      <w:r w:rsidRPr="006755B7">
        <w:t>Suspended Solids and Deposited Sediment</w:t>
      </w:r>
      <w:bookmarkEnd w:id="232"/>
      <w:bookmarkEnd w:id="233"/>
    </w:p>
    <w:p w14:paraId="0AF26521" w14:textId="49F7B683" w:rsidR="005F4F48" w:rsidRDefault="00B32C1C" w:rsidP="00B32C1C">
      <w:pPr>
        <w:pStyle w:val="BlockText"/>
      </w:pPr>
      <w:r w:rsidRPr="006755B7">
        <w:fldChar w:fldCharType="begin"/>
      </w:r>
      <w:r w:rsidRPr="006755B7">
        <w:instrText xml:space="preserve"> REF _Ref50647137 \h  \* MERGEFORMAT </w:instrText>
      </w:r>
      <w:r w:rsidRPr="006755B7">
        <w:fldChar w:fldCharType="separate"/>
      </w:r>
      <w:r w:rsidR="004A78BF" w:rsidRPr="006755B7">
        <w:t xml:space="preserve">Table </w:t>
      </w:r>
      <w:r w:rsidR="004A78BF">
        <w:rPr>
          <w:noProof/>
        </w:rPr>
        <w:t>36</w:t>
      </w:r>
      <w:r w:rsidRPr="006755B7">
        <w:fldChar w:fldCharType="end"/>
      </w:r>
      <w:r w:rsidRPr="006755B7">
        <w:t xml:space="preserve"> shows the causal analysis results for suspended solids and deposited sediment</w:t>
      </w:r>
      <w:r>
        <w:t xml:space="preserve">. </w:t>
      </w:r>
      <w:r w:rsidR="005F4F48">
        <w:t>The t</w:t>
      </w:r>
      <w:r w:rsidRPr="006755B7">
        <w:t>otal causal analysis score</w:t>
      </w:r>
      <w:r w:rsidR="005F4F48">
        <w:t xml:space="preserve"> in Roanoke River (198.08) was -12, indicating that there is strong evidence that sediment is not a stressor at this location. At Roanoke River (202.20) and the other project streams, total causal analysis scores ranged from +6 to +13, indicating that there is moderate to strong evidence that sediment is a stressor at these locations. </w:t>
      </w:r>
    </w:p>
    <w:p w14:paraId="3EC4FC0D" w14:textId="01A03865" w:rsidR="00C111A5" w:rsidRDefault="005F4F48" w:rsidP="00B32C1C">
      <w:pPr>
        <w:pStyle w:val="BlockText"/>
      </w:pPr>
      <w:r>
        <w:t xml:space="preserve">At Roanoke River (198.08), </w:t>
      </w:r>
      <w:r w:rsidR="00561F1A">
        <w:t xml:space="preserve">total </w:t>
      </w:r>
      <w:r w:rsidR="00315F96">
        <w:t xml:space="preserve">habitat scores were </w:t>
      </w:r>
      <w:r w:rsidR="00561F1A">
        <w:t xml:space="preserve">higher than the reference and embeddedness scores were equivalent to the reference. </w:t>
      </w:r>
      <w:r w:rsidR="00A95BC5">
        <w:t xml:space="preserve">Median habitat scores were </w:t>
      </w:r>
      <w:r w:rsidR="00561F1A">
        <w:t xml:space="preserve">in the no probability range for stressor effects. </w:t>
      </w:r>
      <w:r w:rsidR="00A95BC5">
        <w:t>In addition, relative bed stability analysis exhibited positive LRBS scores, indicating that this location is starved for sediment rather than enriched with sediment. These lines of evidence support sediment as a non-stressor at Roanoke River (198.08).</w:t>
      </w:r>
      <w:r w:rsidR="00561F1A">
        <w:t xml:space="preserve"> </w:t>
      </w:r>
    </w:p>
    <w:p w14:paraId="1D2C6FFD" w14:textId="58D6BAF9" w:rsidR="00B32C1C" w:rsidRPr="006755B7" w:rsidRDefault="00C111A5" w:rsidP="00B32C1C">
      <w:pPr>
        <w:pStyle w:val="BlockText"/>
      </w:pPr>
      <w:r>
        <w:t xml:space="preserve">In Wolf Creek, Tinker Creek, and Roanoke River (202.20), </w:t>
      </w:r>
      <w:r w:rsidR="00A95BC5">
        <w:t xml:space="preserve">several </w:t>
      </w:r>
      <w:r>
        <w:t xml:space="preserve">lines of evidence </w:t>
      </w:r>
      <w:r w:rsidR="00B32C1C" w:rsidRPr="006755B7">
        <w:t>support sediment as a probable stressor</w:t>
      </w:r>
      <w:r w:rsidR="00A95BC5">
        <w:t>. These lines of evidence include</w:t>
      </w:r>
      <w:r w:rsidR="00B32C1C" w:rsidRPr="006755B7">
        <w:t xml:space="preserve">:  </w:t>
      </w:r>
    </w:p>
    <w:p w14:paraId="7A58D673" w14:textId="129B787D" w:rsidR="00A95BC5" w:rsidRDefault="00A95BC5" w:rsidP="00B32C1C">
      <w:pPr>
        <w:pStyle w:val="BlockText"/>
        <w:numPr>
          <w:ilvl w:val="0"/>
          <w:numId w:val="4"/>
        </w:numPr>
      </w:pPr>
      <w:r>
        <w:t xml:space="preserve">Total habitat scores were slightly lower than the reference in Wolf Creek and statistically significantly lower than the reference in Tinker Creek and Roanoke River (202.20). </w:t>
      </w:r>
    </w:p>
    <w:p w14:paraId="4CD10298" w14:textId="7EB2B76C" w:rsidR="00B32C1C" w:rsidRDefault="00B32C1C" w:rsidP="00B32C1C">
      <w:pPr>
        <w:pStyle w:val="BlockText"/>
        <w:numPr>
          <w:ilvl w:val="0"/>
          <w:numId w:val="4"/>
        </w:numPr>
      </w:pPr>
      <w:r>
        <w:t>Median total habitat scores were in the medium probability range for stressor effects</w:t>
      </w:r>
      <w:r w:rsidR="00A95BC5">
        <w:t xml:space="preserve"> in Wolf Creek and high probability range in Tinker Creek</w:t>
      </w:r>
      <w:r>
        <w:t>.</w:t>
      </w:r>
    </w:p>
    <w:p w14:paraId="095D5837" w14:textId="227A8F3C" w:rsidR="00B32C1C" w:rsidRDefault="00B32C1C" w:rsidP="00B32C1C">
      <w:pPr>
        <w:pStyle w:val="BlockText"/>
        <w:numPr>
          <w:ilvl w:val="0"/>
          <w:numId w:val="4"/>
        </w:numPr>
      </w:pPr>
      <w:r>
        <w:t xml:space="preserve">Individual </w:t>
      </w:r>
      <w:r w:rsidRPr="006755B7">
        <w:t xml:space="preserve">habitat metrics </w:t>
      </w:r>
      <w:r w:rsidR="00573E97">
        <w:t xml:space="preserve">for embeddedness </w:t>
      </w:r>
      <w:r w:rsidRPr="006755B7">
        <w:t xml:space="preserve">were significantly lower in </w:t>
      </w:r>
      <w:r w:rsidR="00573E97">
        <w:t xml:space="preserve">each of these </w:t>
      </w:r>
      <w:r>
        <w:t xml:space="preserve">streams </w:t>
      </w:r>
      <w:r w:rsidRPr="006755B7">
        <w:t>than in the reference.</w:t>
      </w:r>
    </w:p>
    <w:p w14:paraId="52D5B0A3" w14:textId="2CC3871F" w:rsidR="00647D86" w:rsidRPr="006755B7" w:rsidRDefault="00647D86" w:rsidP="00B32C1C">
      <w:pPr>
        <w:pStyle w:val="BlockText"/>
        <w:numPr>
          <w:ilvl w:val="0"/>
          <w:numId w:val="4"/>
        </w:numPr>
      </w:pPr>
      <w:r>
        <w:t>Seasonal trends of lower spring benthic scores correspond to higher spring flows and sediment loads.</w:t>
      </w:r>
    </w:p>
    <w:p w14:paraId="791866CE" w14:textId="2F2B3F23" w:rsidR="00B32C1C" w:rsidRPr="006755B7" w:rsidRDefault="00B32C1C" w:rsidP="00B32C1C">
      <w:pPr>
        <w:pStyle w:val="BlockText"/>
        <w:numPr>
          <w:ilvl w:val="0"/>
          <w:numId w:val="4"/>
        </w:numPr>
      </w:pPr>
      <w:r w:rsidRPr="006755B7">
        <w:t xml:space="preserve">Biological Condition Gradient </w:t>
      </w:r>
      <w:r w:rsidR="00573E97">
        <w:t xml:space="preserve">(BCG) </w:t>
      </w:r>
      <w:r w:rsidR="00CC60A2">
        <w:t>attribut</w:t>
      </w:r>
      <w:r w:rsidR="007E2E2D">
        <w:t>e</w:t>
      </w:r>
      <w:r w:rsidR="00CC60A2">
        <w:t xml:space="preserve"> </w:t>
      </w:r>
      <w:r w:rsidR="00573E97">
        <w:t xml:space="preserve">analysis identified sediment-associated taxa in Wolf Creek and Tinker Creek. Average BCG </w:t>
      </w:r>
      <w:r w:rsidR="00CC60A2">
        <w:t>attribut</w:t>
      </w:r>
      <w:r w:rsidR="007E2E2D">
        <w:t>e</w:t>
      </w:r>
      <w:r w:rsidR="00CC60A2">
        <w:t xml:space="preserve"> </w:t>
      </w:r>
      <w:r w:rsidRPr="006755B7">
        <w:t xml:space="preserve">scores ranked </w:t>
      </w:r>
      <w:r w:rsidR="00573E97">
        <w:t xml:space="preserve">as the second highest stressor in Roanoke River (202.20). </w:t>
      </w:r>
      <w:r>
        <w:t xml:space="preserve"> </w:t>
      </w:r>
    </w:p>
    <w:p w14:paraId="382CD330" w14:textId="77777777" w:rsidR="00B32C1C" w:rsidRPr="006755B7" w:rsidRDefault="00B32C1C" w:rsidP="00B32C1C">
      <w:pPr>
        <w:pStyle w:val="BlockText"/>
        <w:numPr>
          <w:ilvl w:val="0"/>
          <w:numId w:val="4"/>
        </w:numPr>
      </w:pPr>
      <w:r w:rsidRPr="006755B7">
        <w:t xml:space="preserve">Functional feeding group analysis indicated </w:t>
      </w:r>
      <w:r>
        <w:t xml:space="preserve">a </w:t>
      </w:r>
      <w:r w:rsidRPr="006755B7">
        <w:t xml:space="preserve">shift to collectors that </w:t>
      </w:r>
      <w:r>
        <w:t xml:space="preserve">thrive in sediment-rich habitats. </w:t>
      </w:r>
    </w:p>
    <w:p w14:paraId="0BB21731" w14:textId="0E7D7621" w:rsidR="00B32C1C" w:rsidRPr="006755B7" w:rsidRDefault="00B32C1C" w:rsidP="00B32C1C">
      <w:pPr>
        <w:pStyle w:val="BlockText"/>
      </w:pPr>
      <w:r w:rsidRPr="006755B7">
        <w:t xml:space="preserve">For these reasons and others explained in </w:t>
      </w:r>
      <w:r w:rsidRPr="006755B7">
        <w:fldChar w:fldCharType="begin"/>
      </w:r>
      <w:r w:rsidRPr="006755B7">
        <w:instrText xml:space="preserve"> REF _Ref50647137 \h  \* MERGEFORMAT </w:instrText>
      </w:r>
      <w:r w:rsidRPr="006755B7">
        <w:fldChar w:fldCharType="separate"/>
      </w:r>
      <w:r w:rsidR="004A78BF" w:rsidRPr="006755B7">
        <w:t xml:space="preserve">Table </w:t>
      </w:r>
      <w:r w:rsidR="004A78BF">
        <w:rPr>
          <w:noProof/>
        </w:rPr>
        <w:t>36</w:t>
      </w:r>
      <w:r w:rsidRPr="006755B7">
        <w:fldChar w:fldCharType="end"/>
      </w:r>
      <w:r w:rsidRPr="006755B7">
        <w:t xml:space="preserve">, suspended solids and deposited sediment were categorized as </w:t>
      </w:r>
      <w:r w:rsidR="00573E97">
        <w:t>non-stressor</w:t>
      </w:r>
      <w:r w:rsidR="00647D86">
        <w:t>s</w:t>
      </w:r>
      <w:r w:rsidR="00573E97">
        <w:t xml:space="preserve"> in Roanoke River (198.08) and </w:t>
      </w:r>
      <w:r w:rsidRPr="006755B7">
        <w:t>probable stressors</w:t>
      </w:r>
      <w:r>
        <w:t xml:space="preserve"> in </w:t>
      </w:r>
      <w:r w:rsidR="00573E97">
        <w:t>Wolf Creek, Tinker Creek, and Roanoke River (202.20)</w:t>
      </w:r>
      <w:r w:rsidRPr="006755B7">
        <w:t>.</w:t>
      </w:r>
    </w:p>
    <w:p w14:paraId="4A306A9F" w14:textId="77777777" w:rsidR="00B32C1C" w:rsidRPr="006755B7" w:rsidRDefault="00B32C1C" w:rsidP="00B32C1C">
      <w:pPr>
        <w:pStyle w:val="Caption"/>
      </w:pPr>
    </w:p>
    <w:p w14:paraId="3E773BF7" w14:textId="3F34A0B6" w:rsidR="00B32C1C" w:rsidRPr="006755B7" w:rsidRDefault="00B32C1C" w:rsidP="00B32C1C">
      <w:pPr>
        <w:pStyle w:val="Caption"/>
      </w:pPr>
      <w:bookmarkStart w:id="234" w:name="_Ref50647137"/>
      <w:bookmarkStart w:id="235" w:name="_Toc162948303"/>
      <w:r w:rsidRPr="006755B7">
        <w:t xml:space="preserve">Table </w:t>
      </w:r>
      <w:r w:rsidRPr="006755B7">
        <w:rPr>
          <w:noProof/>
        </w:rPr>
        <w:fldChar w:fldCharType="begin"/>
      </w:r>
      <w:r w:rsidRPr="006755B7">
        <w:rPr>
          <w:noProof/>
        </w:rPr>
        <w:instrText xml:space="preserve"> SEQ Table \* ARABIC </w:instrText>
      </w:r>
      <w:r w:rsidRPr="006755B7">
        <w:rPr>
          <w:noProof/>
        </w:rPr>
        <w:fldChar w:fldCharType="separate"/>
      </w:r>
      <w:r w:rsidR="004A78BF">
        <w:rPr>
          <w:noProof/>
        </w:rPr>
        <w:t>36</w:t>
      </w:r>
      <w:r w:rsidRPr="006755B7">
        <w:rPr>
          <w:noProof/>
        </w:rPr>
        <w:fldChar w:fldCharType="end"/>
      </w:r>
      <w:bookmarkEnd w:id="234"/>
      <w:r w:rsidRPr="006755B7">
        <w:t>. Causal analysis results for suspended solids and deposited sediment.</w:t>
      </w:r>
      <w:bookmarkEnd w:id="235"/>
    </w:p>
    <w:tbl>
      <w:tblPr>
        <w:tblW w:w="9457"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7"/>
        <w:gridCol w:w="720"/>
        <w:gridCol w:w="720"/>
        <w:gridCol w:w="990"/>
        <w:gridCol w:w="990"/>
        <w:gridCol w:w="3600"/>
      </w:tblGrid>
      <w:tr w:rsidR="00250E0C" w:rsidRPr="007A0C83" w14:paraId="14605E99" w14:textId="77777777" w:rsidTr="009A553E">
        <w:trPr>
          <w:cantSplit/>
          <w:trHeight w:hRule="exact" w:val="1080"/>
        </w:trPr>
        <w:tc>
          <w:tcPr>
            <w:tcW w:w="2437" w:type="dxa"/>
            <w:shd w:val="clear" w:color="auto" w:fill="D9D9D9" w:themeFill="background1" w:themeFillShade="D9"/>
            <w:vAlign w:val="center"/>
          </w:tcPr>
          <w:p w14:paraId="1A66C5F8" w14:textId="77777777" w:rsidR="00250E0C" w:rsidRPr="00396EC1" w:rsidRDefault="00250E0C" w:rsidP="009A553E">
            <w:pPr>
              <w:jc w:val="center"/>
              <w:rPr>
                <w:rFonts w:ascii="Arial Narrow" w:hAnsi="Arial Narrow"/>
                <w:b/>
                <w:sz w:val="20"/>
                <w:szCs w:val="20"/>
              </w:rPr>
            </w:pPr>
            <w:r w:rsidRPr="00396EC1">
              <w:rPr>
                <w:rFonts w:ascii="Arial Narrow" w:hAnsi="Arial Narrow"/>
                <w:b/>
                <w:sz w:val="20"/>
                <w:szCs w:val="20"/>
              </w:rPr>
              <w:t>Evidence</w:t>
            </w:r>
          </w:p>
        </w:tc>
        <w:tc>
          <w:tcPr>
            <w:tcW w:w="720" w:type="dxa"/>
            <w:shd w:val="clear" w:color="auto" w:fill="D9D9D9" w:themeFill="background1" w:themeFillShade="D9"/>
            <w:vAlign w:val="center"/>
          </w:tcPr>
          <w:p w14:paraId="73C56A4C" w14:textId="77777777" w:rsidR="00250E0C" w:rsidRPr="00396EC1" w:rsidRDefault="00250E0C" w:rsidP="009A553E">
            <w:pPr>
              <w:jc w:val="center"/>
              <w:rPr>
                <w:rFonts w:ascii="Arial Narrow" w:hAnsi="Arial Narrow"/>
                <w:b/>
                <w:sz w:val="20"/>
                <w:szCs w:val="20"/>
              </w:rPr>
            </w:pPr>
            <w:r>
              <w:rPr>
                <w:rFonts w:ascii="Arial Narrow" w:hAnsi="Arial Narrow"/>
                <w:b/>
                <w:sz w:val="20"/>
                <w:szCs w:val="20"/>
              </w:rPr>
              <w:t>Wolf Creek</w:t>
            </w:r>
          </w:p>
        </w:tc>
        <w:tc>
          <w:tcPr>
            <w:tcW w:w="720" w:type="dxa"/>
            <w:shd w:val="clear" w:color="auto" w:fill="D9D9D9" w:themeFill="background1" w:themeFillShade="D9"/>
            <w:vAlign w:val="center"/>
          </w:tcPr>
          <w:p w14:paraId="778BD014" w14:textId="77777777" w:rsidR="00250E0C" w:rsidRPr="00396EC1" w:rsidRDefault="00250E0C" w:rsidP="009A553E">
            <w:pPr>
              <w:jc w:val="center"/>
              <w:rPr>
                <w:rFonts w:ascii="Arial Narrow" w:hAnsi="Arial Narrow"/>
                <w:b/>
                <w:sz w:val="20"/>
                <w:szCs w:val="20"/>
              </w:rPr>
            </w:pPr>
            <w:r>
              <w:rPr>
                <w:rFonts w:ascii="Arial Narrow" w:hAnsi="Arial Narrow"/>
                <w:b/>
                <w:sz w:val="20"/>
                <w:szCs w:val="20"/>
              </w:rPr>
              <w:t>Tinker Creek</w:t>
            </w:r>
          </w:p>
        </w:tc>
        <w:tc>
          <w:tcPr>
            <w:tcW w:w="990" w:type="dxa"/>
            <w:shd w:val="clear" w:color="auto" w:fill="D9D9D9" w:themeFill="background1" w:themeFillShade="D9"/>
            <w:vAlign w:val="center"/>
          </w:tcPr>
          <w:p w14:paraId="49BA93D0" w14:textId="77777777" w:rsidR="00250E0C" w:rsidRPr="00396EC1" w:rsidRDefault="00250E0C" w:rsidP="009A553E">
            <w:pPr>
              <w:jc w:val="center"/>
              <w:rPr>
                <w:rFonts w:ascii="Arial Narrow" w:hAnsi="Arial Narrow"/>
                <w:b/>
                <w:sz w:val="20"/>
                <w:szCs w:val="20"/>
              </w:rPr>
            </w:pPr>
            <w:r>
              <w:rPr>
                <w:rFonts w:ascii="Arial Narrow" w:hAnsi="Arial Narrow"/>
                <w:b/>
                <w:sz w:val="20"/>
                <w:szCs w:val="20"/>
              </w:rPr>
              <w:t>Roanoke River (202.20)</w:t>
            </w:r>
          </w:p>
        </w:tc>
        <w:tc>
          <w:tcPr>
            <w:tcW w:w="990" w:type="dxa"/>
            <w:shd w:val="clear" w:color="auto" w:fill="D9D9D9" w:themeFill="background1" w:themeFillShade="D9"/>
            <w:vAlign w:val="center"/>
          </w:tcPr>
          <w:p w14:paraId="15C578D8" w14:textId="77777777" w:rsidR="00250E0C" w:rsidRPr="00396EC1" w:rsidRDefault="00250E0C" w:rsidP="009A553E">
            <w:pPr>
              <w:jc w:val="center"/>
              <w:rPr>
                <w:rFonts w:ascii="Arial Narrow" w:hAnsi="Arial Narrow"/>
                <w:b/>
                <w:sz w:val="20"/>
                <w:szCs w:val="20"/>
              </w:rPr>
            </w:pPr>
            <w:r>
              <w:rPr>
                <w:rFonts w:ascii="Arial Narrow" w:hAnsi="Arial Narrow"/>
                <w:b/>
                <w:sz w:val="20"/>
                <w:szCs w:val="20"/>
              </w:rPr>
              <w:t>Roanoke River (198.08)</w:t>
            </w:r>
          </w:p>
        </w:tc>
        <w:tc>
          <w:tcPr>
            <w:tcW w:w="3600" w:type="dxa"/>
            <w:shd w:val="clear" w:color="auto" w:fill="D9D9D9" w:themeFill="background1" w:themeFillShade="D9"/>
            <w:vAlign w:val="center"/>
          </w:tcPr>
          <w:p w14:paraId="53B9A79F" w14:textId="77777777" w:rsidR="00250E0C" w:rsidRPr="00613B31" w:rsidRDefault="00250E0C" w:rsidP="009A553E">
            <w:pPr>
              <w:jc w:val="center"/>
              <w:rPr>
                <w:rFonts w:ascii="Arial Narrow" w:hAnsi="Arial Narrow"/>
                <w:b/>
                <w:sz w:val="20"/>
                <w:szCs w:val="20"/>
              </w:rPr>
            </w:pPr>
            <w:r w:rsidRPr="00396EC1">
              <w:rPr>
                <w:rFonts w:ascii="Arial Narrow" w:hAnsi="Arial Narrow"/>
                <w:b/>
                <w:sz w:val="20"/>
                <w:szCs w:val="20"/>
              </w:rPr>
              <w:t>Explanation</w:t>
            </w:r>
          </w:p>
        </w:tc>
      </w:tr>
      <w:tr w:rsidR="009A553E" w:rsidRPr="007A0C83" w14:paraId="2D1501F7" w14:textId="77777777" w:rsidTr="009A553E">
        <w:trPr>
          <w:trHeight w:val="247"/>
        </w:trPr>
        <w:tc>
          <w:tcPr>
            <w:tcW w:w="2437" w:type="dxa"/>
            <w:vAlign w:val="center"/>
          </w:tcPr>
          <w:p w14:paraId="5019D345" w14:textId="58F9FA29" w:rsidR="009A553E" w:rsidRPr="009A553E" w:rsidRDefault="009A553E" w:rsidP="009A553E">
            <w:pPr>
              <w:jc w:val="left"/>
              <w:rPr>
                <w:rFonts w:ascii="Arial Narrow" w:hAnsi="Arial Narrow"/>
                <w:sz w:val="20"/>
                <w:szCs w:val="20"/>
                <w:highlight w:val="yellow"/>
              </w:rPr>
            </w:pPr>
            <w:r w:rsidRPr="009A553E">
              <w:rPr>
                <w:rFonts w:ascii="Arial Narrow" w:hAnsi="Arial Narrow" w:cs="Calibri"/>
                <w:color w:val="000000"/>
                <w:sz w:val="20"/>
                <w:szCs w:val="20"/>
              </w:rPr>
              <w:t>Spatial Co-occurrence</w:t>
            </w:r>
          </w:p>
        </w:tc>
        <w:tc>
          <w:tcPr>
            <w:tcW w:w="720" w:type="dxa"/>
            <w:vAlign w:val="center"/>
          </w:tcPr>
          <w:p w14:paraId="09CAE70B" w14:textId="36EA5C4F" w:rsidR="009A553E" w:rsidRPr="009A553E" w:rsidRDefault="009A553E" w:rsidP="009A553E">
            <w:pPr>
              <w:jc w:val="center"/>
              <w:rPr>
                <w:rFonts w:ascii="Arial Narrow" w:hAnsi="Arial Narrow" w:cs="Calibri"/>
                <w:color w:val="000000"/>
                <w:sz w:val="20"/>
                <w:szCs w:val="20"/>
              </w:rPr>
            </w:pPr>
            <w:r w:rsidRPr="009A553E">
              <w:rPr>
                <w:rFonts w:ascii="Arial Narrow" w:hAnsi="Arial Narrow" w:cs="Calibri"/>
                <w:color w:val="000000"/>
                <w:sz w:val="20"/>
                <w:szCs w:val="20"/>
              </w:rPr>
              <w:t>-1</w:t>
            </w:r>
          </w:p>
        </w:tc>
        <w:tc>
          <w:tcPr>
            <w:tcW w:w="720" w:type="dxa"/>
            <w:vAlign w:val="center"/>
          </w:tcPr>
          <w:p w14:paraId="480E56D4" w14:textId="63A67D22" w:rsidR="009A553E" w:rsidRPr="009A553E" w:rsidRDefault="009A553E" w:rsidP="009A553E">
            <w:pPr>
              <w:jc w:val="center"/>
              <w:rPr>
                <w:rFonts w:ascii="Arial Narrow" w:hAnsi="Arial Narrow" w:cs="Calibri"/>
                <w:color w:val="000000"/>
                <w:sz w:val="20"/>
                <w:szCs w:val="20"/>
              </w:rPr>
            </w:pPr>
            <w:r w:rsidRPr="009A553E">
              <w:rPr>
                <w:rFonts w:ascii="Arial Narrow" w:hAnsi="Arial Narrow" w:cs="Calibri"/>
                <w:color w:val="000000"/>
                <w:sz w:val="20"/>
                <w:szCs w:val="20"/>
              </w:rPr>
              <w:t>2</w:t>
            </w:r>
          </w:p>
        </w:tc>
        <w:tc>
          <w:tcPr>
            <w:tcW w:w="990" w:type="dxa"/>
            <w:vAlign w:val="center"/>
          </w:tcPr>
          <w:p w14:paraId="6925E7F1" w14:textId="07B99F21" w:rsidR="009A553E" w:rsidRPr="009A553E" w:rsidRDefault="009A553E" w:rsidP="009A553E">
            <w:pPr>
              <w:jc w:val="center"/>
              <w:rPr>
                <w:rFonts w:ascii="Arial Narrow" w:hAnsi="Arial Narrow" w:cs="Calibri"/>
                <w:color w:val="000000"/>
                <w:sz w:val="20"/>
                <w:szCs w:val="20"/>
              </w:rPr>
            </w:pPr>
            <w:r w:rsidRPr="009A553E">
              <w:rPr>
                <w:rFonts w:ascii="Arial Narrow" w:hAnsi="Arial Narrow" w:cs="Calibri"/>
                <w:color w:val="000000"/>
                <w:sz w:val="20"/>
                <w:szCs w:val="20"/>
              </w:rPr>
              <w:t>2</w:t>
            </w:r>
          </w:p>
        </w:tc>
        <w:tc>
          <w:tcPr>
            <w:tcW w:w="990" w:type="dxa"/>
            <w:vAlign w:val="center"/>
          </w:tcPr>
          <w:p w14:paraId="6E3FFC16" w14:textId="4AC4B34D" w:rsidR="009A553E" w:rsidRPr="009A553E" w:rsidRDefault="009A553E" w:rsidP="009A553E">
            <w:pPr>
              <w:jc w:val="center"/>
              <w:rPr>
                <w:rFonts w:ascii="Arial Narrow" w:hAnsi="Arial Narrow"/>
                <w:color w:val="000000"/>
                <w:sz w:val="20"/>
                <w:szCs w:val="20"/>
                <w:highlight w:val="yellow"/>
              </w:rPr>
            </w:pPr>
            <w:r w:rsidRPr="009A553E">
              <w:rPr>
                <w:rFonts w:ascii="Arial Narrow" w:hAnsi="Arial Narrow" w:cs="Calibri"/>
                <w:color w:val="000000"/>
                <w:sz w:val="20"/>
                <w:szCs w:val="20"/>
              </w:rPr>
              <w:t>-3</w:t>
            </w:r>
          </w:p>
        </w:tc>
        <w:tc>
          <w:tcPr>
            <w:tcW w:w="3600" w:type="dxa"/>
            <w:vAlign w:val="center"/>
          </w:tcPr>
          <w:p w14:paraId="27B6DBA5" w14:textId="3C3EF76B" w:rsidR="009A553E" w:rsidRPr="009A553E" w:rsidRDefault="009A553E" w:rsidP="009A553E">
            <w:pPr>
              <w:jc w:val="left"/>
              <w:rPr>
                <w:rFonts w:ascii="Arial Narrow" w:hAnsi="Arial Narrow"/>
                <w:color w:val="000000"/>
                <w:sz w:val="20"/>
                <w:szCs w:val="20"/>
                <w:highlight w:val="yellow"/>
              </w:rPr>
            </w:pPr>
            <w:r w:rsidRPr="009A553E">
              <w:rPr>
                <w:rFonts w:ascii="Arial Narrow" w:hAnsi="Arial Narrow" w:cs="Calibri"/>
                <w:color w:val="000000"/>
                <w:sz w:val="20"/>
                <w:szCs w:val="20"/>
              </w:rPr>
              <w:t>SCI scores were impaired in each of the streams, and habitat scores were statistically lower in Tinker Creek and Roanoke River (202.02) than in the applicable reference. Habitat scores were not statistically different from the reference in Wolf Creek and were higher than the reference at Roanoke River (198.08).</w:t>
            </w:r>
          </w:p>
        </w:tc>
      </w:tr>
      <w:tr w:rsidR="009A553E" w:rsidRPr="007A0C83" w14:paraId="1195E37F" w14:textId="77777777" w:rsidTr="009A553E">
        <w:trPr>
          <w:trHeight w:val="247"/>
        </w:trPr>
        <w:tc>
          <w:tcPr>
            <w:tcW w:w="2437" w:type="dxa"/>
            <w:vAlign w:val="center"/>
          </w:tcPr>
          <w:p w14:paraId="19F91CFA" w14:textId="1FD8EC19" w:rsidR="009A553E" w:rsidRPr="009A553E" w:rsidRDefault="009A553E" w:rsidP="009A553E">
            <w:pPr>
              <w:jc w:val="left"/>
              <w:rPr>
                <w:rFonts w:ascii="Arial Narrow" w:hAnsi="Arial Narrow"/>
                <w:sz w:val="20"/>
                <w:szCs w:val="20"/>
                <w:highlight w:val="yellow"/>
              </w:rPr>
            </w:pPr>
            <w:r w:rsidRPr="009A553E">
              <w:rPr>
                <w:rFonts w:ascii="Arial Narrow" w:hAnsi="Arial Narrow" w:cs="Calibri"/>
                <w:color w:val="000000"/>
                <w:sz w:val="20"/>
                <w:szCs w:val="20"/>
              </w:rPr>
              <w:t>Temporal Co-occurrence</w:t>
            </w:r>
          </w:p>
        </w:tc>
        <w:tc>
          <w:tcPr>
            <w:tcW w:w="720" w:type="dxa"/>
            <w:vAlign w:val="center"/>
          </w:tcPr>
          <w:p w14:paraId="04D957CC" w14:textId="1E5B2131" w:rsidR="009A553E" w:rsidRPr="009A553E" w:rsidRDefault="009A553E" w:rsidP="009A553E">
            <w:pPr>
              <w:jc w:val="center"/>
              <w:rPr>
                <w:rFonts w:ascii="Arial Narrow" w:hAnsi="Arial Narrow" w:cs="Calibri"/>
                <w:color w:val="000000"/>
                <w:sz w:val="20"/>
                <w:szCs w:val="20"/>
              </w:rPr>
            </w:pPr>
            <w:r w:rsidRPr="009A553E">
              <w:rPr>
                <w:rFonts w:ascii="Arial Narrow" w:hAnsi="Arial Narrow" w:cs="Calibri"/>
                <w:color w:val="000000"/>
                <w:sz w:val="20"/>
                <w:szCs w:val="20"/>
              </w:rPr>
              <w:t>1</w:t>
            </w:r>
          </w:p>
        </w:tc>
        <w:tc>
          <w:tcPr>
            <w:tcW w:w="720" w:type="dxa"/>
            <w:vAlign w:val="center"/>
          </w:tcPr>
          <w:p w14:paraId="2109F0B2" w14:textId="27025C6F" w:rsidR="009A553E" w:rsidRPr="009A553E" w:rsidRDefault="009A553E" w:rsidP="009A553E">
            <w:pPr>
              <w:jc w:val="center"/>
              <w:rPr>
                <w:rFonts w:ascii="Arial Narrow" w:hAnsi="Arial Narrow" w:cs="Calibri"/>
                <w:color w:val="000000"/>
                <w:sz w:val="20"/>
                <w:szCs w:val="20"/>
              </w:rPr>
            </w:pPr>
            <w:r w:rsidRPr="009A553E">
              <w:rPr>
                <w:rFonts w:ascii="Arial Narrow" w:hAnsi="Arial Narrow" w:cs="Calibri"/>
                <w:color w:val="000000"/>
                <w:sz w:val="20"/>
                <w:szCs w:val="20"/>
              </w:rPr>
              <w:t>2</w:t>
            </w:r>
          </w:p>
        </w:tc>
        <w:tc>
          <w:tcPr>
            <w:tcW w:w="990" w:type="dxa"/>
            <w:vAlign w:val="center"/>
          </w:tcPr>
          <w:p w14:paraId="1563B05D" w14:textId="52F55E9C" w:rsidR="009A553E" w:rsidRPr="009A553E" w:rsidRDefault="009A553E" w:rsidP="009A553E">
            <w:pPr>
              <w:jc w:val="center"/>
              <w:rPr>
                <w:rFonts w:ascii="Arial Narrow" w:hAnsi="Arial Narrow" w:cs="Calibri"/>
                <w:color w:val="000000"/>
                <w:sz w:val="20"/>
                <w:szCs w:val="20"/>
              </w:rPr>
            </w:pPr>
            <w:r w:rsidRPr="009A553E">
              <w:rPr>
                <w:rFonts w:ascii="Arial Narrow" w:hAnsi="Arial Narrow" w:cs="Calibri"/>
                <w:color w:val="000000"/>
                <w:sz w:val="20"/>
                <w:szCs w:val="20"/>
              </w:rPr>
              <w:t>1</w:t>
            </w:r>
          </w:p>
        </w:tc>
        <w:tc>
          <w:tcPr>
            <w:tcW w:w="990" w:type="dxa"/>
            <w:vAlign w:val="center"/>
          </w:tcPr>
          <w:p w14:paraId="2C718F24" w14:textId="425CD9FD" w:rsidR="009A553E" w:rsidRPr="009A553E" w:rsidRDefault="009A553E" w:rsidP="009A553E">
            <w:pPr>
              <w:jc w:val="center"/>
              <w:rPr>
                <w:rFonts w:ascii="Arial Narrow" w:hAnsi="Arial Narrow"/>
                <w:color w:val="000000"/>
                <w:sz w:val="20"/>
                <w:szCs w:val="20"/>
                <w:highlight w:val="yellow"/>
              </w:rPr>
            </w:pPr>
            <w:r w:rsidRPr="009A553E">
              <w:rPr>
                <w:rFonts w:ascii="Arial Narrow" w:hAnsi="Arial Narrow" w:cs="Calibri"/>
                <w:color w:val="000000"/>
                <w:sz w:val="20"/>
                <w:szCs w:val="20"/>
              </w:rPr>
              <w:t>-1</w:t>
            </w:r>
          </w:p>
        </w:tc>
        <w:tc>
          <w:tcPr>
            <w:tcW w:w="3600" w:type="dxa"/>
            <w:vAlign w:val="center"/>
          </w:tcPr>
          <w:p w14:paraId="1B8D2A21" w14:textId="11352B9E" w:rsidR="009A553E" w:rsidRPr="009A553E" w:rsidRDefault="009A553E" w:rsidP="009A553E">
            <w:pPr>
              <w:jc w:val="left"/>
              <w:rPr>
                <w:rFonts w:ascii="Arial Narrow" w:hAnsi="Arial Narrow"/>
                <w:color w:val="000000"/>
                <w:sz w:val="20"/>
                <w:szCs w:val="20"/>
                <w:highlight w:val="yellow"/>
              </w:rPr>
            </w:pPr>
            <w:r w:rsidRPr="009A553E">
              <w:rPr>
                <w:rFonts w:ascii="Arial Narrow" w:hAnsi="Arial Narrow" w:cs="Calibri"/>
                <w:color w:val="000000"/>
                <w:sz w:val="20"/>
                <w:szCs w:val="20"/>
              </w:rPr>
              <w:t>At the time of benthic sampling, habitat scores were in the medium probability range for stressor effects in Wolf Creek. In Tinker Creek, habitat scores were in the high probability range on four occasions. In Roanoke River (202.20), habitat scores were in the low to medium probability range for stressor effects. In Roanoke River (198.08), habitat scores were in the no to low probability range.</w:t>
            </w:r>
          </w:p>
        </w:tc>
      </w:tr>
      <w:tr w:rsidR="009A553E" w:rsidRPr="007A0C83" w14:paraId="2446C968" w14:textId="77777777" w:rsidTr="009A553E">
        <w:trPr>
          <w:trHeight w:val="247"/>
        </w:trPr>
        <w:tc>
          <w:tcPr>
            <w:tcW w:w="2437" w:type="dxa"/>
            <w:vAlign w:val="center"/>
          </w:tcPr>
          <w:p w14:paraId="3E4538C2" w14:textId="3878EB26" w:rsidR="009A553E" w:rsidRPr="009A553E" w:rsidRDefault="009A553E" w:rsidP="009A553E">
            <w:pPr>
              <w:jc w:val="left"/>
              <w:rPr>
                <w:rFonts w:ascii="Arial Narrow" w:hAnsi="Arial Narrow"/>
                <w:sz w:val="20"/>
                <w:szCs w:val="20"/>
                <w:highlight w:val="yellow"/>
              </w:rPr>
            </w:pPr>
            <w:r w:rsidRPr="009A553E">
              <w:rPr>
                <w:rFonts w:ascii="Arial Narrow" w:hAnsi="Arial Narrow" w:cs="Calibri"/>
                <w:color w:val="000000"/>
                <w:sz w:val="20"/>
                <w:szCs w:val="20"/>
              </w:rPr>
              <w:t>Causal Pathway</w:t>
            </w:r>
          </w:p>
        </w:tc>
        <w:tc>
          <w:tcPr>
            <w:tcW w:w="720" w:type="dxa"/>
            <w:vAlign w:val="center"/>
          </w:tcPr>
          <w:p w14:paraId="009F381B" w14:textId="20E86527" w:rsidR="009A553E" w:rsidRPr="009A553E" w:rsidRDefault="009A553E" w:rsidP="009A553E">
            <w:pPr>
              <w:jc w:val="center"/>
              <w:rPr>
                <w:rFonts w:ascii="Arial Narrow" w:hAnsi="Arial Narrow" w:cs="Calibri"/>
                <w:color w:val="000000"/>
                <w:sz w:val="20"/>
                <w:szCs w:val="20"/>
              </w:rPr>
            </w:pPr>
            <w:r w:rsidRPr="009A553E">
              <w:rPr>
                <w:rFonts w:ascii="Arial Narrow" w:hAnsi="Arial Narrow" w:cs="Calibri"/>
                <w:color w:val="000000"/>
                <w:sz w:val="20"/>
                <w:szCs w:val="20"/>
              </w:rPr>
              <w:t>2</w:t>
            </w:r>
          </w:p>
        </w:tc>
        <w:tc>
          <w:tcPr>
            <w:tcW w:w="720" w:type="dxa"/>
            <w:vAlign w:val="center"/>
          </w:tcPr>
          <w:p w14:paraId="77381E2D" w14:textId="78A5B3EB" w:rsidR="009A553E" w:rsidRPr="009A553E" w:rsidRDefault="009A553E" w:rsidP="009A553E">
            <w:pPr>
              <w:jc w:val="center"/>
              <w:rPr>
                <w:rFonts w:ascii="Arial Narrow" w:hAnsi="Arial Narrow" w:cs="Calibri"/>
                <w:color w:val="000000"/>
                <w:sz w:val="20"/>
                <w:szCs w:val="20"/>
              </w:rPr>
            </w:pPr>
            <w:r w:rsidRPr="009A553E">
              <w:rPr>
                <w:rFonts w:ascii="Arial Narrow" w:hAnsi="Arial Narrow" w:cs="Calibri"/>
                <w:color w:val="000000"/>
                <w:sz w:val="20"/>
                <w:szCs w:val="20"/>
              </w:rPr>
              <w:t>2</w:t>
            </w:r>
          </w:p>
        </w:tc>
        <w:tc>
          <w:tcPr>
            <w:tcW w:w="990" w:type="dxa"/>
            <w:vAlign w:val="center"/>
          </w:tcPr>
          <w:p w14:paraId="3EEA914C" w14:textId="3C45CADD" w:rsidR="009A553E" w:rsidRPr="009A553E" w:rsidRDefault="009A553E" w:rsidP="009A553E">
            <w:pPr>
              <w:jc w:val="center"/>
              <w:rPr>
                <w:rFonts w:ascii="Arial Narrow" w:hAnsi="Arial Narrow" w:cs="Calibri"/>
                <w:color w:val="000000"/>
                <w:sz w:val="20"/>
                <w:szCs w:val="20"/>
              </w:rPr>
            </w:pPr>
            <w:r w:rsidRPr="009A553E">
              <w:rPr>
                <w:rFonts w:ascii="Arial Narrow" w:hAnsi="Arial Narrow" w:cs="Calibri"/>
                <w:color w:val="000000"/>
                <w:sz w:val="20"/>
                <w:szCs w:val="20"/>
              </w:rPr>
              <w:t>2</w:t>
            </w:r>
          </w:p>
        </w:tc>
        <w:tc>
          <w:tcPr>
            <w:tcW w:w="990" w:type="dxa"/>
            <w:vAlign w:val="center"/>
          </w:tcPr>
          <w:p w14:paraId="47D4D3AC" w14:textId="5982D1D3" w:rsidR="009A553E" w:rsidRPr="009A553E" w:rsidRDefault="009A553E" w:rsidP="009A553E">
            <w:pPr>
              <w:jc w:val="center"/>
              <w:rPr>
                <w:rFonts w:ascii="Arial Narrow" w:hAnsi="Arial Narrow"/>
                <w:color w:val="000000"/>
                <w:sz w:val="20"/>
                <w:szCs w:val="20"/>
                <w:highlight w:val="yellow"/>
              </w:rPr>
            </w:pPr>
            <w:r w:rsidRPr="009A553E">
              <w:rPr>
                <w:rFonts w:ascii="Arial Narrow" w:hAnsi="Arial Narrow" w:cs="Calibri"/>
                <w:color w:val="000000"/>
                <w:sz w:val="20"/>
                <w:szCs w:val="20"/>
              </w:rPr>
              <w:t>2</w:t>
            </w:r>
          </w:p>
        </w:tc>
        <w:tc>
          <w:tcPr>
            <w:tcW w:w="3600" w:type="dxa"/>
            <w:vAlign w:val="center"/>
          </w:tcPr>
          <w:p w14:paraId="4AC936C4" w14:textId="62F45816" w:rsidR="009A553E" w:rsidRPr="009A553E" w:rsidRDefault="009A553E" w:rsidP="009A553E">
            <w:pPr>
              <w:jc w:val="left"/>
              <w:rPr>
                <w:rFonts w:ascii="Arial Narrow" w:hAnsi="Arial Narrow"/>
                <w:color w:val="000000"/>
                <w:sz w:val="20"/>
                <w:szCs w:val="20"/>
                <w:highlight w:val="yellow"/>
              </w:rPr>
            </w:pPr>
            <w:r w:rsidRPr="009A553E">
              <w:rPr>
                <w:rFonts w:ascii="Arial Narrow" w:hAnsi="Arial Narrow" w:cs="Calibri"/>
                <w:color w:val="000000"/>
                <w:sz w:val="20"/>
                <w:szCs w:val="20"/>
              </w:rPr>
              <w:t>Land cover analysis revealed that these watersheds progressively increase in imperviousness and decrease in benthic health moving downstream. This means that the pathway from imperviousness to increased runoff to erosion and in-stream sediment transport is intact.</w:t>
            </w:r>
          </w:p>
        </w:tc>
      </w:tr>
      <w:tr w:rsidR="009A553E" w:rsidRPr="007A0C83" w14:paraId="1B774661" w14:textId="77777777" w:rsidTr="009A553E">
        <w:trPr>
          <w:trHeight w:val="247"/>
        </w:trPr>
        <w:tc>
          <w:tcPr>
            <w:tcW w:w="2437" w:type="dxa"/>
            <w:vAlign w:val="center"/>
          </w:tcPr>
          <w:p w14:paraId="4AA96A34" w14:textId="152B1C9D" w:rsidR="009A553E" w:rsidRPr="009A553E" w:rsidRDefault="009A553E" w:rsidP="009A553E">
            <w:pPr>
              <w:jc w:val="left"/>
              <w:rPr>
                <w:rFonts w:ascii="Arial Narrow" w:hAnsi="Arial Narrow"/>
                <w:sz w:val="20"/>
                <w:szCs w:val="20"/>
                <w:highlight w:val="yellow"/>
              </w:rPr>
            </w:pPr>
            <w:r w:rsidRPr="009A553E">
              <w:rPr>
                <w:rFonts w:ascii="Arial Narrow" w:hAnsi="Arial Narrow" w:cs="Calibri"/>
                <w:color w:val="000000"/>
                <w:sz w:val="20"/>
                <w:szCs w:val="20"/>
              </w:rPr>
              <w:t>Stressor-Response Relationships from the Field</w:t>
            </w:r>
          </w:p>
        </w:tc>
        <w:tc>
          <w:tcPr>
            <w:tcW w:w="720" w:type="dxa"/>
            <w:vAlign w:val="center"/>
          </w:tcPr>
          <w:p w14:paraId="605C3B69" w14:textId="2F421790" w:rsidR="009A553E" w:rsidRPr="009A553E" w:rsidRDefault="009A553E" w:rsidP="009A553E">
            <w:pPr>
              <w:jc w:val="center"/>
              <w:rPr>
                <w:rFonts w:ascii="Arial Narrow" w:hAnsi="Arial Narrow" w:cs="Calibri"/>
                <w:color w:val="000000"/>
                <w:sz w:val="20"/>
                <w:szCs w:val="20"/>
              </w:rPr>
            </w:pPr>
            <w:r w:rsidRPr="009A553E">
              <w:rPr>
                <w:rFonts w:ascii="Arial Narrow" w:hAnsi="Arial Narrow" w:cs="Calibri"/>
                <w:color w:val="000000"/>
                <w:sz w:val="20"/>
                <w:szCs w:val="20"/>
              </w:rPr>
              <w:t>-2</w:t>
            </w:r>
          </w:p>
        </w:tc>
        <w:tc>
          <w:tcPr>
            <w:tcW w:w="720" w:type="dxa"/>
            <w:vAlign w:val="center"/>
          </w:tcPr>
          <w:p w14:paraId="4D6001E9" w14:textId="2163135E" w:rsidR="009A553E" w:rsidRPr="009A553E" w:rsidRDefault="009A553E" w:rsidP="009A553E">
            <w:pPr>
              <w:jc w:val="center"/>
              <w:rPr>
                <w:rFonts w:ascii="Arial Narrow" w:hAnsi="Arial Narrow" w:cs="Calibri"/>
                <w:color w:val="000000"/>
                <w:sz w:val="20"/>
                <w:szCs w:val="20"/>
              </w:rPr>
            </w:pPr>
            <w:r w:rsidRPr="009A553E">
              <w:rPr>
                <w:rFonts w:ascii="Arial Narrow" w:hAnsi="Arial Narrow" w:cs="Calibri"/>
                <w:color w:val="000000"/>
                <w:sz w:val="20"/>
                <w:szCs w:val="20"/>
              </w:rPr>
              <w:t>-2</w:t>
            </w:r>
          </w:p>
        </w:tc>
        <w:tc>
          <w:tcPr>
            <w:tcW w:w="990" w:type="dxa"/>
            <w:vAlign w:val="center"/>
          </w:tcPr>
          <w:p w14:paraId="77362E85" w14:textId="7AD3AA43" w:rsidR="009A553E" w:rsidRPr="009A553E" w:rsidRDefault="009A553E" w:rsidP="009A553E">
            <w:pPr>
              <w:jc w:val="center"/>
              <w:rPr>
                <w:rFonts w:ascii="Arial Narrow" w:hAnsi="Arial Narrow" w:cs="Calibri"/>
                <w:color w:val="000000"/>
                <w:sz w:val="20"/>
                <w:szCs w:val="20"/>
              </w:rPr>
            </w:pPr>
            <w:r w:rsidRPr="009A553E">
              <w:rPr>
                <w:rFonts w:ascii="Arial Narrow" w:hAnsi="Arial Narrow" w:cs="Calibri"/>
                <w:color w:val="000000"/>
                <w:sz w:val="20"/>
                <w:szCs w:val="20"/>
              </w:rPr>
              <w:t>-2</w:t>
            </w:r>
          </w:p>
        </w:tc>
        <w:tc>
          <w:tcPr>
            <w:tcW w:w="990" w:type="dxa"/>
            <w:vAlign w:val="center"/>
          </w:tcPr>
          <w:p w14:paraId="74A38D37" w14:textId="67CE8C54" w:rsidR="009A553E" w:rsidRPr="009A553E" w:rsidRDefault="009A553E" w:rsidP="009A553E">
            <w:pPr>
              <w:jc w:val="center"/>
              <w:rPr>
                <w:rFonts w:ascii="Arial Narrow" w:hAnsi="Arial Narrow"/>
                <w:color w:val="000000"/>
                <w:sz w:val="20"/>
                <w:szCs w:val="20"/>
                <w:highlight w:val="yellow"/>
              </w:rPr>
            </w:pPr>
            <w:r w:rsidRPr="009A553E">
              <w:rPr>
                <w:rFonts w:ascii="Arial Narrow" w:hAnsi="Arial Narrow" w:cs="Calibri"/>
                <w:color w:val="000000"/>
                <w:sz w:val="20"/>
                <w:szCs w:val="20"/>
              </w:rPr>
              <w:t>-2</w:t>
            </w:r>
          </w:p>
        </w:tc>
        <w:tc>
          <w:tcPr>
            <w:tcW w:w="3600" w:type="dxa"/>
            <w:vAlign w:val="center"/>
          </w:tcPr>
          <w:p w14:paraId="416D5C35" w14:textId="2FA7CC64" w:rsidR="009A553E" w:rsidRPr="009A553E" w:rsidRDefault="009A553E" w:rsidP="009A553E">
            <w:pPr>
              <w:jc w:val="left"/>
              <w:rPr>
                <w:rFonts w:ascii="Arial Narrow" w:hAnsi="Arial Narrow"/>
                <w:color w:val="000000"/>
                <w:sz w:val="20"/>
                <w:szCs w:val="20"/>
                <w:highlight w:val="yellow"/>
              </w:rPr>
            </w:pPr>
            <w:r w:rsidRPr="009A553E">
              <w:rPr>
                <w:rFonts w:ascii="Arial Narrow" w:hAnsi="Arial Narrow" w:cs="Calibri"/>
                <w:color w:val="000000"/>
                <w:sz w:val="20"/>
                <w:szCs w:val="20"/>
              </w:rPr>
              <w:t>Neither TSS nor habitat were significantly correlated with benthic health across sites.</w:t>
            </w:r>
          </w:p>
        </w:tc>
      </w:tr>
      <w:tr w:rsidR="009A553E" w:rsidRPr="007A0C83" w14:paraId="78726FAF" w14:textId="77777777" w:rsidTr="009A553E">
        <w:trPr>
          <w:trHeight w:val="247"/>
        </w:trPr>
        <w:tc>
          <w:tcPr>
            <w:tcW w:w="2437" w:type="dxa"/>
            <w:vAlign w:val="center"/>
          </w:tcPr>
          <w:p w14:paraId="206C9D0F" w14:textId="47BD3A2A" w:rsidR="009A553E" w:rsidRPr="009A553E" w:rsidRDefault="009A553E" w:rsidP="009A553E">
            <w:pPr>
              <w:jc w:val="left"/>
              <w:rPr>
                <w:rFonts w:ascii="Arial Narrow" w:hAnsi="Arial Narrow" w:cs="Calibri"/>
                <w:b/>
                <w:bCs/>
                <w:color w:val="000000"/>
                <w:sz w:val="20"/>
                <w:szCs w:val="20"/>
                <w:highlight w:val="yellow"/>
              </w:rPr>
            </w:pPr>
            <w:r w:rsidRPr="009A553E">
              <w:rPr>
                <w:rFonts w:ascii="Arial Narrow" w:hAnsi="Arial Narrow" w:cs="Calibri"/>
                <w:color w:val="000000"/>
                <w:sz w:val="20"/>
                <w:szCs w:val="20"/>
              </w:rPr>
              <w:t>Temporal Sequence</w:t>
            </w:r>
          </w:p>
        </w:tc>
        <w:tc>
          <w:tcPr>
            <w:tcW w:w="720" w:type="dxa"/>
            <w:vAlign w:val="center"/>
          </w:tcPr>
          <w:p w14:paraId="01D20CCA" w14:textId="14D3982C" w:rsidR="009A553E" w:rsidRPr="009A553E" w:rsidRDefault="009A553E" w:rsidP="009A553E">
            <w:pPr>
              <w:jc w:val="center"/>
              <w:rPr>
                <w:rFonts w:ascii="Arial Narrow" w:hAnsi="Arial Narrow" w:cs="Calibri"/>
                <w:color w:val="000000"/>
                <w:sz w:val="20"/>
                <w:szCs w:val="20"/>
              </w:rPr>
            </w:pPr>
            <w:r w:rsidRPr="009A553E">
              <w:rPr>
                <w:rFonts w:ascii="Arial Narrow" w:hAnsi="Arial Narrow" w:cs="Calibri"/>
                <w:color w:val="000000"/>
                <w:sz w:val="20"/>
                <w:szCs w:val="20"/>
              </w:rPr>
              <w:t>1</w:t>
            </w:r>
          </w:p>
        </w:tc>
        <w:tc>
          <w:tcPr>
            <w:tcW w:w="720" w:type="dxa"/>
            <w:vAlign w:val="center"/>
          </w:tcPr>
          <w:p w14:paraId="724147AB" w14:textId="4957C39F" w:rsidR="009A553E" w:rsidRPr="009A553E" w:rsidRDefault="009A553E" w:rsidP="009A553E">
            <w:pPr>
              <w:jc w:val="center"/>
              <w:rPr>
                <w:rFonts w:ascii="Arial Narrow" w:hAnsi="Arial Narrow" w:cs="Calibri"/>
                <w:color w:val="000000"/>
                <w:sz w:val="20"/>
                <w:szCs w:val="20"/>
              </w:rPr>
            </w:pPr>
            <w:r w:rsidRPr="009A553E">
              <w:rPr>
                <w:rFonts w:ascii="Arial Narrow" w:hAnsi="Arial Narrow" w:cs="Calibri"/>
                <w:color w:val="000000"/>
                <w:sz w:val="20"/>
                <w:szCs w:val="20"/>
              </w:rPr>
              <w:t>1</w:t>
            </w:r>
          </w:p>
        </w:tc>
        <w:tc>
          <w:tcPr>
            <w:tcW w:w="990" w:type="dxa"/>
            <w:vAlign w:val="center"/>
          </w:tcPr>
          <w:p w14:paraId="4D67645B" w14:textId="49933C21" w:rsidR="009A553E" w:rsidRPr="009A553E" w:rsidRDefault="009A553E" w:rsidP="009A553E">
            <w:pPr>
              <w:jc w:val="center"/>
              <w:rPr>
                <w:rFonts w:ascii="Arial Narrow" w:hAnsi="Arial Narrow" w:cs="Calibri"/>
                <w:color w:val="000000"/>
                <w:sz w:val="20"/>
                <w:szCs w:val="20"/>
              </w:rPr>
            </w:pPr>
            <w:r w:rsidRPr="009A553E">
              <w:rPr>
                <w:rFonts w:ascii="Arial Narrow" w:hAnsi="Arial Narrow" w:cs="Calibri"/>
                <w:color w:val="000000"/>
                <w:sz w:val="20"/>
                <w:szCs w:val="20"/>
              </w:rPr>
              <w:t>2</w:t>
            </w:r>
          </w:p>
        </w:tc>
        <w:tc>
          <w:tcPr>
            <w:tcW w:w="990" w:type="dxa"/>
            <w:vAlign w:val="center"/>
          </w:tcPr>
          <w:p w14:paraId="1281E3EF" w14:textId="538590D6" w:rsidR="009A553E" w:rsidRPr="009A553E" w:rsidRDefault="009A553E" w:rsidP="009A553E">
            <w:pPr>
              <w:jc w:val="center"/>
              <w:rPr>
                <w:rFonts w:ascii="Arial Narrow" w:hAnsi="Arial Narrow" w:cs="Calibri"/>
                <w:b/>
                <w:color w:val="000000"/>
                <w:sz w:val="20"/>
                <w:szCs w:val="20"/>
                <w:highlight w:val="yellow"/>
              </w:rPr>
            </w:pPr>
            <w:r w:rsidRPr="009A553E">
              <w:rPr>
                <w:rFonts w:ascii="Arial Narrow" w:hAnsi="Arial Narrow" w:cs="Calibri"/>
                <w:color w:val="000000"/>
                <w:sz w:val="20"/>
                <w:szCs w:val="20"/>
              </w:rPr>
              <w:t>-1</w:t>
            </w:r>
          </w:p>
        </w:tc>
        <w:tc>
          <w:tcPr>
            <w:tcW w:w="3600" w:type="dxa"/>
            <w:vAlign w:val="center"/>
          </w:tcPr>
          <w:p w14:paraId="1C11F861" w14:textId="488F663E" w:rsidR="009A553E" w:rsidRPr="009A553E" w:rsidRDefault="009A553E" w:rsidP="009A553E">
            <w:pPr>
              <w:jc w:val="left"/>
              <w:rPr>
                <w:rFonts w:ascii="Arial Narrow" w:hAnsi="Arial Narrow"/>
                <w:color w:val="000000"/>
                <w:sz w:val="20"/>
                <w:szCs w:val="20"/>
                <w:highlight w:val="yellow"/>
              </w:rPr>
            </w:pPr>
            <w:r w:rsidRPr="009A553E">
              <w:rPr>
                <w:rFonts w:ascii="Arial Narrow" w:hAnsi="Arial Narrow" w:cs="Calibri"/>
                <w:color w:val="000000"/>
                <w:sz w:val="20"/>
                <w:szCs w:val="20"/>
              </w:rPr>
              <w:t>Seasonal trends of lower spring benthic scores observed in each of the impaired streams may indicate sediment enrichment, as higher spring flows bring increased sediment loads. Spring flow was inversely correlated with SCI scores at Roanoke River station 202.20 (indicating a flow-dependent stressor like sediment), but not at station 198.08 (indicating a flow-independent stressor).</w:t>
            </w:r>
          </w:p>
        </w:tc>
      </w:tr>
      <w:tr w:rsidR="009A553E" w:rsidRPr="007A0C83" w14:paraId="4CCD4B8C" w14:textId="77777777" w:rsidTr="009A553E">
        <w:trPr>
          <w:trHeight w:val="247"/>
        </w:trPr>
        <w:tc>
          <w:tcPr>
            <w:tcW w:w="2437" w:type="dxa"/>
            <w:vAlign w:val="center"/>
          </w:tcPr>
          <w:p w14:paraId="59339398" w14:textId="2E349682" w:rsidR="009A553E" w:rsidRPr="009A553E" w:rsidRDefault="009A553E" w:rsidP="009A553E">
            <w:pPr>
              <w:jc w:val="left"/>
              <w:rPr>
                <w:rFonts w:ascii="Arial Narrow" w:hAnsi="Arial Narrow" w:cs="Calibri"/>
                <w:b/>
                <w:bCs/>
                <w:color w:val="000000"/>
                <w:sz w:val="20"/>
                <w:szCs w:val="20"/>
                <w:highlight w:val="yellow"/>
              </w:rPr>
            </w:pPr>
            <w:r w:rsidRPr="009A553E">
              <w:rPr>
                <w:rFonts w:ascii="Arial Narrow" w:hAnsi="Arial Narrow" w:cs="Calibri"/>
                <w:color w:val="000000"/>
                <w:sz w:val="20"/>
                <w:szCs w:val="20"/>
              </w:rPr>
              <w:t>Symptoms</w:t>
            </w:r>
          </w:p>
        </w:tc>
        <w:tc>
          <w:tcPr>
            <w:tcW w:w="720" w:type="dxa"/>
            <w:vAlign w:val="center"/>
          </w:tcPr>
          <w:p w14:paraId="2AB21459" w14:textId="327EC32F"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1</w:t>
            </w:r>
          </w:p>
        </w:tc>
        <w:tc>
          <w:tcPr>
            <w:tcW w:w="720" w:type="dxa"/>
            <w:vAlign w:val="center"/>
          </w:tcPr>
          <w:p w14:paraId="0CC363EA" w14:textId="4412A044"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1</w:t>
            </w:r>
          </w:p>
        </w:tc>
        <w:tc>
          <w:tcPr>
            <w:tcW w:w="990" w:type="dxa"/>
            <w:vAlign w:val="center"/>
          </w:tcPr>
          <w:p w14:paraId="3EDCC9B8" w14:textId="199B2167"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1</w:t>
            </w:r>
          </w:p>
        </w:tc>
        <w:tc>
          <w:tcPr>
            <w:tcW w:w="990" w:type="dxa"/>
            <w:vAlign w:val="center"/>
          </w:tcPr>
          <w:p w14:paraId="37337D26" w14:textId="6F5D37F1" w:rsidR="009A553E" w:rsidRPr="009A553E" w:rsidRDefault="009A553E" w:rsidP="009A553E">
            <w:pPr>
              <w:jc w:val="center"/>
              <w:rPr>
                <w:rFonts w:ascii="Arial Narrow" w:hAnsi="Arial Narrow" w:cs="Calibri"/>
                <w:b/>
                <w:color w:val="000000"/>
                <w:sz w:val="20"/>
                <w:szCs w:val="20"/>
                <w:highlight w:val="yellow"/>
              </w:rPr>
            </w:pPr>
            <w:r w:rsidRPr="009A553E">
              <w:rPr>
                <w:rFonts w:ascii="Arial Narrow" w:hAnsi="Arial Narrow" w:cs="Calibri"/>
                <w:color w:val="000000"/>
                <w:sz w:val="20"/>
                <w:szCs w:val="20"/>
              </w:rPr>
              <w:t>-1</w:t>
            </w:r>
          </w:p>
        </w:tc>
        <w:tc>
          <w:tcPr>
            <w:tcW w:w="3600" w:type="dxa"/>
            <w:vAlign w:val="center"/>
          </w:tcPr>
          <w:p w14:paraId="4D54E475" w14:textId="1D25698B" w:rsidR="009A553E" w:rsidRPr="009A553E" w:rsidRDefault="009A553E" w:rsidP="009A553E">
            <w:pPr>
              <w:jc w:val="left"/>
              <w:rPr>
                <w:rFonts w:ascii="Arial Narrow" w:hAnsi="Arial Narrow"/>
                <w:color w:val="000000"/>
                <w:sz w:val="20"/>
                <w:szCs w:val="20"/>
                <w:highlight w:val="yellow"/>
              </w:rPr>
            </w:pPr>
            <w:r w:rsidRPr="009A553E">
              <w:rPr>
                <w:rFonts w:ascii="Arial Narrow" w:hAnsi="Arial Narrow" w:cs="Calibri"/>
                <w:color w:val="000000"/>
                <w:sz w:val="20"/>
                <w:szCs w:val="20"/>
              </w:rPr>
              <w:t xml:space="preserve">Biological Condition Gradient </w:t>
            </w:r>
            <w:r w:rsidR="007E2E2D">
              <w:rPr>
                <w:rFonts w:ascii="Arial Narrow" w:hAnsi="Arial Narrow" w:cs="Calibri"/>
                <w:color w:val="000000"/>
                <w:sz w:val="20"/>
                <w:szCs w:val="20"/>
              </w:rPr>
              <w:t xml:space="preserve">attribute </w:t>
            </w:r>
            <w:r w:rsidRPr="009A553E">
              <w:rPr>
                <w:rFonts w:ascii="Arial Narrow" w:hAnsi="Arial Narrow" w:cs="Calibri"/>
                <w:color w:val="000000"/>
                <w:sz w:val="20"/>
                <w:szCs w:val="20"/>
              </w:rPr>
              <w:t xml:space="preserve">analysis identified predominant taxa in Wolf Creek and Tinker Creek that increase in abundance in the presence of poor habitat or high %Imperviousness (score of 5). Based on average BCG </w:t>
            </w:r>
            <w:r w:rsidR="007E2E2D">
              <w:rPr>
                <w:rFonts w:ascii="Arial Narrow" w:hAnsi="Arial Narrow" w:cs="Calibri"/>
                <w:color w:val="000000"/>
                <w:sz w:val="20"/>
                <w:szCs w:val="20"/>
              </w:rPr>
              <w:t xml:space="preserve">attribute </w:t>
            </w:r>
            <w:r w:rsidRPr="009A553E">
              <w:rPr>
                <w:rFonts w:ascii="Arial Narrow" w:hAnsi="Arial Narrow" w:cs="Calibri"/>
                <w:color w:val="000000"/>
                <w:sz w:val="20"/>
                <w:szCs w:val="20"/>
              </w:rPr>
              <w:t>scores</w:t>
            </w:r>
            <w:r w:rsidR="005F4F48">
              <w:rPr>
                <w:rFonts w:ascii="Arial Narrow" w:hAnsi="Arial Narrow" w:cs="Calibri"/>
                <w:color w:val="000000"/>
                <w:sz w:val="20"/>
                <w:szCs w:val="20"/>
              </w:rPr>
              <w:t>,</w:t>
            </w:r>
            <w:r w:rsidRPr="009A553E">
              <w:rPr>
                <w:rFonts w:ascii="Arial Narrow" w:hAnsi="Arial Narrow" w:cs="Calibri"/>
                <w:color w:val="000000"/>
                <w:sz w:val="20"/>
                <w:szCs w:val="20"/>
              </w:rPr>
              <w:t xml:space="preserve"> sediment associated stressors (habitat, RBS, and % impervious) were ranked as high as 2 for Roanoke River (202.20) and 4 for the other impaired streams. </w:t>
            </w:r>
          </w:p>
        </w:tc>
      </w:tr>
      <w:tr w:rsidR="009A553E" w:rsidRPr="007A0C83" w14:paraId="38E1D3CF" w14:textId="77777777" w:rsidTr="009A553E">
        <w:trPr>
          <w:trHeight w:val="247"/>
        </w:trPr>
        <w:tc>
          <w:tcPr>
            <w:tcW w:w="2437" w:type="dxa"/>
            <w:vAlign w:val="center"/>
          </w:tcPr>
          <w:p w14:paraId="7AD81B0A" w14:textId="6C5C3407" w:rsidR="009A553E" w:rsidRPr="009A553E" w:rsidRDefault="009A553E" w:rsidP="009A553E">
            <w:pPr>
              <w:jc w:val="left"/>
              <w:rPr>
                <w:rFonts w:ascii="Arial Narrow" w:hAnsi="Arial Narrow" w:cs="Calibri"/>
                <w:b/>
                <w:bCs/>
                <w:color w:val="000000"/>
                <w:sz w:val="20"/>
                <w:szCs w:val="20"/>
              </w:rPr>
            </w:pPr>
            <w:r w:rsidRPr="009A553E">
              <w:rPr>
                <w:rFonts w:ascii="Arial Narrow" w:hAnsi="Arial Narrow" w:cs="Calibri"/>
                <w:color w:val="000000"/>
                <w:sz w:val="20"/>
                <w:szCs w:val="20"/>
              </w:rPr>
              <w:t>Symptoms (2)</w:t>
            </w:r>
          </w:p>
        </w:tc>
        <w:tc>
          <w:tcPr>
            <w:tcW w:w="720" w:type="dxa"/>
            <w:vAlign w:val="center"/>
          </w:tcPr>
          <w:p w14:paraId="4F923F06" w14:textId="2844F2FF"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2</w:t>
            </w:r>
          </w:p>
        </w:tc>
        <w:tc>
          <w:tcPr>
            <w:tcW w:w="720" w:type="dxa"/>
            <w:vAlign w:val="center"/>
          </w:tcPr>
          <w:p w14:paraId="3888B4B4" w14:textId="782ADD40"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3</w:t>
            </w:r>
          </w:p>
        </w:tc>
        <w:tc>
          <w:tcPr>
            <w:tcW w:w="990" w:type="dxa"/>
            <w:vAlign w:val="center"/>
          </w:tcPr>
          <w:p w14:paraId="6F8929F7" w14:textId="1F76DE6E"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1</w:t>
            </w:r>
          </w:p>
        </w:tc>
        <w:tc>
          <w:tcPr>
            <w:tcW w:w="990" w:type="dxa"/>
            <w:vAlign w:val="center"/>
          </w:tcPr>
          <w:p w14:paraId="7C1BDAFE" w14:textId="2E3FF74E"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1</w:t>
            </w:r>
          </w:p>
        </w:tc>
        <w:tc>
          <w:tcPr>
            <w:tcW w:w="3600" w:type="dxa"/>
            <w:vAlign w:val="center"/>
          </w:tcPr>
          <w:p w14:paraId="53AD42A0" w14:textId="66FF40E7" w:rsidR="009A553E" w:rsidRPr="009A553E" w:rsidRDefault="009A553E" w:rsidP="009A553E">
            <w:pPr>
              <w:jc w:val="left"/>
              <w:rPr>
                <w:rFonts w:ascii="Arial Narrow" w:hAnsi="Arial Narrow"/>
                <w:color w:val="000000"/>
                <w:sz w:val="20"/>
                <w:szCs w:val="20"/>
                <w:highlight w:val="yellow"/>
              </w:rPr>
            </w:pPr>
            <w:r w:rsidRPr="009A553E">
              <w:rPr>
                <w:rFonts w:ascii="Arial Narrow" w:hAnsi="Arial Narrow" w:cs="Calibri"/>
                <w:color w:val="000000"/>
                <w:sz w:val="20"/>
                <w:szCs w:val="20"/>
              </w:rPr>
              <w:t xml:space="preserve">Functional feeding group analysis in each of the streams indicated a shift to collectors that thrive in sediment-rich habitats. This increase was largest in Tinker Creek (19%), followed by Wolf Creek (13%), followed by Roanoke River (198.08) (5%), followed by Roanoke River (202.20) (3%).  </w:t>
            </w:r>
          </w:p>
        </w:tc>
      </w:tr>
      <w:tr w:rsidR="009A553E" w:rsidRPr="007A0C83" w14:paraId="1C4BFBAC" w14:textId="77777777" w:rsidTr="009A553E">
        <w:trPr>
          <w:trHeight w:val="247"/>
        </w:trPr>
        <w:tc>
          <w:tcPr>
            <w:tcW w:w="2437" w:type="dxa"/>
            <w:vAlign w:val="center"/>
          </w:tcPr>
          <w:p w14:paraId="4A878451" w14:textId="1A398271" w:rsidR="009A553E" w:rsidRPr="009A553E" w:rsidRDefault="009A553E" w:rsidP="009A553E">
            <w:pPr>
              <w:jc w:val="left"/>
              <w:rPr>
                <w:rFonts w:ascii="Arial Narrow" w:hAnsi="Arial Narrow" w:cs="Calibri"/>
                <w:b/>
                <w:bCs/>
                <w:color w:val="000000"/>
                <w:sz w:val="20"/>
                <w:szCs w:val="20"/>
              </w:rPr>
            </w:pPr>
            <w:r w:rsidRPr="009A553E">
              <w:rPr>
                <w:rFonts w:ascii="Arial Narrow" w:hAnsi="Arial Narrow" w:cs="Calibri"/>
                <w:color w:val="000000"/>
                <w:sz w:val="20"/>
                <w:szCs w:val="20"/>
              </w:rPr>
              <w:t>Symptoms (3)</w:t>
            </w:r>
          </w:p>
        </w:tc>
        <w:tc>
          <w:tcPr>
            <w:tcW w:w="720" w:type="dxa"/>
            <w:vAlign w:val="center"/>
          </w:tcPr>
          <w:p w14:paraId="4BEBE247" w14:textId="65E0EF67"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2</w:t>
            </w:r>
          </w:p>
        </w:tc>
        <w:tc>
          <w:tcPr>
            <w:tcW w:w="720" w:type="dxa"/>
            <w:vAlign w:val="center"/>
          </w:tcPr>
          <w:p w14:paraId="3354A93E" w14:textId="07B790D7"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2</w:t>
            </w:r>
          </w:p>
        </w:tc>
        <w:tc>
          <w:tcPr>
            <w:tcW w:w="990" w:type="dxa"/>
            <w:vAlign w:val="center"/>
          </w:tcPr>
          <w:p w14:paraId="51ED7522" w14:textId="29E91EC1"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2</w:t>
            </w:r>
          </w:p>
        </w:tc>
        <w:tc>
          <w:tcPr>
            <w:tcW w:w="990" w:type="dxa"/>
            <w:vAlign w:val="center"/>
          </w:tcPr>
          <w:p w14:paraId="1DB36961" w14:textId="0C820E2A"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-2</w:t>
            </w:r>
          </w:p>
        </w:tc>
        <w:tc>
          <w:tcPr>
            <w:tcW w:w="3600" w:type="dxa"/>
            <w:vAlign w:val="center"/>
          </w:tcPr>
          <w:p w14:paraId="06DE616B" w14:textId="0B643FE7" w:rsidR="009A553E" w:rsidRPr="009A553E" w:rsidRDefault="009A553E" w:rsidP="009A553E">
            <w:pPr>
              <w:jc w:val="left"/>
              <w:rPr>
                <w:rFonts w:ascii="Arial Narrow" w:hAnsi="Arial Narrow"/>
                <w:color w:val="000000"/>
                <w:sz w:val="20"/>
                <w:szCs w:val="20"/>
                <w:highlight w:val="yellow"/>
              </w:rPr>
            </w:pPr>
            <w:r w:rsidRPr="009A553E">
              <w:rPr>
                <w:rFonts w:ascii="Arial Narrow" w:hAnsi="Arial Narrow" w:cs="Calibri"/>
                <w:color w:val="000000"/>
                <w:sz w:val="20"/>
                <w:szCs w:val="20"/>
              </w:rPr>
              <w:t>The habitat metric for embeddedness was statistically lower than the reference in each of the impaired streams except for Roanoke River (198.08).</w:t>
            </w:r>
          </w:p>
        </w:tc>
      </w:tr>
      <w:tr w:rsidR="009A553E" w:rsidRPr="007A0C83" w14:paraId="22840953" w14:textId="77777777" w:rsidTr="009A553E">
        <w:trPr>
          <w:trHeight w:val="247"/>
        </w:trPr>
        <w:tc>
          <w:tcPr>
            <w:tcW w:w="2437" w:type="dxa"/>
            <w:vAlign w:val="center"/>
          </w:tcPr>
          <w:p w14:paraId="2A02B8FF" w14:textId="781D4641" w:rsidR="009A553E" w:rsidRPr="009A553E" w:rsidRDefault="009A553E" w:rsidP="009A553E">
            <w:pPr>
              <w:jc w:val="left"/>
              <w:rPr>
                <w:rFonts w:ascii="Arial Narrow" w:hAnsi="Arial Narrow" w:cs="Calibri"/>
                <w:b/>
                <w:bCs/>
                <w:color w:val="000000"/>
                <w:sz w:val="20"/>
                <w:szCs w:val="20"/>
              </w:rPr>
            </w:pPr>
            <w:r w:rsidRPr="009A553E">
              <w:rPr>
                <w:rFonts w:ascii="Arial Narrow" w:hAnsi="Arial Narrow" w:cs="Calibri"/>
                <w:color w:val="000000"/>
                <w:sz w:val="20"/>
                <w:szCs w:val="20"/>
              </w:rPr>
              <w:t>Stressor-Response Relationships from Other Field Studies</w:t>
            </w:r>
          </w:p>
        </w:tc>
        <w:tc>
          <w:tcPr>
            <w:tcW w:w="720" w:type="dxa"/>
            <w:vAlign w:val="center"/>
          </w:tcPr>
          <w:p w14:paraId="457FDB5D" w14:textId="161D29DF"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2</w:t>
            </w:r>
          </w:p>
        </w:tc>
        <w:tc>
          <w:tcPr>
            <w:tcW w:w="720" w:type="dxa"/>
            <w:vAlign w:val="center"/>
          </w:tcPr>
          <w:p w14:paraId="550F58A0" w14:textId="77DC0608"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3</w:t>
            </w:r>
          </w:p>
        </w:tc>
        <w:tc>
          <w:tcPr>
            <w:tcW w:w="990" w:type="dxa"/>
            <w:vAlign w:val="center"/>
          </w:tcPr>
          <w:p w14:paraId="48C7C3CC" w14:textId="4EE05FAF"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-1</w:t>
            </w:r>
          </w:p>
        </w:tc>
        <w:tc>
          <w:tcPr>
            <w:tcW w:w="990" w:type="dxa"/>
            <w:vAlign w:val="center"/>
          </w:tcPr>
          <w:p w14:paraId="32AF4280" w14:textId="10C3A34E"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-2</w:t>
            </w:r>
          </w:p>
        </w:tc>
        <w:tc>
          <w:tcPr>
            <w:tcW w:w="3600" w:type="dxa"/>
            <w:vAlign w:val="center"/>
          </w:tcPr>
          <w:p w14:paraId="0896F6BB" w14:textId="3C5C9BF0" w:rsidR="009A553E" w:rsidRPr="009A553E" w:rsidRDefault="009A553E" w:rsidP="009A553E">
            <w:pPr>
              <w:jc w:val="left"/>
              <w:rPr>
                <w:rFonts w:ascii="Arial Narrow" w:hAnsi="Arial Narrow"/>
                <w:color w:val="000000"/>
                <w:sz w:val="20"/>
                <w:szCs w:val="20"/>
                <w:highlight w:val="yellow"/>
              </w:rPr>
            </w:pPr>
            <w:r w:rsidRPr="009A553E">
              <w:rPr>
                <w:rFonts w:ascii="Arial Narrow" w:hAnsi="Arial Narrow" w:cs="Calibri"/>
                <w:color w:val="000000"/>
                <w:sz w:val="20"/>
                <w:szCs w:val="20"/>
              </w:rPr>
              <w:t xml:space="preserve">Median total habitat scores were in the medium probability range for stressor effects in Wolf Creek, high probability range in Tinker Creek, low probability range in Roanoke River (202.20), and no probability range in Roanoke River (198.08). </w:t>
            </w:r>
          </w:p>
        </w:tc>
      </w:tr>
      <w:tr w:rsidR="009A553E" w:rsidRPr="007A0C83" w14:paraId="01B063BE" w14:textId="77777777" w:rsidTr="009A553E">
        <w:trPr>
          <w:trHeight w:val="247"/>
        </w:trPr>
        <w:tc>
          <w:tcPr>
            <w:tcW w:w="2437" w:type="dxa"/>
            <w:vAlign w:val="center"/>
          </w:tcPr>
          <w:p w14:paraId="16447EF1" w14:textId="24C80010" w:rsidR="009A553E" w:rsidRPr="009A553E" w:rsidRDefault="009A553E" w:rsidP="009A553E">
            <w:pPr>
              <w:jc w:val="left"/>
              <w:rPr>
                <w:rFonts w:ascii="Arial Narrow" w:hAnsi="Arial Narrow" w:cs="Calibri"/>
                <w:b/>
                <w:bCs/>
                <w:color w:val="000000"/>
                <w:sz w:val="20"/>
                <w:szCs w:val="20"/>
              </w:rPr>
            </w:pPr>
            <w:r w:rsidRPr="009A553E">
              <w:rPr>
                <w:rFonts w:ascii="Arial Narrow" w:hAnsi="Arial Narrow" w:cs="Calibri"/>
                <w:color w:val="000000"/>
                <w:sz w:val="20"/>
                <w:szCs w:val="20"/>
              </w:rPr>
              <w:t>Analogous Stressors</w:t>
            </w:r>
          </w:p>
        </w:tc>
        <w:tc>
          <w:tcPr>
            <w:tcW w:w="720" w:type="dxa"/>
            <w:vAlign w:val="center"/>
          </w:tcPr>
          <w:p w14:paraId="5CC6B140" w14:textId="27B73191"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1</w:t>
            </w:r>
          </w:p>
        </w:tc>
        <w:tc>
          <w:tcPr>
            <w:tcW w:w="720" w:type="dxa"/>
            <w:vAlign w:val="center"/>
          </w:tcPr>
          <w:p w14:paraId="4D8ACBF3" w14:textId="39F553A7"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-2</w:t>
            </w:r>
          </w:p>
        </w:tc>
        <w:tc>
          <w:tcPr>
            <w:tcW w:w="990" w:type="dxa"/>
            <w:vAlign w:val="center"/>
          </w:tcPr>
          <w:p w14:paraId="60BF121A" w14:textId="13970E8E"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-2</w:t>
            </w:r>
          </w:p>
        </w:tc>
        <w:tc>
          <w:tcPr>
            <w:tcW w:w="990" w:type="dxa"/>
            <w:vAlign w:val="center"/>
          </w:tcPr>
          <w:p w14:paraId="1D264DB5" w14:textId="25160BBE"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-3</w:t>
            </w:r>
          </w:p>
        </w:tc>
        <w:tc>
          <w:tcPr>
            <w:tcW w:w="3600" w:type="dxa"/>
            <w:vAlign w:val="center"/>
          </w:tcPr>
          <w:p w14:paraId="617FDF8F" w14:textId="59CD4DAA" w:rsidR="009A553E" w:rsidRPr="009A553E" w:rsidRDefault="009A553E" w:rsidP="009A553E">
            <w:pPr>
              <w:jc w:val="left"/>
              <w:rPr>
                <w:rFonts w:ascii="Arial Narrow" w:hAnsi="Arial Narrow"/>
                <w:color w:val="000000"/>
                <w:sz w:val="20"/>
                <w:szCs w:val="20"/>
                <w:highlight w:val="yellow"/>
              </w:rPr>
            </w:pPr>
            <w:r w:rsidRPr="009A553E">
              <w:rPr>
                <w:rFonts w:ascii="Arial Narrow" w:hAnsi="Arial Narrow" w:cs="Calibri"/>
                <w:color w:val="000000"/>
                <w:sz w:val="20"/>
                <w:szCs w:val="20"/>
              </w:rPr>
              <w:t>Relative Bed Stability analysis showed values in the medium probability range for stressor effects in Wolf Creek. RBS values were in the no probability range in Tinker Creek and Roanoke River (202.20). At Roanoke River (198.08), RBS values were in the medium probability range, but the value was positive, indicating sediment starved conditions.</w:t>
            </w:r>
          </w:p>
        </w:tc>
      </w:tr>
      <w:tr w:rsidR="009A553E" w:rsidRPr="007A0C83" w14:paraId="7E62F8B3" w14:textId="77777777" w:rsidTr="009A553E">
        <w:trPr>
          <w:trHeight w:val="247"/>
        </w:trPr>
        <w:tc>
          <w:tcPr>
            <w:tcW w:w="2437" w:type="dxa"/>
            <w:vAlign w:val="center"/>
          </w:tcPr>
          <w:p w14:paraId="66EF2DFD" w14:textId="32F5D284" w:rsidR="009A553E" w:rsidRPr="009A553E" w:rsidRDefault="009A553E" w:rsidP="009A553E">
            <w:pPr>
              <w:jc w:val="left"/>
              <w:rPr>
                <w:rFonts w:ascii="Arial Narrow" w:hAnsi="Arial Narrow" w:cs="Calibri"/>
                <w:b/>
                <w:bCs/>
                <w:color w:val="000000"/>
                <w:sz w:val="20"/>
                <w:szCs w:val="20"/>
              </w:rPr>
            </w:pPr>
            <w:r w:rsidRPr="009A553E">
              <w:rPr>
                <w:rFonts w:ascii="Arial Narrow" w:hAnsi="Arial Narrow" w:cs="Calibri"/>
                <w:color w:val="000000"/>
                <w:sz w:val="20"/>
                <w:szCs w:val="20"/>
              </w:rPr>
              <w:t>Consistency of Evidence</w:t>
            </w:r>
          </w:p>
        </w:tc>
        <w:tc>
          <w:tcPr>
            <w:tcW w:w="720" w:type="dxa"/>
            <w:vAlign w:val="center"/>
          </w:tcPr>
          <w:p w14:paraId="00C42513" w14:textId="7BD4F275"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1</w:t>
            </w:r>
          </w:p>
        </w:tc>
        <w:tc>
          <w:tcPr>
            <w:tcW w:w="720" w:type="dxa"/>
            <w:vAlign w:val="center"/>
          </w:tcPr>
          <w:p w14:paraId="7FCEEC11" w14:textId="7AAA8E53"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1</w:t>
            </w:r>
          </w:p>
        </w:tc>
        <w:tc>
          <w:tcPr>
            <w:tcW w:w="990" w:type="dxa"/>
            <w:vAlign w:val="center"/>
          </w:tcPr>
          <w:p w14:paraId="404341C9" w14:textId="664D47AA"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0</w:t>
            </w:r>
          </w:p>
        </w:tc>
        <w:tc>
          <w:tcPr>
            <w:tcW w:w="990" w:type="dxa"/>
            <w:vAlign w:val="center"/>
          </w:tcPr>
          <w:p w14:paraId="6F3F99E7" w14:textId="035C8F88"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color w:val="000000"/>
                <w:sz w:val="20"/>
                <w:szCs w:val="20"/>
              </w:rPr>
              <w:t>0</w:t>
            </w:r>
          </w:p>
        </w:tc>
        <w:tc>
          <w:tcPr>
            <w:tcW w:w="3600" w:type="dxa"/>
            <w:vAlign w:val="center"/>
          </w:tcPr>
          <w:p w14:paraId="7600239B" w14:textId="10FB05A3" w:rsidR="009A553E" w:rsidRPr="009A553E" w:rsidRDefault="009A553E" w:rsidP="009A553E">
            <w:pPr>
              <w:jc w:val="left"/>
              <w:rPr>
                <w:rFonts w:ascii="Arial Narrow" w:hAnsi="Arial Narrow"/>
                <w:color w:val="000000"/>
                <w:sz w:val="20"/>
                <w:szCs w:val="20"/>
                <w:highlight w:val="yellow"/>
              </w:rPr>
            </w:pPr>
            <w:r w:rsidRPr="009A553E">
              <w:rPr>
                <w:rFonts w:ascii="Arial Narrow" w:hAnsi="Arial Narrow" w:cs="Calibri"/>
                <w:color w:val="000000"/>
                <w:sz w:val="20"/>
                <w:szCs w:val="20"/>
              </w:rPr>
              <w:t>Most evidence supported sediment as a stressor in Wolf Creek and Tinker Creek, but evidence was inconsistent in Roanoke River.</w:t>
            </w:r>
          </w:p>
        </w:tc>
      </w:tr>
      <w:tr w:rsidR="009A553E" w:rsidRPr="009A553E" w14:paraId="0D31A5EF" w14:textId="77777777" w:rsidTr="009A553E">
        <w:trPr>
          <w:trHeight w:val="247"/>
        </w:trPr>
        <w:tc>
          <w:tcPr>
            <w:tcW w:w="2437" w:type="dxa"/>
            <w:vAlign w:val="center"/>
          </w:tcPr>
          <w:p w14:paraId="25DD19AF" w14:textId="5F1D2E99" w:rsidR="009A553E" w:rsidRPr="009A553E" w:rsidRDefault="009A553E" w:rsidP="009A553E">
            <w:pPr>
              <w:jc w:val="right"/>
              <w:rPr>
                <w:rFonts w:ascii="Arial Narrow" w:hAnsi="Arial Narrow" w:cs="Calibri"/>
                <w:b/>
                <w:bCs/>
                <w:color w:val="000000"/>
                <w:sz w:val="20"/>
                <w:szCs w:val="20"/>
              </w:rPr>
            </w:pPr>
            <w:r w:rsidRPr="009A553E">
              <w:rPr>
                <w:rFonts w:ascii="Arial Narrow" w:hAnsi="Arial Narrow" w:cs="Calibri"/>
                <w:b/>
                <w:bCs/>
                <w:color w:val="000000"/>
                <w:sz w:val="20"/>
                <w:szCs w:val="20"/>
              </w:rPr>
              <w:t>Sum</w:t>
            </w:r>
          </w:p>
        </w:tc>
        <w:tc>
          <w:tcPr>
            <w:tcW w:w="720" w:type="dxa"/>
            <w:vAlign w:val="center"/>
          </w:tcPr>
          <w:p w14:paraId="2E2F215F" w14:textId="7D918CEE"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b/>
                <w:color w:val="000000"/>
                <w:sz w:val="20"/>
                <w:szCs w:val="20"/>
              </w:rPr>
              <w:t>10</w:t>
            </w:r>
          </w:p>
        </w:tc>
        <w:tc>
          <w:tcPr>
            <w:tcW w:w="720" w:type="dxa"/>
            <w:vAlign w:val="center"/>
          </w:tcPr>
          <w:p w14:paraId="61200856" w14:textId="53D86F23"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b/>
                <w:color w:val="000000"/>
                <w:sz w:val="20"/>
                <w:szCs w:val="20"/>
              </w:rPr>
              <w:t>13</w:t>
            </w:r>
          </w:p>
        </w:tc>
        <w:tc>
          <w:tcPr>
            <w:tcW w:w="990" w:type="dxa"/>
            <w:vAlign w:val="center"/>
          </w:tcPr>
          <w:p w14:paraId="24ECA861" w14:textId="312C621D"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b/>
                <w:color w:val="000000"/>
                <w:sz w:val="20"/>
                <w:szCs w:val="20"/>
              </w:rPr>
              <w:t>6</w:t>
            </w:r>
          </w:p>
        </w:tc>
        <w:tc>
          <w:tcPr>
            <w:tcW w:w="990" w:type="dxa"/>
            <w:vAlign w:val="center"/>
          </w:tcPr>
          <w:p w14:paraId="2604629D" w14:textId="0EBCC88E" w:rsidR="009A553E" w:rsidRPr="009A553E" w:rsidRDefault="009A553E" w:rsidP="009A553E">
            <w:pPr>
              <w:jc w:val="center"/>
              <w:rPr>
                <w:rFonts w:ascii="Arial Narrow" w:hAnsi="Arial Narrow" w:cs="Calibri"/>
                <w:b/>
                <w:color w:val="000000"/>
                <w:sz w:val="20"/>
                <w:szCs w:val="20"/>
              </w:rPr>
            </w:pPr>
            <w:r w:rsidRPr="009A553E">
              <w:rPr>
                <w:rFonts w:ascii="Arial Narrow" w:hAnsi="Arial Narrow" w:cs="Calibri"/>
                <w:b/>
                <w:color w:val="000000"/>
                <w:sz w:val="20"/>
                <w:szCs w:val="20"/>
              </w:rPr>
              <w:t>-12</w:t>
            </w:r>
          </w:p>
        </w:tc>
        <w:tc>
          <w:tcPr>
            <w:tcW w:w="3600" w:type="dxa"/>
            <w:vAlign w:val="center"/>
          </w:tcPr>
          <w:p w14:paraId="1147DE8E" w14:textId="77777777" w:rsidR="009A553E" w:rsidRPr="009A553E" w:rsidRDefault="009A553E" w:rsidP="009A553E">
            <w:pPr>
              <w:jc w:val="left"/>
              <w:rPr>
                <w:rFonts w:ascii="Arial Narrow" w:hAnsi="Arial Narrow"/>
                <w:b/>
                <w:color w:val="000000"/>
                <w:sz w:val="20"/>
                <w:szCs w:val="20"/>
                <w:highlight w:val="yellow"/>
              </w:rPr>
            </w:pPr>
          </w:p>
        </w:tc>
      </w:tr>
    </w:tbl>
    <w:p w14:paraId="2BBF9139" w14:textId="77777777" w:rsidR="00B32C1C" w:rsidRPr="007A0C83" w:rsidRDefault="00B32C1C" w:rsidP="00B32C1C">
      <w:pPr>
        <w:pStyle w:val="BlockText"/>
        <w:rPr>
          <w:highlight w:val="yellow"/>
        </w:rPr>
      </w:pPr>
    </w:p>
    <w:p w14:paraId="279ECC9B" w14:textId="77777777" w:rsidR="008A1F50" w:rsidRPr="0061256D" w:rsidRDefault="008A1F50" w:rsidP="00B32C1C">
      <w:pPr>
        <w:pStyle w:val="Heading2"/>
      </w:pPr>
      <w:bookmarkStart w:id="236" w:name="_Toc162948197"/>
      <w:r w:rsidRPr="0061256D">
        <w:t>Organic Matter</w:t>
      </w:r>
      <w:bookmarkEnd w:id="236"/>
    </w:p>
    <w:p w14:paraId="121C273C" w14:textId="4BD8D270" w:rsidR="008A1F50" w:rsidRDefault="008A1F50" w:rsidP="008A1F50">
      <w:pPr>
        <w:pStyle w:val="BlockText"/>
      </w:pPr>
      <w:r w:rsidRPr="0061256D">
        <w:fldChar w:fldCharType="begin"/>
      </w:r>
      <w:r w:rsidRPr="0061256D">
        <w:instrText xml:space="preserve"> REF _Ref50647348 \h  \* MERGEFORMAT </w:instrText>
      </w:r>
      <w:r w:rsidRPr="0061256D">
        <w:fldChar w:fldCharType="separate"/>
      </w:r>
      <w:r w:rsidR="004A78BF" w:rsidRPr="0061256D">
        <w:t xml:space="preserve">Table </w:t>
      </w:r>
      <w:r w:rsidR="004A78BF">
        <w:rPr>
          <w:noProof/>
        </w:rPr>
        <w:t>37</w:t>
      </w:r>
      <w:r w:rsidRPr="0061256D">
        <w:fldChar w:fldCharType="end"/>
      </w:r>
      <w:r w:rsidRPr="0061256D">
        <w:t xml:space="preserve"> shows the causal analysis results for organic matter</w:t>
      </w:r>
      <w:r w:rsidR="0061256D">
        <w:t>.</w:t>
      </w:r>
      <w:r w:rsidRPr="0061256D">
        <w:t xml:space="preserve"> Total causal analysis scores </w:t>
      </w:r>
      <w:r w:rsidR="00F82820">
        <w:t xml:space="preserve">ranged from </w:t>
      </w:r>
      <w:r w:rsidRPr="0061256D">
        <w:t>-</w:t>
      </w:r>
      <w:r w:rsidR="00B0308F">
        <w:t>9</w:t>
      </w:r>
      <w:r w:rsidR="00F82820">
        <w:t xml:space="preserve"> to -1</w:t>
      </w:r>
      <w:r w:rsidR="00B0308F">
        <w:t>2</w:t>
      </w:r>
      <w:r w:rsidR="00F82820">
        <w:t xml:space="preserve">, indicating that there is moderate </w:t>
      </w:r>
      <w:r w:rsidR="00B0308F">
        <w:t xml:space="preserve">to strong </w:t>
      </w:r>
      <w:r w:rsidR="00F82820">
        <w:t xml:space="preserve">evidence </w:t>
      </w:r>
      <w:r w:rsidRPr="0061256D">
        <w:t xml:space="preserve">that organic matter is a non-stressor in </w:t>
      </w:r>
      <w:r w:rsidR="00F82820">
        <w:t xml:space="preserve">Roanoke River Project streams. </w:t>
      </w:r>
      <w:r w:rsidR="00B0308F">
        <w:t xml:space="preserve">Indicators of organic matter enrichment, such as total volatile solids, total organic carbon, and dissolved organic carbon in impaired streams were not statistically different from the reference. Total volatile solids were also not correlated with benthic health across sites. </w:t>
      </w:r>
      <w:r w:rsidR="0061256D">
        <w:t xml:space="preserve">In addition, dissolved oxygen levels were relatively high in </w:t>
      </w:r>
      <w:r w:rsidR="00B0308F">
        <w:t>each of the impaired streams</w:t>
      </w:r>
      <w:r w:rsidR="0061256D">
        <w:t xml:space="preserve">, meaning that the pathway from organic matter to decomposition to low dissolved oxygen was not intact. </w:t>
      </w:r>
      <w:r w:rsidRPr="0061256D">
        <w:t xml:space="preserve">For these reasons and others explained in </w:t>
      </w:r>
      <w:r w:rsidRPr="0061256D">
        <w:fldChar w:fldCharType="begin"/>
      </w:r>
      <w:r w:rsidRPr="0061256D">
        <w:instrText xml:space="preserve"> REF _Ref50647348 \h  \* MERGEFORMAT </w:instrText>
      </w:r>
      <w:r w:rsidRPr="0061256D">
        <w:fldChar w:fldCharType="separate"/>
      </w:r>
      <w:r w:rsidR="004A78BF" w:rsidRPr="0061256D">
        <w:t xml:space="preserve">Table </w:t>
      </w:r>
      <w:r w:rsidR="004A78BF">
        <w:rPr>
          <w:noProof/>
        </w:rPr>
        <w:t>37</w:t>
      </w:r>
      <w:r w:rsidRPr="0061256D">
        <w:fldChar w:fldCharType="end"/>
      </w:r>
      <w:r w:rsidRPr="0061256D">
        <w:t>, organic matter was categorized as a non-stressor</w:t>
      </w:r>
      <w:r w:rsidR="0061256D">
        <w:t xml:space="preserve"> in </w:t>
      </w:r>
      <w:r w:rsidR="00B0308F">
        <w:t>Roanoke River Project streams</w:t>
      </w:r>
      <w:r w:rsidR="000A323F">
        <w:t xml:space="preserve">. </w:t>
      </w:r>
      <w:r w:rsidRPr="0061256D">
        <w:t xml:space="preserve"> </w:t>
      </w:r>
    </w:p>
    <w:p w14:paraId="01A8A17F" w14:textId="77777777" w:rsidR="006F3068" w:rsidRPr="0061256D" w:rsidRDefault="006F3068" w:rsidP="005E4B50">
      <w:pPr>
        <w:pStyle w:val="BlockText"/>
        <w:spacing w:before="0" w:after="0" w:line="240" w:lineRule="auto"/>
      </w:pPr>
    </w:p>
    <w:p w14:paraId="5D19E2DD" w14:textId="60FE39B9" w:rsidR="008A1F50" w:rsidRPr="0061256D" w:rsidRDefault="008A1F50" w:rsidP="008A1F50">
      <w:pPr>
        <w:pStyle w:val="Caption"/>
      </w:pPr>
      <w:bookmarkStart w:id="237" w:name="_Ref50647348"/>
      <w:bookmarkStart w:id="238" w:name="_Toc162948304"/>
      <w:r w:rsidRPr="0061256D">
        <w:t xml:space="preserve">Table </w:t>
      </w:r>
      <w:r w:rsidRPr="0061256D">
        <w:rPr>
          <w:noProof/>
        </w:rPr>
        <w:fldChar w:fldCharType="begin"/>
      </w:r>
      <w:r w:rsidRPr="0061256D">
        <w:rPr>
          <w:noProof/>
        </w:rPr>
        <w:instrText xml:space="preserve"> SEQ Table \* ARABIC </w:instrText>
      </w:r>
      <w:r w:rsidRPr="0061256D">
        <w:rPr>
          <w:noProof/>
        </w:rPr>
        <w:fldChar w:fldCharType="separate"/>
      </w:r>
      <w:r w:rsidR="004A78BF">
        <w:rPr>
          <w:noProof/>
        </w:rPr>
        <w:t>37</w:t>
      </w:r>
      <w:r w:rsidRPr="0061256D">
        <w:rPr>
          <w:noProof/>
        </w:rPr>
        <w:fldChar w:fldCharType="end"/>
      </w:r>
      <w:bookmarkEnd w:id="237"/>
      <w:r w:rsidRPr="0061256D">
        <w:t>. Causal analysis results for organic matter.</w:t>
      </w:r>
      <w:bookmarkEnd w:id="238"/>
    </w:p>
    <w:tbl>
      <w:tblPr>
        <w:tblW w:w="9457"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7"/>
        <w:gridCol w:w="720"/>
        <w:gridCol w:w="720"/>
        <w:gridCol w:w="990"/>
        <w:gridCol w:w="990"/>
        <w:gridCol w:w="3600"/>
      </w:tblGrid>
      <w:tr w:rsidR="00250E0C" w:rsidRPr="007A0C83" w14:paraId="560A180A" w14:textId="77777777" w:rsidTr="003B79DD">
        <w:trPr>
          <w:cantSplit/>
          <w:trHeight w:val="1080"/>
        </w:trPr>
        <w:tc>
          <w:tcPr>
            <w:tcW w:w="2437" w:type="dxa"/>
            <w:shd w:val="clear" w:color="auto" w:fill="D9D9D9" w:themeFill="background1" w:themeFillShade="D9"/>
            <w:vAlign w:val="center"/>
          </w:tcPr>
          <w:p w14:paraId="348A3E18" w14:textId="77777777" w:rsidR="00250E0C" w:rsidRPr="00396EC1" w:rsidRDefault="00250E0C" w:rsidP="003B79DD">
            <w:pPr>
              <w:jc w:val="center"/>
              <w:rPr>
                <w:rFonts w:ascii="Arial Narrow" w:hAnsi="Arial Narrow"/>
                <w:b/>
                <w:sz w:val="20"/>
                <w:szCs w:val="20"/>
              </w:rPr>
            </w:pPr>
            <w:r w:rsidRPr="00396EC1">
              <w:rPr>
                <w:rFonts w:ascii="Arial Narrow" w:hAnsi="Arial Narrow"/>
                <w:b/>
                <w:sz w:val="20"/>
                <w:szCs w:val="20"/>
              </w:rPr>
              <w:t>Evidence</w:t>
            </w:r>
          </w:p>
        </w:tc>
        <w:tc>
          <w:tcPr>
            <w:tcW w:w="720" w:type="dxa"/>
            <w:shd w:val="clear" w:color="auto" w:fill="D9D9D9" w:themeFill="background1" w:themeFillShade="D9"/>
            <w:vAlign w:val="center"/>
          </w:tcPr>
          <w:p w14:paraId="367CEBBF" w14:textId="77777777" w:rsidR="00250E0C" w:rsidRPr="00396EC1" w:rsidRDefault="00250E0C" w:rsidP="003B79DD">
            <w:pPr>
              <w:jc w:val="center"/>
              <w:rPr>
                <w:rFonts w:ascii="Arial Narrow" w:hAnsi="Arial Narrow"/>
                <w:b/>
                <w:sz w:val="20"/>
                <w:szCs w:val="20"/>
              </w:rPr>
            </w:pPr>
            <w:r>
              <w:rPr>
                <w:rFonts w:ascii="Arial Narrow" w:hAnsi="Arial Narrow"/>
                <w:b/>
                <w:sz w:val="20"/>
                <w:szCs w:val="20"/>
              </w:rPr>
              <w:t>Wolf Creek</w:t>
            </w:r>
          </w:p>
        </w:tc>
        <w:tc>
          <w:tcPr>
            <w:tcW w:w="720" w:type="dxa"/>
            <w:shd w:val="clear" w:color="auto" w:fill="D9D9D9" w:themeFill="background1" w:themeFillShade="D9"/>
            <w:vAlign w:val="center"/>
          </w:tcPr>
          <w:p w14:paraId="716CCDBC" w14:textId="77777777" w:rsidR="00250E0C" w:rsidRPr="00396EC1" w:rsidRDefault="00250E0C" w:rsidP="003B79DD">
            <w:pPr>
              <w:jc w:val="center"/>
              <w:rPr>
                <w:rFonts w:ascii="Arial Narrow" w:hAnsi="Arial Narrow"/>
                <w:b/>
                <w:sz w:val="20"/>
                <w:szCs w:val="20"/>
              </w:rPr>
            </w:pPr>
            <w:r>
              <w:rPr>
                <w:rFonts w:ascii="Arial Narrow" w:hAnsi="Arial Narrow"/>
                <w:b/>
                <w:sz w:val="20"/>
                <w:szCs w:val="20"/>
              </w:rPr>
              <w:t>Tinker Creek</w:t>
            </w:r>
          </w:p>
        </w:tc>
        <w:tc>
          <w:tcPr>
            <w:tcW w:w="990" w:type="dxa"/>
            <w:shd w:val="clear" w:color="auto" w:fill="D9D9D9" w:themeFill="background1" w:themeFillShade="D9"/>
            <w:vAlign w:val="center"/>
          </w:tcPr>
          <w:p w14:paraId="761D8CD8" w14:textId="77777777" w:rsidR="00250E0C" w:rsidRPr="00396EC1" w:rsidRDefault="00250E0C" w:rsidP="003B79DD">
            <w:pPr>
              <w:jc w:val="center"/>
              <w:rPr>
                <w:rFonts w:ascii="Arial Narrow" w:hAnsi="Arial Narrow"/>
                <w:b/>
                <w:sz w:val="20"/>
                <w:szCs w:val="20"/>
              </w:rPr>
            </w:pPr>
            <w:r>
              <w:rPr>
                <w:rFonts w:ascii="Arial Narrow" w:hAnsi="Arial Narrow"/>
                <w:b/>
                <w:sz w:val="20"/>
                <w:szCs w:val="20"/>
              </w:rPr>
              <w:t>Roanoke River (202.20)</w:t>
            </w:r>
          </w:p>
        </w:tc>
        <w:tc>
          <w:tcPr>
            <w:tcW w:w="990" w:type="dxa"/>
            <w:shd w:val="clear" w:color="auto" w:fill="D9D9D9" w:themeFill="background1" w:themeFillShade="D9"/>
            <w:vAlign w:val="center"/>
          </w:tcPr>
          <w:p w14:paraId="66B13BDE" w14:textId="77777777" w:rsidR="00250E0C" w:rsidRPr="00396EC1" w:rsidRDefault="00250E0C" w:rsidP="003B79DD">
            <w:pPr>
              <w:jc w:val="center"/>
              <w:rPr>
                <w:rFonts w:ascii="Arial Narrow" w:hAnsi="Arial Narrow"/>
                <w:b/>
                <w:sz w:val="20"/>
                <w:szCs w:val="20"/>
              </w:rPr>
            </w:pPr>
            <w:r>
              <w:rPr>
                <w:rFonts w:ascii="Arial Narrow" w:hAnsi="Arial Narrow"/>
                <w:b/>
                <w:sz w:val="20"/>
                <w:szCs w:val="20"/>
              </w:rPr>
              <w:t>Roanoke River (198.08)</w:t>
            </w:r>
          </w:p>
        </w:tc>
        <w:tc>
          <w:tcPr>
            <w:tcW w:w="3600" w:type="dxa"/>
            <w:shd w:val="clear" w:color="auto" w:fill="D9D9D9" w:themeFill="background1" w:themeFillShade="D9"/>
            <w:vAlign w:val="center"/>
          </w:tcPr>
          <w:p w14:paraId="3852A82A" w14:textId="77777777" w:rsidR="00250E0C" w:rsidRPr="00613B31" w:rsidRDefault="00250E0C" w:rsidP="003B79DD">
            <w:pPr>
              <w:jc w:val="center"/>
              <w:rPr>
                <w:rFonts w:ascii="Arial Narrow" w:hAnsi="Arial Narrow"/>
                <w:b/>
                <w:sz w:val="20"/>
                <w:szCs w:val="20"/>
              </w:rPr>
            </w:pPr>
            <w:r w:rsidRPr="00396EC1">
              <w:rPr>
                <w:rFonts w:ascii="Arial Narrow" w:hAnsi="Arial Narrow"/>
                <w:b/>
                <w:sz w:val="20"/>
                <w:szCs w:val="20"/>
              </w:rPr>
              <w:t>Explanation</w:t>
            </w:r>
          </w:p>
        </w:tc>
      </w:tr>
      <w:tr w:rsidR="009A553E" w:rsidRPr="007A0C83" w14:paraId="39481845" w14:textId="77777777" w:rsidTr="003B79DD">
        <w:trPr>
          <w:trHeight w:val="247"/>
        </w:trPr>
        <w:tc>
          <w:tcPr>
            <w:tcW w:w="2437" w:type="dxa"/>
            <w:vAlign w:val="center"/>
          </w:tcPr>
          <w:p w14:paraId="5C492E18" w14:textId="26390ECB" w:rsidR="009A553E" w:rsidRPr="009A553E" w:rsidRDefault="009A553E" w:rsidP="009A553E">
            <w:pPr>
              <w:jc w:val="left"/>
              <w:rPr>
                <w:rFonts w:ascii="Arial Narrow" w:hAnsi="Arial Narrow"/>
                <w:sz w:val="20"/>
                <w:szCs w:val="20"/>
                <w:highlight w:val="yellow"/>
              </w:rPr>
            </w:pPr>
            <w:r w:rsidRPr="009A553E">
              <w:rPr>
                <w:rFonts w:ascii="Arial Narrow" w:hAnsi="Arial Narrow" w:cs="Calibri"/>
                <w:color w:val="000000"/>
                <w:sz w:val="20"/>
                <w:szCs w:val="20"/>
              </w:rPr>
              <w:t>Spatial Co-occurrence</w:t>
            </w:r>
          </w:p>
        </w:tc>
        <w:tc>
          <w:tcPr>
            <w:tcW w:w="720" w:type="dxa"/>
            <w:vAlign w:val="center"/>
          </w:tcPr>
          <w:p w14:paraId="7E7A2F39" w14:textId="79E23F2C" w:rsidR="009A553E" w:rsidRPr="009A553E" w:rsidRDefault="009A553E" w:rsidP="003B79DD">
            <w:pPr>
              <w:jc w:val="center"/>
              <w:rPr>
                <w:rFonts w:ascii="Arial Narrow" w:hAnsi="Arial Narrow" w:cs="Calibri"/>
                <w:color w:val="000000"/>
                <w:sz w:val="20"/>
                <w:szCs w:val="20"/>
              </w:rPr>
            </w:pPr>
            <w:r w:rsidRPr="009A553E">
              <w:rPr>
                <w:rFonts w:ascii="Arial Narrow" w:hAnsi="Arial Narrow" w:cs="Calibri"/>
                <w:color w:val="000000"/>
                <w:sz w:val="20"/>
                <w:szCs w:val="20"/>
              </w:rPr>
              <w:t>-2</w:t>
            </w:r>
          </w:p>
        </w:tc>
        <w:tc>
          <w:tcPr>
            <w:tcW w:w="720" w:type="dxa"/>
            <w:vAlign w:val="center"/>
          </w:tcPr>
          <w:p w14:paraId="30729C1D" w14:textId="12005F31" w:rsidR="009A553E" w:rsidRPr="009A553E" w:rsidRDefault="009A553E" w:rsidP="003B79DD">
            <w:pPr>
              <w:jc w:val="center"/>
              <w:rPr>
                <w:rFonts w:ascii="Arial Narrow" w:hAnsi="Arial Narrow" w:cs="Calibri"/>
                <w:color w:val="000000"/>
                <w:sz w:val="20"/>
                <w:szCs w:val="20"/>
              </w:rPr>
            </w:pPr>
            <w:r w:rsidRPr="009A553E">
              <w:rPr>
                <w:rFonts w:ascii="Arial Narrow" w:hAnsi="Arial Narrow" w:cs="Calibri"/>
                <w:color w:val="000000"/>
                <w:sz w:val="20"/>
                <w:szCs w:val="20"/>
              </w:rPr>
              <w:t>-2</w:t>
            </w:r>
          </w:p>
        </w:tc>
        <w:tc>
          <w:tcPr>
            <w:tcW w:w="990" w:type="dxa"/>
            <w:vAlign w:val="center"/>
          </w:tcPr>
          <w:p w14:paraId="37DBC87F" w14:textId="379F66BD" w:rsidR="009A553E" w:rsidRPr="009A553E" w:rsidRDefault="009A553E" w:rsidP="003B79DD">
            <w:pPr>
              <w:jc w:val="center"/>
              <w:rPr>
                <w:rFonts w:ascii="Arial Narrow" w:hAnsi="Arial Narrow" w:cs="Calibri"/>
                <w:color w:val="000000"/>
                <w:sz w:val="20"/>
                <w:szCs w:val="20"/>
              </w:rPr>
            </w:pPr>
            <w:r w:rsidRPr="009A553E">
              <w:rPr>
                <w:rFonts w:ascii="Arial Narrow" w:hAnsi="Arial Narrow" w:cs="Calibri"/>
                <w:color w:val="000000"/>
                <w:sz w:val="20"/>
                <w:szCs w:val="20"/>
              </w:rPr>
              <w:t>-2</w:t>
            </w:r>
          </w:p>
        </w:tc>
        <w:tc>
          <w:tcPr>
            <w:tcW w:w="990" w:type="dxa"/>
            <w:vAlign w:val="center"/>
          </w:tcPr>
          <w:p w14:paraId="05A78050" w14:textId="07157494" w:rsidR="009A553E" w:rsidRPr="009A553E" w:rsidRDefault="009A553E" w:rsidP="003B79DD">
            <w:pPr>
              <w:jc w:val="center"/>
              <w:rPr>
                <w:rFonts w:ascii="Arial Narrow" w:hAnsi="Arial Narrow"/>
                <w:color w:val="000000"/>
                <w:sz w:val="20"/>
                <w:szCs w:val="20"/>
                <w:highlight w:val="yellow"/>
              </w:rPr>
            </w:pPr>
            <w:r w:rsidRPr="009A553E">
              <w:rPr>
                <w:rFonts w:ascii="Arial Narrow" w:hAnsi="Arial Narrow" w:cs="Calibri"/>
                <w:color w:val="000000"/>
                <w:sz w:val="20"/>
                <w:szCs w:val="20"/>
              </w:rPr>
              <w:t>-2</w:t>
            </w:r>
          </w:p>
        </w:tc>
        <w:tc>
          <w:tcPr>
            <w:tcW w:w="3600" w:type="dxa"/>
            <w:vAlign w:val="center"/>
          </w:tcPr>
          <w:p w14:paraId="05F23E2E" w14:textId="14200A2B" w:rsidR="009A553E" w:rsidRPr="009A553E" w:rsidRDefault="009A553E" w:rsidP="009A553E">
            <w:pPr>
              <w:jc w:val="left"/>
              <w:rPr>
                <w:rFonts w:ascii="Arial Narrow" w:hAnsi="Arial Narrow"/>
                <w:color w:val="000000"/>
                <w:sz w:val="20"/>
                <w:szCs w:val="20"/>
                <w:highlight w:val="yellow"/>
              </w:rPr>
            </w:pPr>
            <w:r w:rsidRPr="009A553E">
              <w:rPr>
                <w:rFonts w:ascii="Arial Narrow" w:hAnsi="Arial Narrow" w:cs="Calibri"/>
                <w:color w:val="000000"/>
                <w:sz w:val="20"/>
                <w:szCs w:val="20"/>
              </w:rPr>
              <w:t>Total volatile solids, total organic carbon, and dissolved organic carbon were not statistically higher in any of the impaired streams than relevant references.</w:t>
            </w:r>
          </w:p>
        </w:tc>
      </w:tr>
      <w:tr w:rsidR="009A553E" w:rsidRPr="007A0C83" w14:paraId="6FA16A9E" w14:textId="77777777" w:rsidTr="003B79DD">
        <w:trPr>
          <w:trHeight w:val="247"/>
        </w:trPr>
        <w:tc>
          <w:tcPr>
            <w:tcW w:w="2437" w:type="dxa"/>
            <w:vAlign w:val="center"/>
          </w:tcPr>
          <w:p w14:paraId="1DD7D354" w14:textId="33579864" w:rsidR="009A553E" w:rsidRPr="009A553E" w:rsidRDefault="009A553E" w:rsidP="009A553E">
            <w:pPr>
              <w:jc w:val="left"/>
              <w:rPr>
                <w:rFonts w:ascii="Arial Narrow" w:hAnsi="Arial Narrow"/>
                <w:sz w:val="20"/>
                <w:szCs w:val="20"/>
                <w:highlight w:val="yellow"/>
              </w:rPr>
            </w:pPr>
            <w:r w:rsidRPr="009A553E">
              <w:rPr>
                <w:rFonts w:ascii="Arial Narrow" w:hAnsi="Arial Narrow" w:cs="Calibri"/>
                <w:color w:val="000000"/>
                <w:sz w:val="20"/>
                <w:szCs w:val="20"/>
              </w:rPr>
              <w:t>Temporal Co-occurrence</w:t>
            </w:r>
          </w:p>
        </w:tc>
        <w:tc>
          <w:tcPr>
            <w:tcW w:w="720" w:type="dxa"/>
            <w:vAlign w:val="center"/>
          </w:tcPr>
          <w:p w14:paraId="7BD30332" w14:textId="7A11CC5B" w:rsidR="009A553E" w:rsidRPr="009A553E" w:rsidRDefault="009A553E" w:rsidP="003B79DD">
            <w:pPr>
              <w:jc w:val="center"/>
              <w:rPr>
                <w:rFonts w:ascii="Arial Narrow" w:hAnsi="Arial Narrow" w:cs="Calibri"/>
                <w:color w:val="000000"/>
                <w:sz w:val="20"/>
                <w:szCs w:val="20"/>
              </w:rPr>
            </w:pPr>
            <w:r w:rsidRPr="009A553E">
              <w:rPr>
                <w:rFonts w:ascii="Arial Narrow" w:hAnsi="Arial Narrow" w:cs="Calibri"/>
                <w:color w:val="000000"/>
                <w:sz w:val="20"/>
                <w:szCs w:val="20"/>
              </w:rPr>
              <w:t>-1</w:t>
            </w:r>
          </w:p>
        </w:tc>
        <w:tc>
          <w:tcPr>
            <w:tcW w:w="720" w:type="dxa"/>
            <w:vAlign w:val="center"/>
          </w:tcPr>
          <w:p w14:paraId="692E9284" w14:textId="18F56ECB" w:rsidR="009A553E" w:rsidRPr="009A553E" w:rsidRDefault="009A553E" w:rsidP="003B79DD">
            <w:pPr>
              <w:jc w:val="center"/>
              <w:rPr>
                <w:rFonts w:ascii="Arial Narrow" w:hAnsi="Arial Narrow" w:cs="Calibri"/>
                <w:color w:val="000000"/>
                <w:sz w:val="20"/>
                <w:szCs w:val="20"/>
              </w:rPr>
            </w:pPr>
            <w:r w:rsidRPr="009A553E">
              <w:rPr>
                <w:rFonts w:ascii="Arial Narrow" w:hAnsi="Arial Narrow" w:cs="Calibri"/>
                <w:color w:val="000000"/>
                <w:sz w:val="20"/>
                <w:szCs w:val="20"/>
              </w:rPr>
              <w:t>0</w:t>
            </w:r>
          </w:p>
        </w:tc>
        <w:tc>
          <w:tcPr>
            <w:tcW w:w="990" w:type="dxa"/>
            <w:vAlign w:val="center"/>
          </w:tcPr>
          <w:p w14:paraId="3AB7CDCF" w14:textId="40E93359" w:rsidR="009A553E" w:rsidRPr="009A553E" w:rsidRDefault="009A553E" w:rsidP="003B79DD">
            <w:pPr>
              <w:jc w:val="center"/>
              <w:rPr>
                <w:rFonts w:ascii="Arial Narrow" w:hAnsi="Arial Narrow" w:cs="Calibri"/>
                <w:color w:val="000000"/>
                <w:sz w:val="20"/>
                <w:szCs w:val="20"/>
              </w:rPr>
            </w:pPr>
            <w:r w:rsidRPr="009A553E">
              <w:rPr>
                <w:rFonts w:ascii="Arial Narrow" w:hAnsi="Arial Narrow" w:cs="Calibri"/>
                <w:color w:val="000000"/>
                <w:sz w:val="20"/>
                <w:szCs w:val="20"/>
              </w:rPr>
              <w:t>-1</w:t>
            </w:r>
          </w:p>
        </w:tc>
        <w:tc>
          <w:tcPr>
            <w:tcW w:w="990" w:type="dxa"/>
            <w:vAlign w:val="center"/>
          </w:tcPr>
          <w:p w14:paraId="385F61B4" w14:textId="05E6FF9E" w:rsidR="009A553E" w:rsidRPr="009A553E" w:rsidRDefault="009A553E" w:rsidP="003B79DD">
            <w:pPr>
              <w:jc w:val="center"/>
              <w:rPr>
                <w:rFonts w:ascii="Arial Narrow" w:hAnsi="Arial Narrow"/>
                <w:color w:val="000000"/>
                <w:sz w:val="20"/>
                <w:szCs w:val="20"/>
                <w:highlight w:val="yellow"/>
              </w:rPr>
            </w:pPr>
            <w:r w:rsidRPr="009A553E">
              <w:rPr>
                <w:rFonts w:ascii="Arial Narrow" w:hAnsi="Arial Narrow" w:cs="Calibri"/>
                <w:color w:val="000000"/>
                <w:sz w:val="20"/>
                <w:szCs w:val="20"/>
              </w:rPr>
              <w:t>0</w:t>
            </w:r>
          </w:p>
        </w:tc>
        <w:tc>
          <w:tcPr>
            <w:tcW w:w="3600" w:type="dxa"/>
            <w:vAlign w:val="center"/>
          </w:tcPr>
          <w:p w14:paraId="3E34189F" w14:textId="4A1E675E" w:rsidR="009A553E" w:rsidRPr="009A553E" w:rsidRDefault="009A553E" w:rsidP="009A553E">
            <w:pPr>
              <w:jc w:val="left"/>
              <w:rPr>
                <w:rFonts w:ascii="Arial Narrow" w:hAnsi="Arial Narrow"/>
                <w:color w:val="000000"/>
                <w:sz w:val="20"/>
                <w:szCs w:val="20"/>
                <w:highlight w:val="yellow"/>
              </w:rPr>
            </w:pPr>
            <w:r w:rsidRPr="009A553E">
              <w:rPr>
                <w:rFonts w:ascii="Arial Narrow" w:hAnsi="Arial Narrow" w:cs="Calibri"/>
                <w:color w:val="000000"/>
                <w:sz w:val="20"/>
                <w:szCs w:val="20"/>
              </w:rPr>
              <w:t xml:space="preserve">At or around the time of benthic sampling, total volatile solids were below the detection limit in Wolf Creek and Roanoke River (202.20) in limited datasets. </w:t>
            </w:r>
          </w:p>
        </w:tc>
      </w:tr>
      <w:tr w:rsidR="00B0308F" w:rsidRPr="007A0C83" w14:paraId="55DB5128" w14:textId="77777777" w:rsidTr="00B0308F">
        <w:trPr>
          <w:trHeight w:val="247"/>
        </w:trPr>
        <w:tc>
          <w:tcPr>
            <w:tcW w:w="2437" w:type="dxa"/>
            <w:vAlign w:val="center"/>
          </w:tcPr>
          <w:p w14:paraId="2D103C5B" w14:textId="0EBDE205" w:rsidR="00B0308F" w:rsidRPr="00B0308F" w:rsidRDefault="00B0308F" w:rsidP="00B0308F">
            <w:pPr>
              <w:jc w:val="left"/>
              <w:rPr>
                <w:rFonts w:ascii="Arial Narrow" w:hAnsi="Arial Narrow" w:cs="Calibri"/>
                <w:color w:val="000000"/>
                <w:sz w:val="20"/>
                <w:szCs w:val="20"/>
              </w:rPr>
            </w:pPr>
            <w:r w:rsidRPr="00B0308F">
              <w:rPr>
                <w:rFonts w:ascii="Arial Narrow" w:hAnsi="Arial Narrow" w:cs="Calibri"/>
                <w:color w:val="000000"/>
                <w:sz w:val="20"/>
                <w:szCs w:val="20"/>
              </w:rPr>
              <w:t>Causal Pathway</w:t>
            </w:r>
          </w:p>
        </w:tc>
        <w:tc>
          <w:tcPr>
            <w:tcW w:w="720" w:type="dxa"/>
            <w:vAlign w:val="center"/>
          </w:tcPr>
          <w:p w14:paraId="62E84A52" w14:textId="25948653" w:rsidR="00B0308F" w:rsidRPr="00B0308F" w:rsidRDefault="00B0308F" w:rsidP="00B0308F">
            <w:pPr>
              <w:jc w:val="center"/>
              <w:rPr>
                <w:rFonts w:ascii="Arial Narrow" w:hAnsi="Arial Narrow" w:cs="Calibri"/>
                <w:color w:val="000000"/>
                <w:sz w:val="20"/>
                <w:szCs w:val="20"/>
              </w:rPr>
            </w:pPr>
            <w:r w:rsidRPr="00B0308F">
              <w:rPr>
                <w:rFonts w:ascii="Arial Narrow" w:hAnsi="Arial Narrow" w:cs="Calibri"/>
                <w:color w:val="000000"/>
                <w:sz w:val="20"/>
                <w:szCs w:val="20"/>
              </w:rPr>
              <w:t>-2</w:t>
            </w:r>
          </w:p>
        </w:tc>
        <w:tc>
          <w:tcPr>
            <w:tcW w:w="720" w:type="dxa"/>
            <w:vAlign w:val="center"/>
          </w:tcPr>
          <w:p w14:paraId="04780EC6" w14:textId="4DF1F3F2" w:rsidR="00B0308F" w:rsidRPr="00B0308F" w:rsidRDefault="00B0308F" w:rsidP="00B0308F">
            <w:pPr>
              <w:jc w:val="center"/>
              <w:rPr>
                <w:rFonts w:ascii="Arial Narrow" w:hAnsi="Arial Narrow" w:cs="Calibri"/>
                <w:color w:val="000000"/>
                <w:sz w:val="20"/>
                <w:szCs w:val="20"/>
              </w:rPr>
            </w:pPr>
            <w:r w:rsidRPr="00B0308F">
              <w:rPr>
                <w:rFonts w:ascii="Arial Narrow" w:hAnsi="Arial Narrow" w:cs="Calibri"/>
                <w:color w:val="000000"/>
                <w:sz w:val="20"/>
                <w:szCs w:val="20"/>
              </w:rPr>
              <w:t>-2</w:t>
            </w:r>
          </w:p>
        </w:tc>
        <w:tc>
          <w:tcPr>
            <w:tcW w:w="990" w:type="dxa"/>
            <w:vAlign w:val="center"/>
          </w:tcPr>
          <w:p w14:paraId="0CDB7363" w14:textId="562863EE" w:rsidR="00B0308F" w:rsidRPr="00B0308F" w:rsidRDefault="00B0308F" w:rsidP="00B0308F">
            <w:pPr>
              <w:jc w:val="center"/>
              <w:rPr>
                <w:rFonts w:ascii="Arial Narrow" w:hAnsi="Arial Narrow" w:cs="Calibri"/>
                <w:color w:val="000000"/>
                <w:sz w:val="20"/>
                <w:szCs w:val="20"/>
              </w:rPr>
            </w:pPr>
            <w:r w:rsidRPr="00B0308F">
              <w:rPr>
                <w:rFonts w:ascii="Arial Narrow" w:hAnsi="Arial Narrow" w:cs="Calibri"/>
                <w:color w:val="000000"/>
                <w:sz w:val="20"/>
                <w:szCs w:val="20"/>
              </w:rPr>
              <w:t>-2</w:t>
            </w:r>
          </w:p>
        </w:tc>
        <w:tc>
          <w:tcPr>
            <w:tcW w:w="990" w:type="dxa"/>
            <w:vAlign w:val="center"/>
          </w:tcPr>
          <w:p w14:paraId="59E64BF2" w14:textId="668E7335" w:rsidR="00B0308F" w:rsidRPr="00B0308F" w:rsidRDefault="00B0308F" w:rsidP="00B0308F">
            <w:pPr>
              <w:jc w:val="center"/>
              <w:rPr>
                <w:rFonts w:ascii="Arial Narrow" w:hAnsi="Arial Narrow" w:cs="Calibri"/>
                <w:color w:val="000000"/>
                <w:sz w:val="20"/>
                <w:szCs w:val="20"/>
              </w:rPr>
            </w:pPr>
            <w:r w:rsidRPr="00B0308F">
              <w:rPr>
                <w:rFonts w:ascii="Arial Narrow" w:hAnsi="Arial Narrow" w:cs="Calibri"/>
                <w:color w:val="000000"/>
                <w:sz w:val="20"/>
                <w:szCs w:val="20"/>
              </w:rPr>
              <w:t>-2</w:t>
            </w:r>
          </w:p>
        </w:tc>
        <w:tc>
          <w:tcPr>
            <w:tcW w:w="3600" w:type="dxa"/>
            <w:vAlign w:val="center"/>
          </w:tcPr>
          <w:p w14:paraId="72FC587B" w14:textId="01E6989E" w:rsidR="00B0308F" w:rsidRPr="00B0308F" w:rsidRDefault="00B0308F" w:rsidP="00B0308F">
            <w:pPr>
              <w:jc w:val="left"/>
              <w:rPr>
                <w:rFonts w:ascii="Arial Narrow" w:hAnsi="Arial Narrow" w:cs="Calibri"/>
                <w:color w:val="000000"/>
                <w:sz w:val="20"/>
                <w:szCs w:val="20"/>
              </w:rPr>
            </w:pPr>
            <w:r w:rsidRPr="00B0308F">
              <w:rPr>
                <w:rFonts w:ascii="Arial Narrow" w:hAnsi="Arial Narrow" w:cs="Calibri"/>
                <w:color w:val="000000"/>
                <w:sz w:val="20"/>
                <w:szCs w:val="20"/>
              </w:rPr>
              <w:t>Dissolved oxygen levels were relatively high in each of the impaired streams indicating that the causal pathway from organic matter enrichment to heterotrophic respiration to low DO is not intact.</w:t>
            </w:r>
          </w:p>
        </w:tc>
      </w:tr>
      <w:tr w:rsidR="009A553E" w:rsidRPr="007A0C83" w14:paraId="3301B203" w14:textId="77777777" w:rsidTr="003B79DD">
        <w:trPr>
          <w:trHeight w:val="247"/>
        </w:trPr>
        <w:tc>
          <w:tcPr>
            <w:tcW w:w="2437" w:type="dxa"/>
            <w:vAlign w:val="center"/>
          </w:tcPr>
          <w:p w14:paraId="2780CF2A" w14:textId="31811BF9" w:rsidR="009A553E" w:rsidRPr="009A553E" w:rsidRDefault="009A553E" w:rsidP="009A553E">
            <w:pPr>
              <w:jc w:val="left"/>
              <w:rPr>
                <w:rFonts w:ascii="Arial Narrow" w:hAnsi="Arial Narrow"/>
                <w:sz w:val="20"/>
                <w:szCs w:val="20"/>
                <w:highlight w:val="yellow"/>
              </w:rPr>
            </w:pPr>
            <w:r w:rsidRPr="009A553E">
              <w:rPr>
                <w:rFonts w:ascii="Arial Narrow" w:hAnsi="Arial Narrow" w:cs="Calibri"/>
                <w:color w:val="000000"/>
                <w:sz w:val="20"/>
                <w:szCs w:val="20"/>
              </w:rPr>
              <w:t>Stressor-Response Relationships from the Field</w:t>
            </w:r>
          </w:p>
        </w:tc>
        <w:tc>
          <w:tcPr>
            <w:tcW w:w="720" w:type="dxa"/>
            <w:vAlign w:val="center"/>
          </w:tcPr>
          <w:p w14:paraId="139848E4" w14:textId="3E59FE24" w:rsidR="009A553E" w:rsidRPr="009A553E" w:rsidRDefault="009A553E" w:rsidP="003B79DD">
            <w:pPr>
              <w:jc w:val="center"/>
              <w:rPr>
                <w:rFonts w:ascii="Arial Narrow" w:hAnsi="Arial Narrow" w:cs="Calibri"/>
                <w:color w:val="000000"/>
                <w:sz w:val="20"/>
                <w:szCs w:val="20"/>
              </w:rPr>
            </w:pPr>
            <w:r w:rsidRPr="009A553E">
              <w:rPr>
                <w:rFonts w:ascii="Arial Narrow" w:hAnsi="Arial Narrow" w:cs="Calibri"/>
                <w:color w:val="000000"/>
                <w:sz w:val="20"/>
                <w:szCs w:val="20"/>
              </w:rPr>
              <w:t>-2</w:t>
            </w:r>
          </w:p>
        </w:tc>
        <w:tc>
          <w:tcPr>
            <w:tcW w:w="720" w:type="dxa"/>
            <w:vAlign w:val="center"/>
          </w:tcPr>
          <w:p w14:paraId="54310302" w14:textId="0D91D8C7" w:rsidR="009A553E" w:rsidRPr="009A553E" w:rsidRDefault="009A553E" w:rsidP="003B79DD">
            <w:pPr>
              <w:jc w:val="center"/>
              <w:rPr>
                <w:rFonts w:ascii="Arial Narrow" w:hAnsi="Arial Narrow" w:cs="Calibri"/>
                <w:color w:val="000000"/>
                <w:sz w:val="20"/>
                <w:szCs w:val="20"/>
              </w:rPr>
            </w:pPr>
            <w:r w:rsidRPr="009A553E">
              <w:rPr>
                <w:rFonts w:ascii="Arial Narrow" w:hAnsi="Arial Narrow" w:cs="Calibri"/>
                <w:color w:val="000000"/>
                <w:sz w:val="20"/>
                <w:szCs w:val="20"/>
              </w:rPr>
              <w:t>-2</w:t>
            </w:r>
          </w:p>
        </w:tc>
        <w:tc>
          <w:tcPr>
            <w:tcW w:w="990" w:type="dxa"/>
            <w:vAlign w:val="center"/>
          </w:tcPr>
          <w:p w14:paraId="774D35B2" w14:textId="47E1C2E2" w:rsidR="009A553E" w:rsidRPr="009A553E" w:rsidRDefault="009A553E" w:rsidP="003B79DD">
            <w:pPr>
              <w:jc w:val="center"/>
              <w:rPr>
                <w:rFonts w:ascii="Arial Narrow" w:hAnsi="Arial Narrow" w:cs="Calibri"/>
                <w:color w:val="000000"/>
                <w:sz w:val="20"/>
                <w:szCs w:val="20"/>
              </w:rPr>
            </w:pPr>
            <w:r w:rsidRPr="009A553E">
              <w:rPr>
                <w:rFonts w:ascii="Arial Narrow" w:hAnsi="Arial Narrow" w:cs="Calibri"/>
                <w:color w:val="000000"/>
                <w:sz w:val="20"/>
                <w:szCs w:val="20"/>
              </w:rPr>
              <w:t>-2</w:t>
            </w:r>
          </w:p>
        </w:tc>
        <w:tc>
          <w:tcPr>
            <w:tcW w:w="990" w:type="dxa"/>
            <w:vAlign w:val="center"/>
          </w:tcPr>
          <w:p w14:paraId="6811E2ED" w14:textId="4287367A" w:rsidR="009A553E" w:rsidRPr="009A553E" w:rsidRDefault="009A553E" w:rsidP="003B79DD">
            <w:pPr>
              <w:jc w:val="center"/>
              <w:rPr>
                <w:rFonts w:ascii="Arial Narrow" w:hAnsi="Arial Narrow"/>
                <w:color w:val="000000"/>
                <w:sz w:val="20"/>
                <w:szCs w:val="20"/>
                <w:highlight w:val="yellow"/>
              </w:rPr>
            </w:pPr>
            <w:r w:rsidRPr="009A553E">
              <w:rPr>
                <w:rFonts w:ascii="Arial Narrow" w:hAnsi="Arial Narrow" w:cs="Calibri"/>
                <w:color w:val="000000"/>
                <w:sz w:val="20"/>
                <w:szCs w:val="20"/>
              </w:rPr>
              <w:t>-2</w:t>
            </w:r>
          </w:p>
        </w:tc>
        <w:tc>
          <w:tcPr>
            <w:tcW w:w="3600" w:type="dxa"/>
            <w:vAlign w:val="center"/>
          </w:tcPr>
          <w:p w14:paraId="113B8248" w14:textId="6C47E425" w:rsidR="009A553E" w:rsidRPr="009A553E" w:rsidRDefault="009A553E" w:rsidP="009A553E">
            <w:pPr>
              <w:jc w:val="left"/>
              <w:rPr>
                <w:rFonts w:ascii="Arial Narrow" w:hAnsi="Arial Narrow"/>
                <w:color w:val="000000"/>
                <w:sz w:val="20"/>
                <w:szCs w:val="20"/>
                <w:highlight w:val="yellow"/>
              </w:rPr>
            </w:pPr>
            <w:r w:rsidRPr="009A553E">
              <w:rPr>
                <w:rFonts w:ascii="Arial Narrow" w:hAnsi="Arial Narrow" w:cs="Calibri"/>
                <w:color w:val="000000"/>
                <w:sz w:val="20"/>
                <w:szCs w:val="20"/>
              </w:rPr>
              <w:t>Total volatile solids were not significantly correlated with benthic health across sites.</w:t>
            </w:r>
          </w:p>
        </w:tc>
      </w:tr>
      <w:tr w:rsidR="009A553E" w:rsidRPr="007A0C83" w14:paraId="3477AA47" w14:textId="77777777" w:rsidTr="003B79DD">
        <w:trPr>
          <w:trHeight w:val="247"/>
        </w:trPr>
        <w:tc>
          <w:tcPr>
            <w:tcW w:w="2437" w:type="dxa"/>
            <w:vAlign w:val="center"/>
          </w:tcPr>
          <w:p w14:paraId="35710883" w14:textId="2E4585C9" w:rsidR="009A553E" w:rsidRPr="009A553E" w:rsidRDefault="009A553E" w:rsidP="009A553E">
            <w:pPr>
              <w:jc w:val="left"/>
              <w:rPr>
                <w:rFonts w:ascii="Arial Narrow" w:hAnsi="Arial Narrow" w:cs="Calibri"/>
                <w:b/>
                <w:bCs/>
                <w:color w:val="000000"/>
                <w:sz w:val="20"/>
                <w:szCs w:val="20"/>
                <w:highlight w:val="yellow"/>
              </w:rPr>
            </w:pPr>
            <w:r w:rsidRPr="009A553E">
              <w:rPr>
                <w:rFonts w:ascii="Arial Narrow" w:hAnsi="Arial Narrow" w:cs="Calibri"/>
                <w:color w:val="000000"/>
                <w:sz w:val="20"/>
                <w:szCs w:val="20"/>
              </w:rPr>
              <w:t>Temporal Sequence</w:t>
            </w:r>
          </w:p>
        </w:tc>
        <w:tc>
          <w:tcPr>
            <w:tcW w:w="720" w:type="dxa"/>
            <w:vAlign w:val="center"/>
          </w:tcPr>
          <w:p w14:paraId="4C605711" w14:textId="3DB3AAD8" w:rsidR="009A553E" w:rsidRPr="009A553E" w:rsidRDefault="009A553E" w:rsidP="003B79DD">
            <w:pPr>
              <w:jc w:val="center"/>
              <w:rPr>
                <w:rFonts w:ascii="Arial Narrow" w:hAnsi="Arial Narrow" w:cs="Calibri"/>
                <w:color w:val="000000"/>
                <w:sz w:val="20"/>
                <w:szCs w:val="20"/>
              </w:rPr>
            </w:pPr>
            <w:r w:rsidRPr="009A553E">
              <w:rPr>
                <w:rFonts w:ascii="Arial Narrow" w:hAnsi="Arial Narrow" w:cs="Calibri"/>
                <w:color w:val="000000"/>
                <w:sz w:val="20"/>
                <w:szCs w:val="20"/>
              </w:rPr>
              <w:t>-1</w:t>
            </w:r>
          </w:p>
        </w:tc>
        <w:tc>
          <w:tcPr>
            <w:tcW w:w="720" w:type="dxa"/>
            <w:vAlign w:val="center"/>
          </w:tcPr>
          <w:p w14:paraId="26F8F9F9" w14:textId="1CADA2C8" w:rsidR="009A553E" w:rsidRPr="009A553E" w:rsidRDefault="009A553E" w:rsidP="003B79DD">
            <w:pPr>
              <w:jc w:val="center"/>
              <w:rPr>
                <w:rFonts w:ascii="Arial Narrow" w:hAnsi="Arial Narrow" w:cs="Calibri"/>
                <w:color w:val="000000"/>
                <w:sz w:val="20"/>
                <w:szCs w:val="20"/>
              </w:rPr>
            </w:pPr>
            <w:r w:rsidRPr="009A553E">
              <w:rPr>
                <w:rFonts w:ascii="Arial Narrow" w:hAnsi="Arial Narrow" w:cs="Calibri"/>
                <w:color w:val="000000"/>
                <w:sz w:val="20"/>
                <w:szCs w:val="20"/>
              </w:rPr>
              <w:t>-1</w:t>
            </w:r>
          </w:p>
        </w:tc>
        <w:tc>
          <w:tcPr>
            <w:tcW w:w="990" w:type="dxa"/>
            <w:vAlign w:val="center"/>
          </w:tcPr>
          <w:p w14:paraId="389A9448" w14:textId="61DD79F6" w:rsidR="009A553E" w:rsidRPr="009A553E" w:rsidRDefault="009A553E" w:rsidP="003B79DD">
            <w:pPr>
              <w:jc w:val="center"/>
              <w:rPr>
                <w:rFonts w:ascii="Arial Narrow" w:hAnsi="Arial Narrow" w:cs="Calibri"/>
                <w:color w:val="000000"/>
                <w:sz w:val="20"/>
                <w:szCs w:val="20"/>
              </w:rPr>
            </w:pPr>
            <w:r w:rsidRPr="009A553E">
              <w:rPr>
                <w:rFonts w:ascii="Arial Narrow" w:hAnsi="Arial Narrow" w:cs="Calibri"/>
                <w:color w:val="000000"/>
                <w:sz w:val="20"/>
                <w:szCs w:val="20"/>
              </w:rPr>
              <w:t>-1</w:t>
            </w:r>
          </w:p>
        </w:tc>
        <w:tc>
          <w:tcPr>
            <w:tcW w:w="990" w:type="dxa"/>
            <w:vAlign w:val="center"/>
          </w:tcPr>
          <w:p w14:paraId="1D376B4B" w14:textId="00F9B73A" w:rsidR="009A553E" w:rsidRPr="009A553E" w:rsidRDefault="009A553E" w:rsidP="003B79DD">
            <w:pPr>
              <w:jc w:val="center"/>
              <w:rPr>
                <w:rFonts w:ascii="Arial Narrow" w:hAnsi="Arial Narrow" w:cs="Calibri"/>
                <w:b/>
                <w:color w:val="000000"/>
                <w:sz w:val="20"/>
                <w:szCs w:val="20"/>
                <w:highlight w:val="yellow"/>
              </w:rPr>
            </w:pPr>
            <w:r w:rsidRPr="009A553E">
              <w:rPr>
                <w:rFonts w:ascii="Arial Narrow" w:hAnsi="Arial Narrow" w:cs="Calibri"/>
                <w:color w:val="000000"/>
                <w:sz w:val="20"/>
                <w:szCs w:val="20"/>
              </w:rPr>
              <w:t>-1</w:t>
            </w:r>
          </w:p>
        </w:tc>
        <w:tc>
          <w:tcPr>
            <w:tcW w:w="3600" w:type="dxa"/>
            <w:vAlign w:val="center"/>
          </w:tcPr>
          <w:p w14:paraId="721BED9E" w14:textId="47F92EE3" w:rsidR="009A553E" w:rsidRPr="009A553E" w:rsidRDefault="009A553E" w:rsidP="009A553E">
            <w:pPr>
              <w:jc w:val="left"/>
              <w:rPr>
                <w:rFonts w:ascii="Arial Narrow" w:hAnsi="Arial Narrow"/>
                <w:color w:val="000000"/>
                <w:sz w:val="20"/>
                <w:szCs w:val="20"/>
                <w:highlight w:val="yellow"/>
              </w:rPr>
            </w:pPr>
            <w:r w:rsidRPr="009A553E">
              <w:rPr>
                <w:rFonts w:ascii="Arial Narrow" w:hAnsi="Arial Narrow" w:cs="Calibri"/>
                <w:color w:val="000000"/>
                <w:sz w:val="20"/>
                <w:szCs w:val="20"/>
              </w:rPr>
              <w:t xml:space="preserve">Seasonal trends of lower spring benthic scores observed in each of the impaired streams are inconsistent with organic matter enrichment, since organic matter from primary productivity would increase in the summer and fall. </w:t>
            </w:r>
          </w:p>
        </w:tc>
      </w:tr>
      <w:tr w:rsidR="009A553E" w:rsidRPr="007A0C83" w14:paraId="3AFF4922" w14:textId="77777777" w:rsidTr="003B79DD">
        <w:trPr>
          <w:trHeight w:val="247"/>
        </w:trPr>
        <w:tc>
          <w:tcPr>
            <w:tcW w:w="2437" w:type="dxa"/>
            <w:vAlign w:val="center"/>
          </w:tcPr>
          <w:p w14:paraId="6DCC4493" w14:textId="3A3FC676" w:rsidR="009A553E" w:rsidRPr="009A553E" w:rsidRDefault="009A553E" w:rsidP="009A553E">
            <w:pPr>
              <w:jc w:val="left"/>
              <w:rPr>
                <w:rFonts w:ascii="Arial Narrow" w:hAnsi="Arial Narrow" w:cs="Calibri"/>
                <w:b/>
                <w:bCs/>
                <w:color w:val="000000"/>
                <w:sz w:val="20"/>
                <w:szCs w:val="20"/>
                <w:highlight w:val="yellow"/>
              </w:rPr>
            </w:pPr>
            <w:r w:rsidRPr="009A553E">
              <w:rPr>
                <w:rFonts w:ascii="Arial Narrow" w:hAnsi="Arial Narrow" w:cs="Calibri"/>
                <w:color w:val="000000"/>
                <w:sz w:val="20"/>
                <w:szCs w:val="20"/>
              </w:rPr>
              <w:t>Symptoms</w:t>
            </w:r>
          </w:p>
        </w:tc>
        <w:tc>
          <w:tcPr>
            <w:tcW w:w="720" w:type="dxa"/>
            <w:vAlign w:val="center"/>
          </w:tcPr>
          <w:p w14:paraId="506FB2FD" w14:textId="3BAD671F" w:rsidR="009A553E" w:rsidRPr="009A553E" w:rsidRDefault="009A553E" w:rsidP="003B79DD">
            <w:pPr>
              <w:jc w:val="center"/>
              <w:rPr>
                <w:rFonts w:ascii="Arial Narrow" w:hAnsi="Arial Narrow" w:cs="Calibri"/>
                <w:b/>
                <w:color w:val="000000"/>
                <w:sz w:val="20"/>
                <w:szCs w:val="20"/>
              </w:rPr>
            </w:pPr>
            <w:r w:rsidRPr="009A553E">
              <w:rPr>
                <w:rFonts w:ascii="Arial Narrow" w:hAnsi="Arial Narrow" w:cs="Calibri"/>
                <w:color w:val="000000"/>
                <w:sz w:val="20"/>
                <w:szCs w:val="20"/>
              </w:rPr>
              <w:t>2</w:t>
            </w:r>
          </w:p>
        </w:tc>
        <w:tc>
          <w:tcPr>
            <w:tcW w:w="720" w:type="dxa"/>
            <w:vAlign w:val="center"/>
          </w:tcPr>
          <w:p w14:paraId="683269DA" w14:textId="0659EA54" w:rsidR="009A553E" w:rsidRPr="009A553E" w:rsidRDefault="009A553E" w:rsidP="003B79DD">
            <w:pPr>
              <w:jc w:val="center"/>
              <w:rPr>
                <w:rFonts w:ascii="Arial Narrow" w:hAnsi="Arial Narrow" w:cs="Calibri"/>
                <w:b/>
                <w:color w:val="000000"/>
                <w:sz w:val="20"/>
                <w:szCs w:val="20"/>
              </w:rPr>
            </w:pPr>
            <w:r w:rsidRPr="009A553E">
              <w:rPr>
                <w:rFonts w:ascii="Arial Narrow" w:hAnsi="Arial Narrow" w:cs="Calibri"/>
                <w:color w:val="000000"/>
                <w:sz w:val="20"/>
                <w:szCs w:val="20"/>
              </w:rPr>
              <w:t>-1</w:t>
            </w:r>
          </w:p>
        </w:tc>
        <w:tc>
          <w:tcPr>
            <w:tcW w:w="990" w:type="dxa"/>
            <w:vAlign w:val="center"/>
          </w:tcPr>
          <w:p w14:paraId="7113B725" w14:textId="427F58BB" w:rsidR="009A553E" w:rsidRPr="009A553E" w:rsidRDefault="009A553E" w:rsidP="003B79DD">
            <w:pPr>
              <w:jc w:val="center"/>
              <w:rPr>
                <w:rFonts w:ascii="Arial Narrow" w:hAnsi="Arial Narrow" w:cs="Calibri"/>
                <w:b/>
                <w:color w:val="000000"/>
                <w:sz w:val="20"/>
                <w:szCs w:val="20"/>
              </w:rPr>
            </w:pPr>
            <w:r w:rsidRPr="009A553E">
              <w:rPr>
                <w:rFonts w:ascii="Arial Narrow" w:hAnsi="Arial Narrow" w:cs="Calibri"/>
                <w:color w:val="000000"/>
                <w:sz w:val="20"/>
                <w:szCs w:val="20"/>
              </w:rPr>
              <w:t>-1</w:t>
            </w:r>
          </w:p>
        </w:tc>
        <w:tc>
          <w:tcPr>
            <w:tcW w:w="990" w:type="dxa"/>
            <w:vAlign w:val="center"/>
          </w:tcPr>
          <w:p w14:paraId="1C65F650" w14:textId="2A7BCAF6" w:rsidR="009A553E" w:rsidRPr="009A553E" w:rsidRDefault="009A553E" w:rsidP="003B79DD">
            <w:pPr>
              <w:jc w:val="center"/>
              <w:rPr>
                <w:rFonts w:ascii="Arial Narrow" w:hAnsi="Arial Narrow" w:cs="Calibri"/>
                <w:b/>
                <w:color w:val="000000"/>
                <w:sz w:val="20"/>
                <w:szCs w:val="20"/>
                <w:highlight w:val="yellow"/>
              </w:rPr>
            </w:pPr>
            <w:r w:rsidRPr="009A553E">
              <w:rPr>
                <w:rFonts w:ascii="Arial Narrow" w:hAnsi="Arial Narrow" w:cs="Calibri"/>
                <w:color w:val="000000"/>
                <w:sz w:val="20"/>
                <w:szCs w:val="20"/>
              </w:rPr>
              <w:t>-1</w:t>
            </w:r>
          </w:p>
        </w:tc>
        <w:tc>
          <w:tcPr>
            <w:tcW w:w="3600" w:type="dxa"/>
            <w:vAlign w:val="center"/>
          </w:tcPr>
          <w:p w14:paraId="0EA715E2" w14:textId="6A260EB7" w:rsidR="009A553E" w:rsidRPr="009A553E" w:rsidRDefault="009A553E" w:rsidP="009A553E">
            <w:pPr>
              <w:jc w:val="left"/>
              <w:rPr>
                <w:rFonts w:ascii="Arial Narrow" w:hAnsi="Arial Narrow"/>
                <w:color w:val="000000"/>
                <w:sz w:val="20"/>
                <w:szCs w:val="20"/>
                <w:highlight w:val="yellow"/>
              </w:rPr>
            </w:pPr>
            <w:r w:rsidRPr="009A553E">
              <w:rPr>
                <w:rFonts w:ascii="Arial Narrow" w:hAnsi="Arial Narrow" w:cs="Calibri"/>
                <w:color w:val="000000"/>
                <w:sz w:val="20"/>
                <w:szCs w:val="20"/>
              </w:rPr>
              <w:t>Functional feeding group analysis in Wolf Creek indicated an increase in filterers that thrive in organic-rich habitats, while filterers decreased in Tinker Creek and Roanoke River.</w:t>
            </w:r>
          </w:p>
        </w:tc>
      </w:tr>
      <w:tr w:rsidR="009A553E" w:rsidRPr="007A0C83" w14:paraId="3E2B0024" w14:textId="77777777" w:rsidTr="003B79DD">
        <w:trPr>
          <w:trHeight w:val="247"/>
        </w:trPr>
        <w:tc>
          <w:tcPr>
            <w:tcW w:w="2437" w:type="dxa"/>
            <w:vAlign w:val="center"/>
          </w:tcPr>
          <w:p w14:paraId="6EA56282" w14:textId="57638FCB" w:rsidR="009A553E" w:rsidRPr="009A553E" w:rsidRDefault="009A553E" w:rsidP="009A553E">
            <w:pPr>
              <w:jc w:val="left"/>
              <w:rPr>
                <w:rFonts w:ascii="Arial Narrow" w:hAnsi="Arial Narrow" w:cs="Calibri"/>
                <w:b/>
                <w:bCs/>
                <w:color w:val="000000"/>
                <w:sz w:val="20"/>
                <w:szCs w:val="20"/>
              </w:rPr>
            </w:pPr>
            <w:r w:rsidRPr="009A553E">
              <w:rPr>
                <w:rFonts w:ascii="Arial Narrow" w:hAnsi="Arial Narrow" w:cs="Calibri"/>
                <w:color w:val="000000"/>
                <w:sz w:val="20"/>
                <w:szCs w:val="20"/>
              </w:rPr>
              <w:t>Stressor-Response Relationships from Other Field Studies</w:t>
            </w:r>
          </w:p>
        </w:tc>
        <w:tc>
          <w:tcPr>
            <w:tcW w:w="720" w:type="dxa"/>
            <w:vAlign w:val="center"/>
          </w:tcPr>
          <w:p w14:paraId="59C1082A" w14:textId="21904540" w:rsidR="009A553E" w:rsidRPr="009A553E" w:rsidRDefault="009A553E" w:rsidP="003B79DD">
            <w:pPr>
              <w:jc w:val="center"/>
              <w:rPr>
                <w:rFonts w:ascii="Arial Narrow" w:hAnsi="Arial Narrow" w:cs="Calibri"/>
                <w:b/>
                <w:color w:val="000000"/>
                <w:sz w:val="20"/>
                <w:szCs w:val="20"/>
              </w:rPr>
            </w:pPr>
            <w:r w:rsidRPr="009A553E">
              <w:rPr>
                <w:rFonts w:ascii="Arial Narrow" w:hAnsi="Arial Narrow" w:cs="Calibri"/>
                <w:color w:val="000000"/>
                <w:sz w:val="20"/>
                <w:szCs w:val="20"/>
              </w:rPr>
              <w:t>-2</w:t>
            </w:r>
          </w:p>
        </w:tc>
        <w:tc>
          <w:tcPr>
            <w:tcW w:w="720" w:type="dxa"/>
            <w:vAlign w:val="center"/>
          </w:tcPr>
          <w:p w14:paraId="5D6325AC" w14:textId="36BD6E4F" w:rsidR="009A553E" w:rsidRPr="009A553E" w:rsidRDefault="009A553E" w:rsidP="003B79DD">
            <w:pPr>
              <w:jc w:val="center"/>
              <w:rPr>
                <w:rFonts w:ascii="Arial Narrow" w:hAnsi="Arial Narrow" w:cs="Calibri"/>
                <w:b/>
                <w:color w:val="000000"/>
                <w:sz w:val="20"/>
                <w:szCs w:val="20"/>
              </w:rPr>
            </w:pPr>
            <w:r w:rsidRPr="009A553E">
              <w:rPr>
                <w:rFonts w:ascii="Arial Narrow" w:hAnsi="Arial Narrow" w:cs="Calibri"/>
                <w:color w:val="000000"/>
                <w:sz w:val="20"/>
                <w:szCs w:val="20"/>
              </w:rPr>
              <w:t>-2</w:t>
            </w:r>
          </w:p>
        </w:tc>
        <w:tc>
          <w:tcPr>
            <w:tcW w:w="990" w:type="dxa"/>
            <w:vAlign w:val="center"/>
          </w:tcPr>
          <w:p w14:paraId="3FA91F56" w14:textId="1C3DA02C" w:rsidR="009A553E" w:rsidRPr="009A553E" w:rsidRDefault="009A553E" w:rsidP="003B79DD">
            <w:pPr>
              <w:jc w:val="center"/>
              <w:rPr>
                <w:rFonts w:ascii="Arial Narrow" w:hAnsi="Arial Narrow" w:cs="Calibri"/>
                <w:b/>
                <w:color w:val="000000"/>
                <w:sz w:val="20"/>
                <w:szCs w:val="20"/>
              </w:rPr>
            </w:pPr>
            <w:r w:rsidRPr="009A553E">
              <w:rPr>
                <w:rFonts w:ascii="Arial Narrow" w:hAnsi="Arial Narrow" w:cs="Calibri"/>
                <w:color w:val="000000"/>
                <w:sz w:val="20"/>
                <w:szCs w:val="20"/>
              </w:rPr>
              <w:t>-2</w:t>
            </w:r>
          </w:p>
        </w:tc>
        <w:tc>
          <w:tcPr>
            <w:tcW w:w="990" w:type="dxa"/>
            <w:vAlign w:val="center"/>
          </w:tcPr>
          <w:p w14:paraId="5623F6A4" w14:textId="033678CD" w:rsidR="009A553E" w:rsidRPr="009A553E" w:rsidRDefault="009A553E" w:rsidP="003B79DD">
            <w:pPr>
              <w:jc w:val="center"/>
              <w:rPr>
                <w:rFonts w:ascii="Arial Narrow" w:hAnsi="Arial Narrow" w:cs="Calibri"/>
                <w:b/>
                <w:color w:val="000000"/>
                <w:sz w:val="20"/>
                <w:szCs w:val="20"/>
              </w:rPr>
            </w:pPr>
            <w:r w:rsidRPr="009A553E">
              <w:rPr>
                <w:rFonts w:ascii="Arial Narrow" w:hAnsi="Arial Narrow" w:cs="Calibri"/>
                <w:color w:val="000000"/>
                <w:sz w:val="20"/>
                <w:szCs w:val="20"/>
              </w:rPr>
              <w:t>-2</w:t>
            </w:r>
          </w:p>
        </w:tc>
        <w:tc>
          <w:tcPr>
            <w:tcW w:w="3600" w:type="dxa"/>
            <w:vAlign w:val="center"/>
          </w:tcPr>
          <w:p w14:paraId="3CB9C799" w14:textId="5BC50885" w:rsidR="009A553E" w:rsidRPr="009A553E" w:rsidRDefault="009A553E" w:rsidP="009A553E">
            <w:pPr>
              <w:jc w:val="left"/>
              <w:rPr>
                <w:rFonts w:ascii="Arial Narrow" w:hAnsi="Arial Narrow"/>
                <w:color w:val="000000"/>
                <w:sz w:val="20"/>
                <w:szCs w:val="20"/>
                <w:highlight w:val="yellow"/>
              </w:rPr>
            </w:pPr>
            <w:r w:rsidRPr="009A553E">
              <w:rPr>
                <w:rFonts w:ascii="Arial Narrow" w:hAnsi="Arial Narrow" w:cs="Calibri"/>
                <w:color w:val="000000"/>
                <w:sz w:val="20"/>
                <w:szCs w:val="20"/>
              </w:rPr>
              <w:t>Total volatile solids, total organic carbon, and dissolved organic carbon were not statistically higher in any of the impaired streams than relevant references.</w:t>
            </w:r>
          </w:p>
        </w:tc>
      </w:tr>
      <w:tr w:rsidR="009A553E" w:rsidRPr="007A0C83" w14:paraId="60760C9A" w14:textId="77777777" w:rsidTr="003B79DD">
        <w:trPr>
          <w:trHeight w:val="247"/>
        </w:trPr>
        <w:tc>
          <w:tcPr>
            <w:tcW w:w="2437" w:type="dxa"/>
            <w:vAlign w:val="center"/>
          </w:tcPr>
          <w:p w14:paraId="43865A6D" w14:textId="1FB31C2F" w:rsidR="009A553E" w:rsidRPr="009A553E" w:rsidRDefault="009A553E" w:rsidP="009A553E">
            <w:pPr>
              <w:jc w:val="left"/>
              <w:rPr>
                <w:rFonts w:ascii="Arial Narrow" w:hAnsi="Arial Narrow" w:cs="Calibri"/>
                <w:b/>
                <w:bCs/>
                <w:color w:val="000000"/>
                <w:sz w:val="20"/>
                <w:szCs w:val="20"/>
              </w:rPr>
            </w:pPr>
            <w:r w:rsidRPr="009A553E">
              <w:rPr>
                <w:rFonts w:ascii="Arial Narrow" w:hAnsi="Arial Narrow" w:cs="Calibri"/>
                <w:color w:val="000000"/>
                <w:sz w:val="20"/>
                <w:szCs w:val="20"/>
              </w:rPr>
              <w:t>Consistency of Evidence</w:t>
            </w:r>
          </w:p>
        </w:tc>
        <w:tc>
          <w:tcPr>
            <w:tcW w:w="720" w:type="dxa"/>
            <w:vAlign w:val="center"/>
          </w:tcPr>
          <w:p w14:paraId="1447DA19" w14:textId="6694C970" w:rsidR="009A553E" w:rsidRPr="009A553E" w:rsidRDefault="009A553E" w:rsidP="003B79DD">
            <w:pPr>
              <w:jc w:val="center"/>
              <w:rPr>
                <w:rFonts w:ascii="Arial Narrow" w:hAnsi="Arial Narrow" w:cs="Calibri"/>
                <w:b/>
                <w:color w:val="000000"/>
                <w:sz w:val="20"/>
                <w:szCs w:val="20"/>
              </w:rPr>
            </w:pPr>
            <w:r w:rsidRPr="009A553E">
              <w:rPr>
                <w:rFonts w:ascii="Arial Narrow" w:hAnsi="Arial Narrow" w:cs="Calibri"/>
                <w:color w:val="000000"/>
                <w:sz w:val="20"/>
                <w:szCs w:val="20"/>
              </w:rPr>
              <w:t>-1</w:t>
            </w:r>
          </w:p>
        </w:tc>
        <w:tc>
          <w:tcPr>
            <w:tcW w:w="720" w:type="dxa"/>
            <w:vAlign w:val="center"/>
          </w:tcPr>
          <w:p w14:paraId="2386A409" w14:textId="3A4C3C7C" w:rsidR="009A553E" w:rsidRPr="009A553E" w:rsidRDefault="009A553E" w:rsidP="003B79DD">
            <w:pPr>
              <w:jc w:val="center"/>
              <w:rPr>
                <w:rFonts w:ascii="Arial Narrow" w:hAnsi="Arial Narrow" w:cs="Calibri"/>
                <w:b/>
                <w:color w:val="000000"/>
                <w:sz w:val="20"/>
                <w:szCs w:val="20"/>
              </w:rPr>
            </w:pPr>
            <w:r w:rsidRPr="009A553E">
              <w:rPr>
                <w:rFonts w:ascii="Arial Narrow" w:hAnsi="Arial Narrow" w:cs="Calibri"/>
                <w:color w:val="000000"/>
                <w:sz w:val="20"/>
                <w:szCs w:val="20"/>
              </w:rPr>
              <w:t>-1</w:t>
            </w:r>
          </w:p>
        </w:tc>
        <w:tc>
          <w:tcPr>
            <w:tcW w:w="990" w:type="dxa"/>
            <w:vAlign w:val="center"/>
          </w:tcPr>
          <w:p w14:paraId="7F4FB486" w14:textId="70DE761A" w:rsidR="009A553E" w:rsidRPr="009A553E" w:rsidRDefault="009A553E" w:rsidP="003B79DD">
            <w:pPr>
              <w:jc w:val="center"/>
              <w:rPr>
                <w:rFonts w:ascii="Arial Narrow" w:hAnsi="Arial Narrow" w:cs="Calibri"/>
                <w:b/>
                <w:color w:val="000000"/>
                <w:sz w:val="20"/>
                <w:szCs w:val="20"/>
              </w:rPr>
            </w:pPr>
            <w:r w:rsidRPr="009A553E">
              <w:rPr>
                <w:rFonts w:ascii="Arial Narrow" w:hAnsi="Arial Narrow" w:cs="Calibri"/>
                <w:color w:val="000000"/>
                <w:sz w:val="20"/>
                <w:szCs w:val="20"/>
              </w:rPr>
              <w:t>-1</w:t>
            </w:r>
          </w:p>
        </w:tc>
        <w:tc>
          <w:tcPr>
            <w:tcW w:w="990" w:type="dxa"/>
            <w:vAlign w:val="center"/>
          </w:tcPr>
          <w:p w14:paraId="2FCD6EEB" w14:textId="55B3E435" w:rsidR="009A553E" w:rsidRPr="009A553E" w:rsidRDefault="009A553E" w:rsidP="003B79DD">
            <w:pPr>
              <w:jc w:val="center"/>
              <w:rPr>
                <w:rFonts w:ascii="Arial Narrow" w:hAnsi="Arial Narrow" w:cs="Calibri"/>
                <w:b/>
                <w:color w:val="000000"/>
                <w:sz w:val="20"/>
                <w:szCs w:val="20"/>
              </w:rPr>
            </w:pPr>
            <w:r w:rsidRPr="009A553E">
              <w:rPr>
                <w:rFonts w:ascii="Arial Narrow" w:hAnsi="Arial Narrow" w:cs="Calibri"/>
                <w:color w:val="000000"/>
                <w:sz w:val="20"/>
                <w:szCs w:val="20"/>
              </w:rPr>
              <w:t>-1</w:t>
            </w:r>
          </w:p>
        </w:tc>
        <w:tc>
          <w:tcPr>
            <w:tcW w:w="3600" w:type="dxa"/>
            <w:vAlign w:val="center"/>
          </w:tcPr>
          <w:p w14:paraId="7724F91F" w14:textId="41825D27" w:rsidR="009A553E" w:rsidRPr="009A553E" w:rsidRDefault="009A553E" w:rsidP="009A553E">
            <w:pPr>
              <w:jc w:val="left"/>
              <w:rPr>
                <w:rFonts w:ascii="Arial Narrow" w:hAnsi="Arial Narrow"/>
                <w:color w:val="000000"/>
                <w:sz w:val="20"/>
                <w:szCs w:val="20"/>
                <w:highlight w:val="yellow"/>
              </w:rPr>
            </w:pPr>
            <w:r w:rsidRPr="009A553E">
              <w:rPr>
                <w:rFonts w:ascii="Arial Narrow" w:hAnsi="Arial Narrow" w:cs="Calibri"/>
                <w:color w:val="000000"/>
                <w:sz w:val="20"/>
                <w:szCs w:val="20"/>
              </w:rPr>
              <w:t>Most evidence refuted organic matter as a stressor.</w:t>
            </w:r>
          </w:p>
        </w:tc>
      </w:tr>
      <w:tr w:rsidR="009A553E" w:rsidRPr="009A553E" w14:paraId="1526002D" w14:textId="77777777" w:rsidTr="003B79DD">
        <w:trPr>
          <w:trHeight w:val="247"/>
        </w:trPr>
        <w:tc>
          <w:tcPr>
            <w:tcW w:w="2437" w:type="dxa"/>
            <w:vAlign w:val="center"/>
          </w:tcPr>
          <w:p w14:paraId="56021A83" w14:textId="532EAA87" w:rsidR="009A553E" w:rsidRPr="009A553E" w:rsidRDefault="009A553E" w:rsidP="003B79DD">
            <w:pPr>
              <w:jc w:val="right"/>
              <w:rPr>
                <w:rFonts w:ascii="Arial Narrow" w:hAnsi="Arial Narrow" w:cs="Calibri"/>
                <w:b/>
                <w:bCs/>
                <w:color w:val="000000"/>
                <w:sz w:val="20"/>
                <w:szCs w:val="20"/>
              </w:rPr>
            </w:pPr>
            <w:r w:rsidRPr="009A553E">
              <w:rPr>
                <w:rFonts w:ascii="Arial Narrow" w:hAnsi="Arial Narrow" w:cs="Calibri"/>
                <w:b/>
                <w:bCs/>
                <w:color w:val="000000"/>
                <w:sz w:val="20"/>
                <w:szCs w:val="20"/>
              </w:rPr>
              <w:t>Sum</w:t>
            </w:r>
          </w:p>
        </w:tc>
        <w:tc>
          <w:tcPr>
            <w:tcW w:w="720" w:type="dxa"/>
            <w:vAlign w:val="center"/>
          </w:tcPr>
          <w:p w14:paraId="29BFF06D" w14:textId="3995CFD2" w:rsidR="009A553E" w:rsidRPr="009A553E" w:rsidRDefault="009A553E" w:rsidP="003B79DD">
            <w:pPr>
              <w:jc w:val="center"/>
              <w:rPr>
                <w:rFonts w:ascii="Arial Narrow" w:hAnsi="Arial Narrow" w:cs="Calibri"/>
                <w:b/>
                <w:color w:val="000000"/>
                <w:sz w:val="20"/>
                <w:szCs w:val="20"/>
              </w:rPr>
            </w:pPr>
            <w:r w:rsidRPr="009A553E">
              <w:rPr>
                <w:rFonts w:ascii="Arial Narrow" w:hAnsi="Arial Narrow" w:cs="Calibri"/>
                <w:b/>
                <w:color w:val="000000"/>
                <w:sz w:val="20"/>
                <w:szCs w:val="20"/>
              </w:rPr>
              <w:t>-</w:t>
            </w:r>
            <w:r w:rsidR="00B0308F">
              <w:rPr>
                <w:rFonts w:ascii="Arial Narrow" w:hAnsi="Arial Narrow" w:cs="Calibri"/>
                <w:b/>
                <w:color w:val="000000"/>
                <w:sz w:val="20"/>
                <w:szCs w:val="20"/>
              </w:rPr>
              <w:t>9</w:t>
            </w:r>
          </w:p>
        </w:tc>
        <w:tc>
          <w:tcPr>
            <w:tcW w:w="720" w:type="dxa"/>
            <w:vAlign w:val="center"/>
          </w:tcPr>
          <w:p w14:paraId="43776176" w14:textId="6BD60BA1" w:rsidR="009A553E" w:rsidRPr="009A553E" w:rsidRDefault="009A553E" w:rsidP="003B79DD">
            <w:pPr>
              <w:jc w:val="center"/>
              <w:rPr>
                <w:rFonts w:ascii="Arial Narrow" w:hAnsi="Arial Narrow" w:cs="Calibri"/>
                <w:b/>
                <w:color w:val="000000"/>
                <w:sz w:val="20"/>
                <w:szCs w:val="20"/>
              </w:rPr>
            </w:pPr>
            <w:r w:rsidRPr="009A553E">
              <w:rPr>
                <w:rFonts w:ascii="Arial Narrow" w:hAnsi="Arial Narrow" w:cs="Calibri"/>
                <w:b/>
                <w:color w:val="000000"/>
                <w:sz w:val="20"/>
                <w:szCs w:val="20"/>
              </w:rPr>
              <w:t>-</w:t>
            </w:r>
            <w:r w:rsidR="00B0308F">
              <w:rPr>
                <w:rFonts w:ascii="Arial Narrow" w:hAnsi="Arial Narrow" w:cs="Calibri"/>
                <w:b/>
                <w:color w:val="000000"/>
                <w:sz w:val="20"/>
                <w:szCs w:val="20"/>
              </w:rPr>
              <w:t>11</w:t>
            </w:r>
          </w:p>
        </w:tc>
        <w:tc>
          <w:tcPr>
            <w:tcW w:w="990" w:type="dxa"/>
            <w:vAlign w:val="center"/>
          </w:tcPr>
          <w:p w14:paraId="55E2B9DE" w14:textId="5D27C25C" w:rsidR="009A553E" w:rsidRPr="009A553E" w:rsidRDefault="009A553E" w:rsidP="003B79DD">
            <w:pPr>
              <w:jc w:val="center"/>
              <w:rPr>
                <w:rFonts w:ascii="Arial Narrow" w:hAnsi="Arial Narrow" w:cs="Calibri"/>
                <w:b/>
                <w:color w:val="000000"/>
                <w:sz w:val="20"/>
                <w:szCs w:val="20"/>
              </w:rPr>
            </w:pPr>
            <w:r w:rsidRPr="009A553E">
              <w:rPr>
                <w:rFonts w:ascii="Arial Narrow" w:hAnsi="Arial Narrow" w:cs="Calibri"/>
                <w:b/>
                <w:color w:val="000000"/>
                <w:sz w:val="20"/>
                <w:szCs w:val="20"/>
              </w:rPr>
              <w:t>-1</w:t>
            </w:r>
            <w:r w:rsidR="00B0308F">
              <w:rPr>
                <w:rFonts w:ascii="Arial Narrow" w:hAnsi="Arial Narrow" w:cs="Calibri"/>
                <w:b/>
                <w:color w:val="000000"/>
                <w:sz w:val="20"/>
                <w:szCs w:val="20"/>
              </w:rPr>
              <w:t>2</w:t>
            </w:r>
          </w:p>
        </w:tc>
        <w:tc>
          <w:tcPr>
            <w:tcW w:w="990" w:type="dxa"/>
            <w:vAlign w:val="center"/>
          </w:tcPr>
          <w:p w14:paraId="760156DB" w14:textId="63F3F53A" w:rsidR="009A553E" w:rsidRPr="009A553E" w:rsidRDefault="009A553E" w:rsidP="003B79DD">
            <w:pPr>
              <w:jc w:val="center"/>
              <w:rPr>
                <w:rFonts w:ascii="Arial Narrow" w:hAnsi="Arial Narrow" w:cs="Calibri"/>
                <w:b/>
                <w:color w:val="000000"/>
                <w:sz w:val="20"/>
                <w:szCs w:val="20"/>
              </w:rPr>
            </w:pPr>
            <w:r w:rsidRPr="009A553E">
              <w:rPr>
                <w:rFonts w:ascii="Arial Narrow" w:hAnsi="Arial Narrow" w:cs="Calibri"/>
                <w:b/>
                <w:color w:val="000000"/>
                <w:sz w:val="20"/>
                <w:szCs w:val="20"/>
              </w:rPr>
              <w:t>-</w:t>
            </w:r>
            <w:r w:rsidR="00B0308F">
              <w:rPr>
                <w:rFonts w:ascii="Arial Narrow" w:hAnsi="Arial Narrow" w:cs="Calibri"/>
                <w:b/>
                <w:color w:val="000000"/>
                <w:sz w:val="20"/>
                <w:szCs w:val="20"/>
              </w:rPr>
              <w:t>11</w:t>
            </w:r>
          </w:p>
        </w:tc>
        <w:tc>
          <w:tcPr>
            <w:tcW w:w="3600" w:type="dxa"/>
            <w:vAlign w:val="center"/>
          </w:tcPr>
          <w:p w14:paraId="2C6E0E44" w14:textId="77777777" w:rsidR="009A553E" w:rsidRPr="009A553E" w:rsidRDefault="009A553E" w:rsidP="009A553E">
            <w:pPr>
              <w:jc w:val="left"/>
              <w:rPr>
                <w:rFonts w:ascii="Arial Narrow" w:hAnsi="Arial Narrow"/>
                <w:b/>
                <w:color w:val="000000"/>
                <w:sz w:val="20"/>
                <w:szCs w:val="20"/>
                <w:highlight w:val="yellow"/>
              </w:rPr>
            </w:pPr>
          </w:p>
        </w:tc>
      </w:tr>
    </w:tbl>
    <w:p w14:paraId="1C01E498" w14:textId="77777777" w:rsidR="008A1F50" w:rsidRPr="007A0C83" w:rsidRDefault="008A1F50" w:rsidP="005E4B50">
      <w:pPr>
        <w:pStyle w:val="BlockText"/>
        <w:spacing w:before="0" w:after="0" w:line="240" w:lineRule="auto"/>
        <w:rPr>
          <w:highlight w:val="yellow"/>
        </w:rPr>
      </w:pPr>
    </w:p>
    <w:p w14:paraId="0FAB49C1" w14:textId="77777777" w:rsidR="008A1F50" w:rsidRPr="005F23A0" w:rsidRDefault="008A1F50" w:rsidP="00B32C1C">
      <w:pPr>
        <w:pStyle w:val="Heading2"/>
      </w:pPr>
      <w:bookmarkStart w:id="239" w:name="_Ref51932485"/>
      <w:bookmarkStart w:id="240" w:name="_Toc162948198"/>
      <w:r w:rsidRPr="005F23A0">
        <w:t>Total Phosphorus</w:t>
      </w:r>
      <w:bookmarkEnd w:id="239"/>
      <w:bookmarkEnd w:id="240"/>
    </w:p>
    <w:p w14:paraId="735091E7" w14:textId="40844F30" w:rsidR="0054110E" w:rsidRDefault="008A1F50" w:rsidP="008A1F50">
      <w:pPr>
        <w:pStyle w:val="BlockText"/>
      </w:pPr>
      <w:r w:rsidRPr="005F23A0">
        <w:fldChar w:fldCharType="begin"/>
      </w:r>
      <w:r w:rsidRPr="005F23A0">
        <w:instrText xml:space="preserve"> REF _Ref50647604 \h  \* MERGEFORMAT </w:instrText>
      </w:r>
      <w:r w:rsidRPr="005F23A0">
        <w:fldChar w:fldCharType="separate"/>
      </w:r>
      <w:r w:rsidR="004A78BF" w:rsidRPr="005F23A0">
        <w:t xml:space="preserve">Table </w:t>
      </w:r>
      <w:r w:rsidR="004A78BF">
        <w:rPr>
          <w:noProof/>
        </w:rPr>
        <w:t>38</w:t>
      </w:r>
      <w:r w:rsidRPr="005F23A0">
        <w:fldChar w:fldCharType="end"/>
      </w:r>
      <w:r w:rsidRPr="005F23A0">
        <w:t xml:space="preserve"> shows the causal analysis results for total phosphorus</w:t>
      </w:r>
      <w:r w:rsidR="005F23A0">
        <w:t>.</w:t>
      </w:r>
      <w:r w:rsidRPr="005F23A0">
        <w:t xml:space="preserve"> </w:t>
      </w:r>
      <w:r w:rsidR="005F23A0" w:rsidRPr="0061256D">
        <w:t xml:space="preserve">Total causal analysis scores </w:t>
      </w:r>
      <w:r w:rsidR="005F23A0">
        <w:t xml:space="preserve">were </w:t>
      </w:r>
      <w:r w:rsidR="005F23A0" w:rsidRPr="0061256D">
        <w:t>-</w:t>
      </w:r>
      <w:r w:rsidR="00373EEF">
        <w:t>5</w:t>
      </w:r>
      <w:r w:rsidR="005F23A0" w:rsidRPr="0061256D">
        <w:t xml:space="preserve"> </w:t>
      </w:r>
      <w:r w:rsidR="00373EEF">
        <w:t xml:space="preserve">for Wolf Creek and </w:t>
      </w:r>
      <w:r w:rsidR="00F60DB3">
        <w:t xml:space="preserve">Tinker Creek and +5 for the Roanoke River. In Wolf Creek and Tinker Creek, there was moderate evidence that phosphorus is not a stressor, and in the Roanoke River, there was moderate evidence that phosphorus is a probable stressor. </w:t>
      </w:r>
    </w:p>
    <w:p w14:paraId="315C16EE" w14:textId="7CB2EA1F" w:rsidR="008F7CA8" w:rsidRDefault="007232CE" w:rsidP="008A1F50">
      <w:pPr>
        <w:pStyle w:val="BlockText"/>
      </w:pPr>
      <w:r>
        <w:t xml:space="preserve">In Wolf Creek and Tinker Creek, phosphorus levels were not statistically greater than in the reference. Median phosphorus levels were in the no to low probability range for stressor effects, and dissolved oxygen conditions did not indicate nutrient enrichment. In functional feeding group analysis, scrapers decreased in Wolf </w:t>
      </w:r>
      <w:r w:rsidR="00DF2BEE">
        <w:t xml:space="preserve">Creek </w:t>
      </w:r>
      <w:r>
        <w:t xml:space="preserve">and Tinker Creek compared to a reference. </w:t>
      </w:r>
      <w:r w:rsidR="008A1F50" w:rsidRPr="005F23A0">
        <w:t xml:space="preserve">For these reasons and others explained in </w:t>
      </w:r>
      <w:r w:rsidR="008A1F50" w:rsidRPr="005F23A0">
        <w:fldChar w:fldCharType="begin"/>
      </w:r>
      <w:r w:rsidR="008A1F50" w:rsidRPr="005F23A0">
        <w:instrText xml:space="preserve"> REF _Ref50647604 \h  \* MERGEFORMAT </w:instrText>
      </w:r>
      <w:r w:rsidR="008A1F50" w:rsidRPr="005F23A0">
        <w:fldChar w:fldCharType="separate"/>
      </w:r>
      <w:r w:rsidR="004A78BF" w:rsidRPr="005F23A0">
        <w:t xml:space="preserve">Table </w:t>
      </w:r>
      <w:r w:rsidR="004A78BF">
        <w:rPr>
          <w:noProof/>
        </w:rPr>
        <w:t>38</w:t>
      </w:r>
      <w:r w:rsidR="008A1F50" w:rsidRPr="005F23A0">
        <w:fldChar w:fldCharType="end"/>
      </w:r>
      <w:r w:rsidR="008A1F50" w:rsidRPr="005F23A0">
        <w:t xml:space="preserve">, phosphorus was categorized as a </w:t>
      </w:r>
      <w:r w:rsidR="008F7CA8">
        <w:t xml:space="preserve">non-stressor in </w:t>
      </w:r>
      <w:r w:rsidR="00DF2BEE">
        <w:t>Wolf Creek and Tinker Creek</w:t>
      </w:r>
      <w:r w:rsidR="008F7CA8">
        <w:t>.</w:t>
      </w:r>
    </w:p>
    <w:p w14:paraId="6FD255B8" w14:textId="787DEC47" w:rsidR="008F7CA8" w:rsidRDefault="00DF2BEE" w:rsidP="008A1F50">
      <w:pPr>
        <w:pStyle w:val="BlockText"/>
      </w:pPr>
      <w:r>
        <w:t xml:space="preserve">In the Roanoke River, </w:t>
      </w:r>
      <w:r w:rsidR="008F7CA8">
        <w:t>several lines of evidence supported phosphorus as a probable stressor. These lines of evidence include:</w:t>
      </w:r>
    </w:p>
    <w:p w14:paraId="27B1107B" w14:textId="1AC95B71" w:rsidR="008F7CA8" w:rsidRDefault="008F7CA8" w:rsidP="008F7CA8">
      <w:pPr>
        <w:pStyle w:val="BlockText"/>
        <w:numPr>
          <w:ilvl w:val="0"/>
          <w:numId w:val="27"/>
        </w:numPr>
      </w:pPr>
      <w:r>
        <w:t xml:space="preserve">Total phosphorus values were </w:t>
      </w:r>
      <w:r w:rsidR="00880FC3">
        <w:t xml:space="preserve">correlated </w:t>
      </w:r>
      <w:r w:rsidR="008929BB">
        <w:t>with benthic health in the Roanoke River</w:t>
      </w:r>
      <w:r>
        <w:t>.</w:t>
      </w:r>
    </w:p>
    <w:p w14:paraId="1A770FB9" w14:textId="7A19F1C3" w:rsidR="008929BB" w:rsidRDefault="008929BB" w:rsidP="008929BB">
      <w:pPr>
        <w:pStyle w:val="BlockText"/>
        <w:numPr>
          <w:ilvl w:val="0"/>
          <w:numId w:val="27"/>
        </w:numPr>
      </w:pPr>
      <w:r>
        <w:t xml:space="preserve">Biological Condition Gradient </w:t>
      </w:r>
      <w:r w:rsidR="007E2E2D">
        <w:t xml:space="preserve">attribute </w:t>
      </w:r>
      <w:r>
        <w:t>analysis identified nutrients as the highest ranked stressor.</w:t>
      </w:r>
    </w:p>
    <w:p w14:paraId="150D253C" w14:textId="1199688E" w:rsidR="008F7CA8" w:rsidRDefault="008929BB" w:rsidP="008F7CA8">
      <w:pPr>
        <w:pStyle w:val="BlockText"/>
        <w:numPr>
          <w:ilvl w:val="0"/>
          <w:numId w:val="27"/>
        </w:numPr>
      </w:pPr>
      <w:r>
        <w:t>Functional feeding group analysis showed an increase in scrapers compared to the reference, indicating increased periphyton growth.</w:t>
      </w:r>
    </w:p>
    <w:p w14:paraId="40637ECF" w14:textId="4BC31FCE" w:rsidR="008F7CA8" w:rsidRDefault="008929BB" w:rsidP="008F7CA8">
      <w:pPr>
        <w:pStyle w:val="BlockText"/>
        <w:numPr>
          <w:ilvl w:val="0"/>
          <w:numId w:val="27"/>
        </w:numPr>
      </w:pPr>
      <w:r>
        <w:t>Algae sampling indicated increased algae growth at impaired Roanoke River stations</w:t>
      </w:r>
      <w:r w:rsidR="008F7CA8">
        <w:t>.</w:t>
      </w:r>
    </w:p>
    <w:p w14:paraId="5B9292EC" w14:textId="3D36283E" w:rsidR="00BF2BF2" w:rsidRDefault="008929BB" w:rsidP="00BF2BF2">
      <w:pPr>
        <w:pStyle w:val="BlockText"/>
        <w:numPr>
          <w:ilvl w:val="0"/>
          <w:numId w:val="27"/>
        </w:numPr>
      </w:pPr>
      <w:r w:rsidRPr="008929BB">
        <w:t>QUAL2K modeling show</w:t>
      </w:r>
      <w:r>
        <w:t>ed</w:t>
      </w:r>
      <w:r w:rsidRPr="008929BB">
        <w:t xml:space="preserve"> excess bottom algae and phosphorus limitation in the Roanoke River (Bell, 2023)</w:t>
      </w:r>
      <w:r w:rsidR="00BF2BF2">
        <w:t>.</w:t>
      </w:r>
    </w:p>
    <w:p w14:paraId="39391CDF" w14:textId="1466F810" w:rsidR="008A1F50" w:rsidRDefault="008F7CA8" w:rsidP="008F7CA8">
      <w:pPr>
        <w:pStyle w:val="BlockText"/>
        <w:numPr>
          <w:ilvl w:val="0"/>
          <w:numId w:val="27"/>
        </w:numPr>
      </w:pPr>
      <w:r>
        <w:t xml:space="preserve">Total phosphorus levels were well above the EPA recommended criterion for the ecoregion. </w:t>
      </w:r>
      <w:r w:rsidR="008A1F50" w:rsidRPr="005F23A0">
        <w:t xml:space="preserve"> </w:t>
      </w:r>
    </w:p>
    <w:p w14:paraId="2ABA7833" w14:textId="52D266F1" w:rsidR="008F7CA8" w:rsidRDefault="008F7CA8" w:rsidP="008F7CA8">
      <w:pPr>
        <w:pStyle w:val="BlockText"/>
      </w:pPr>
      <w:r w:rsidRPr="005F23A0">
        <w:t xml:space="preserve">For these reasons and others explained in </w:t>
      </w:r>
      <w:r w:rsidRPr="005F23A0">
        <w:fldChar w:fldCharType="begin"/>
      </w:r>
      <w:r w:rsidRPr="005F23A0">
        <w:instrText xml:space="preserve"> REF _Ref50647604 \h  \* MERGEFORMAT </w:instrText>
      </w:r>
      <w:r w:rsidRPr="005F23A0">
        <w:fldChar w:fldCharType="separate"/>
      </w:r>
      <w:r w:rsidR="004A78BF" w:rsidRPr="005F23A0">
        <w:t xml:space="preserve">Table </w:t>
      </w:r>
      <w:r w:rsidR="004A78BF">
        <w:rPr>
          <w:noProof/>
        </w:rPr>
        <w:t>38</w:t>
      </w:r>
      <w:r w:rsidRPr="005F23A0">
        <w:fldChar w:fldCharType="end"/>
      </w:r>
      <w:r w:rsidRPr="005F23A0">
        <w:t xml:space="preserve">, phosphorus was categorized as a </w:t>
      </w:r>
      <w:r>
        <w:t xml:space="preserve">probable stressor in </w:t>
      </w:r>
      <w:r w:rsidR="008929BB">
        <w:t>the Roanoke River</w:t>
      </w:r>
      <w:r>
        <w:t>.</w:t>
      </w:r>
    </w:p>
    <w:p w14:paraId="5F1573D9" w14:textId="77777777" w:rsidR="008A1F50" w:rsidRPr="005F23A0" w:rsidRDefault="008A1F50" w:rsidP="008A1F50">
      <w:pPr>
        <w:pStyle w:val="Caption"/>
      </w:pPr>
    </w:p>
    <w:p w14:paraId="550A27B1" w14:textId="5B2E4DAC" w:rsidR="008A1F50" w:rsidRPr="005F23A0" w:rsidRDefault="008A1F50" w:rsidP="008A1F50">
      <w:pPr>
        <w:pStyle w:val="Caption"/>
      </w:pPr>
      <w:bookmarkStart w:id="241" w:name="_Ref50647604"/>
      <w:bookmarkStart w:id="242" w:name="_Toc162948305"/>
      <w:r w:rsidRPr="005F23A0">
        <w:t xml:space="preserve">Table </w:t>
      </w:r>
      <w:r w:rsidRPr="005F23A0">
        <w:rPr>
          <w:noProof/>
        </w:rPr>
        <w:fldChar w:fldCharType="begin"/>
      </w:r>
      <w:r w:rsidRPr="005F23A0">
        <w:rPr>
          <w:noProof/>
        </w:rPr>
        <w:instrText xml:space="preserve"> SEQ Table \* ARABIC </w:instrText>
      </w:r>
      <w:r w:rsidRPr="005F23A0">
        <w:rPr>
          <w:noProof/>
        </w:rPr>
        <w:fldChar w:fldCharType="separate"/>
      </w:r>
      <w:r w:rsidR="004A78BF">
        <w:rPr>
          <w:noProof/>
        </w:rPr>
        <w:t>38</w:t>
      </w:r>
      <w:r w:rsidRPr="005F23A0">
        <w:rPr>
          <w:noProof/>
        </w:rPr>
        <w:fldChar w:fldCharType="end"/>
      </w:r>
      <w:bookmarkEnd w:id="241"/>
      <w:r w:rsidRPr="005F23A0">
        <w:t>. Causal analysis results for total phosphorus.</w:t>
      </w:r>
      <w:bookmarkEnd w:id="242"/>
    </w:p>
    <w:tbl>
      <w:tblPr>
        <w:tblW w:w="9457"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7"/>
        <w:gridCol w:w="720"/>
        <w:gridCol w:w="720"/>
        <w:gridCol w:w="990"/>
        <w:gridCol w:w="990"/>
        <w:gridCol w:w="3600"/>
      </w:tblGrid>
      <w:tr w:rsidR="00250E0C" w:rsidRPr="007A0C83" w14:paraId="2796EE68" w14:textId="77777777" w:rsidTr="001B4989">
        <w:trPr>
          <w:cantSplit/>
          <w:trHeight w:val="1080"/>
        </w:trPr>
        <w:tc>
          <w:tcPr>
            <w:tcW w:w="2437" w:type="dxa"/>
            <w:shd w:val="clear" w:color="auto" w:fill="D9D9D9" w:themeFill="background1" w:themeFillShade="D9"/>
            <w:vAlign w:val="center"/>
          </w:tcPr>
          <w:p w14:paraId="03E7C827" w14:textId="77777777" w:rsidR="00250E0C" w:rsidRPr="00396EC1" w:rsidRDefault="00250E0C" w:rsidP="001B4989">
            <w:pPr>
              <w:jc w:val="center"/>
              <w:rPr>
                <w:rFonts w:ascii="Arial Narrow" w:hAnsi="Arial Narrow"/>
                <w:b/>
                <w:sz w:val="20"/>
                <w:szCs w:val="20"/>
              </w:rPr>
            </w:pPr>
            <w:r w:rsidRPr="00396EC1">
              <w:rPr>
                <w:rFonts w:ascii="Arial Narrow" w:hAnsi="Arial Narrow"/>
                <w:b/>
                <w:sz w:val="20"/>
                <w:szCs w:val="20"/>
              </w:rPr>
              <w:t>Evidence</w:t>
            </w:r>
          </w:p>
        </w:tc>
        <w:tc>
          <w:tcPr>
            <w:tcW w:w="720" w:type="dxa"/>
            <w:shd w:val="clear" w:color="auto" w:fill="D9D9D9" w:themeFill="background1" w:themeFillShade="D9"/>
            <w:vAlign w:val="center"/>
          </w:tcPr>
          <w:p w14:paraId="6DF62F72" w14:textId="77777777" w:rsidR="00250E0C" w:rsidRPr="00396EC1" w:rsidRDefault="00250E0C" w:rsidP="001B4989">
            <w:pPr>
              <w:jc w:val="center"/>
              <w:rPr>
                <w:rFonts w:ascii="Arial Narrow" w:hAnsi="Arial Narrow"/>
                <w:b/>
                <w:sz w:val="20"/>
                <w:szCs w:val="20"/>
              </w:rPr>
            </w:pPr>
            <w:r>
              <w:rPr>
                <w:rFonts w:ascii="Arial Narrow" w:hAnsi="Arial Narrow"/>
                <w:b/>
                <w:sz w:val="20"/>
                <w:szCs w:val="20"/>
              </w:rPr>
              <w:t>Wolf Creek</w:t>
            </w:r>
          </w:p>
        </w:tc>
        <w:tc>
          <w:tcPr>
            <w:tcW w:w="720" w:type="dxa"/>
            <w:shd w:val="clear" w:color="auto" w:fill="D9D9D9" w:themeFill="background1" w:themeFillShade="D9"/>
            <w:vAlign w:val="center"/>
          </w:tcPr>
          <w:p w14:paraId="188719DC" w14:textId="77777777" w:rsidR="00250E0C" w:rsidRPr="00396EC1" w:rsidRDefault="00250E0C" w:rsidP="001B4989">
            <w:pPr>
              <w:jc w:val="center"/>
              <w:rPr>
                <w:rFonts w:ascii="Arial Narrow" w:hAnsi="Arial Narrow"/>
                <w:b/>
                <w:sz w:val="20"/>
                <w:szCs w:val="20"/>
              </w:rPr>
            </w:pPr>
            <w:r>
              <w:rPr>
                <w:rFonts w:ascii="Arial Narrow" w:hAnsi="Arial Narrow"/>
                <w:b/>
                <w:sz w:val="20"/>
                <w:szCs w:val="20"/>
              </w:rPr>
              <w:t>Tinker Creek</w:t>
            </w:r>
          </w:p>
        </w:tc>
        <w:tc>
          <w:tcPr>
            <w:tcW w:w="990" w:type="dxa"/>
            <w:shd w:val="clear" w:color="auto" w:fill="D9D9D9" w:themeFill="background1" w:themeFillShade="D9"/>
            <w:vAlign w:val="center"/>
          </w:tcPr>
          <w:p w14:paraId="11F7C0B3" w14:textId="77777777" w:rsidR="00250E0C" w:rsidRPr="00396EC1" w:rsidRDefault="00250E0C" w:rsidP="001B4989">
            <w:pPr>
              <w:jc w:val="center"/>
              <w:rPr>
                <w:rFonts w:ascii="Arial Narrow" w:hAnsi="Arial Narrow"/>
                <w:b/>
                <w:sz w:val="20"/>
                <w:szCs w:val="20"/>
              </w:rPr>
            </w:pPr>
            <w:r>
              <w:rPr>
                <w:rFonts w:ascii="Arial Narrow" w:hAnsi="Arial Narrow"/>
                <w:b/>
                <w:sz w:val="20"/>
                <w:szCs w:val="20"/>
              </w:rPr>
              <w:t>Roanoke River (202.20)</w:t>
            </w:r>
          </w:p>
        </w:tc>
        <w:tc>
          <w:tcPr>
            <w:tcW w:w="990" w:type="dxa"/>
            <w:shd w:val="clear" w:color="auto" w:fill="D9D9D9" w:themeFill="background1" w:themeFillShade="D9"/>
            <w:vAlign w:val="center"/>
          </w:tcPr>
          <w:p w14:paraId="68A85A35" w14:textId="77777777" w:rsidR="00250E0C" w:rsidRPr="00396EC1" w:rsidRDefault="00250E0C" w:rsidP="001B4989">
            <w:pPr>
              <w:jc w:val="center"/>
              <w:rPr>
                <w:rFonts w:ascii="Arial Narrow" w:hAnsi="Arial Narrow"/>
                <w:b/>
                <w:sz w:val="20"/>
                <w:szCs w:val="20"/>
              </w:rPr>
            </w:pPr>
            <w:r>
              <w:rPr>
                <w:rFonts w:ascii="Arial Narrow" w:hAnsi="Arial Narrow"/>
                <w:b/>
                <w:sz w:val="20"/>
                <w:szCs w:val="20"/>
              </w:rPr>
              <w:t>Roanoke River (198.08)</w:t>
            </w:r>
          </w:p>
        </w:tc>
        <w:tc>
          <w:tcPr>
            <w:tcW w:w="3600" w:type="dxa"/>
            <w:shd w:val="clear" w:color="auto" w:fill="D9D9D9" w:themeFill="background1" w:themeFillShade="D9"/>
            <w:vAlign w:val="center"/>
          </w:tcPr>
          <w:p w14:paraId="1D999286" w14:textId="77777777" w:rsidR="00250E0C" w:rsidRPr="00613B31" w:rsidRDefault="00250E0C" w:rsidP="001B4989">
            <w:pPr>
              <w:jc w:val="center"/>
              <w:rPr>
                <w:rFonts w:ascii="Arial Narrow" w:hAnsi="Arial Narrow"/>
                <w:b/>
                <w:sz w:val="20"/>
                <w:szCs w:val="20"/>
              </w:rPr>
            </w:pPr>
            <w:r w:rsidRPr="00396EC1">
              <w:rPr>
                <w:rFonts w:ascii="Arial Narrow" w:hAnsi="Arial Narrow"/>
                <w:b/>
                <w:sz w:val="20"/>
                <w:szCs w:val="20"/>
              </w:rPr>
              <w:t>Explanation</w:t>
            </w:r>
          </w:p>
        </w:tc>
      </w:tr>
      <w:tr w:rsidR="001B4989" w:rsidRPr="007A0C83" w14:paraId="2A424A92" w14:textId="77777777" w:rsidTr="001B4989">
        <w:trPr>
          <w:trHeight w:val="247"/>
        </w:trPr>
        <w:tc>
          <w:tcPr>
            <w:tcW w:w="2437" w:type="dxa"/>
            <w:vAlign w:val="center"/>
          </w:tcPr>
          <w:p w14:paraId="6444C972" w14:textId="0AB6ABE5" w:rsidR="001B4989" w:rsidRPr="001B4989" w:rsidRDefault="001B4989" w:rsidP="001B4989">
            <w:pPr>
              <w:jc w:val="left"/>
              <w:rPr>
                <w:rFonts w:ascii="Arial Narrow" w:hAnsi="Arial Narrow"/>
                <w:sz w:val="20"/>
                <w:szCs w:val="20"/>
                <w:highlight w:val="yellow"/>
              </w:rPr>
            </w:pPr>
            <w:r w:rsidRPr="001B4989">
              <w:rPr>
                <w:rFonts w:ascii="Arial Narrow" w:hAnsi="Arial Narrow" w:cs="Calibri"/>
                <w:color w:val="000000"/>
                <w:sz w:val="20"/>
                <w:szCs w:val="20"/>
              </w:rPr>
              <w:t>Spatial Co-occurrence</w:t>
            </w:r>
          </w:p>
        </w:tc>
        <w:tc>
          <w:tcPr>
            <w:tcW w:w="720" w:type="dxa"/>
            <w:vAlign w:val="center"/>
          </w:tcPr>
          <w:p w14:paraId="3DF1070F" w14:textId="52A60FF6" w:rsidR="001B4989" w:rsidRPr="001B4989" w:rsidRDefault="001B4989" w:rsidP="001B4989">
            <w:pPr>
              <w:jc w:val="center"/>
              <w:rPr>
                <w:rFonts w:ascii="Arial Narrow" w:hAnsi="Arial Narrow" w:cs="Calibri"/>
                <w:color w:val="000000"/>
                <w:sz w:val="20"/>
                <w:szCs w:val="20"/>
              </w:rPr>
            </w:pPr>
            <w:r w:rsidRPr="001B4989">
              <w:rPr>
                <w:rFonts w:ascii="Arial Narrow" w:hAnsi="Arial Narrow" w:cs="Calibri"/>
                <w:color w:val="000000"/>
                <w:sz w:val="20"/>
                <w:szCs w:val="20"/>
              </w:rPr>
              <w:t>-3</w:t>
            </w:r>
          </w:p>
        </w:tc>
        <w:tc>
          <w:tcPr>
            <w:tcW w:w="720" w:type="dxa"/>
            <w:vAlign w:val="center"/>
          </w:tcPr>
          <w:p w14:paraId="62A8B2D3" w14:textId="0DD9ACE0" w:rsidR="001B4989" w:rsidRPr="001B4989" w:rsidRDefault="001B4989" w:rsidP="001B4989">
            <w:pPr>
              <w:jc w:val="center"/>
              <w:rPr>
                <w:rFonts w:ascii="Arial Narrow" w:hAnsi="Arial Narrow" w:cs="Calibri"/>
                <w:color w:val="000000"/>
                <w:sz w:val="20"/>
                <w:szCs w:val="20"/>
              </w:rPr>
            </w:pPr>
            <w:r w:rsidRPr="001B4989">
              <w:rPr>
                <w:rFonts w:ascii="Arial Narrow" w:hAnsi="Arial Narrow" w:cs="Calibri"/>
                <w:color w:val="000000"/>
                <w:sz w:val="20"/>
                <w:szCs w:val="20"/>
              </w:rPr>
              <w:t>-3</w:t>
            </w:r>
          </w:p>
        </w:tc>
        <w:tc>
          <w:tcPr>
            <w:tcW w:w="990" w:type="dxa"/>
            <w:vAlign w:val="center"/>
          </w:tcPr>
          <w:p w14:paraId="7CE12376" w14:textId="4103BC5A" w:rsidR="001B4989" w:rsidRPr="001B4989" w:rsidRDefault="001B4989" w:rsidP="001B4989">
            <w:pPr>
              <w:jc w:val="center"/>
              <w:rPr>
                <w:rFonts w:ascii="Arial Narrow" w:hAnsi="Arial Narrow" w:cs="Calibri"/>
                <w:color w:val="000000"/>
                <w:sz w:val="20"/>
                <w:szCs w:val="20"/>
              </w:rPr>
            </w:pPr>
            <w:r w:rsidRPr="001B4989">
              <w:rPr>
                <w:rFonts w:ascii="Arial Narrow" w:hAnsi="Arial Narrow" w:cs="Calibri"/>
                <w:color w:val="000000"/>
                <w:sz w:val="20"/>
                <w:szCs w:val="20"/>
              </w:rPr>
              <w:t>-2</w:t>
            </w:r>
          </w:p>
        </w:tc>
        <w:tc>
          <w:tcPr>
            <w:tcW w:w="990" w:type="dxa"/>
            <w:vAlign w:val="center"/>
          </w:tcPr>
          <w:p w14:paraId="641A6BC3" w14:textId="6BAD5068" w:rsidR="001B4989" w:rsidRPr="001B4989" w:rsidRDefault="001B4989" w:rsidP="001B4989">
            <w:pPr>
              <w:jc w:val="center"/>
              <w:rPr>
                <w:rFonts w:ascii="Arial Narrow" w:hAnsi="Arial Narrow"/>
                <w:color w:val="000000"/>
                <w:sz w:val="20"/>
                <w:szCs w:val="20"/>
                <w:highlight w:val="yellow"/>
              </w:rPr>
            </w:pPr>
            <w:r w:rsidRPr="001B4989">
              <w:rPr>
                <w:rFonts w:ascii="Arial Narrow" w:hAnsi="Arial Narrow" w:cs="Calibri"/>
                <w:color w:val="000000"/>
                <w:sz w:val="20"/>
                <w:szCs w:val="20"/>
              </w:rPr>
              <w:t>-2</w:t>
            </w:r>
          </w:p>
        </w:tc>
        <w:tc>
          <w:tcPr>
            <w:tcW w:w="3600" w:type="dxa"/>
            <w:vAlign w:val="center"/>
          </w:tcPr>
          <w:p w14:paraId="64A50875" w14:textId="622142EE" w:rsidR="001B4989" w:rsidRPr="001B4989" w:rsidRDefault="001B4989" w:rsidP="001B4989">
            <w:pPr>
              <w:jc w:val="left"/>
              <w:rPr>
                <w:rFonts w:ascii="Arial Narrow" w:hAnsi="Arial Narrow"/>
                <w:color w:val="000000"/>
                <w:sz w:val="20"/>
                <w:szCs w:val="20"/>
                <w:highlight w:val="yellow"/>
              </w:rPr>
            </w:pPr>
            <w:r w:rsidRPr="001B4989">
              <w:rPr>
                <w:rFonts w:ascii="Arial Narrow" w:hAnsi="Arial Narrow" w:cs="Calibri"/>
                <w:color w:val="000000"/>
                <w:sz w:val="20"/>
                <w:szCs w:val="20"/>
              </w:rPr>
              <w:t>SCI scores were impaired in each of the streams, but phosphorus levels at benthic stations were not statistically higher than a relevant reference. Phosphorus levels were statistically higher than the reference at station 4AROA199.20, which is between the two impaired benthic stations.</w:t>
            </w:r>
          </w:p>
        </w:tc>
      </w:tr>
      <w:tr w:rsidR="001B4989" w:rsidRPr="007A0C83" w14:paraId="6ECCC598" w14:textId="77777777" w:rsidTr="001B4989">
        <w:trPr>
          <w:trHeight w:val="247"/>
        </w:trPr>
        <w:tc>
          <w:tcPr>
            <w:tcW w:w="2437" w:type="dxa"/>
            <w:vAlign w:val="center"/>
          </w:tcPr>
          <w:p w14:paraId="4C338341" w14:textId="0954C88F" w:rsidR="001B4989" w:rsidRPr="001B4989" w:rsidRDefault="001B4989" w:rsidP="001B4989">
            <w:pPr>
              <w:jc w:val="left"/>
              <w:rPr>
                <w:rFonts w:ascii="Arial Narrow" w:hAnsi="Arial Narrow"/>
                <w:sz w:val="20"/>
                <w:szCs w:val="20"/>
                <w:highlight w:val="yellow"/>
              </w:rPr>
            </w:pPr>
            <w:r w:rsidRPr="001B4989">
              <w:rPr>
                <w:rFonts w:ascii="Arial Narrow" w:hAnsi="Arial Narrow" w:cs="Calibri"/>
                <w:color w:val="000000"/>
                <w:sz w:val="20"/>
                <w:szCs w:val="20"/>
              </w:rPr>
              <w:t>Temporal Co-occurrence</w:t>
            </w:r>
          </w:p>
        </w:tc>
        <w:tc>
          <w:tcPr>
            <w:tcW w:w="720" w:type="dxa"/>
            <w:vAlign w:val="center"/>
          </w:tcPr>
          <w:p w14:paraId="6F3F21A3" w14:textId="2B7CA271" w:rsidR="001B4989" w:rsidRPr="001B4989" w:rsidRDefault="001B4989" w:rsidP="001B4989">
            <w:pPr>
              <w:jc w:val="center"/>
              <w:rPr>
                <w:rFonts w:ascii="Arial Narrow" w:hAnsi="Arial Narrow" w:cs="Calibri"/>
                <w:color w:val="000000"/>
                <w:sz w:val="20"/>
                <w:szCs w:val="20"/>
              </w:rPr>
            </w:pPr>
            <w:r w:rsidRPr="001B4989">
              <w:rPr>
                <w:rFonts w:ascii="Arial Narrow" w:hAnsi="Arial Narrow" w:cs="Calibri"/>
                <w:sz w:val="20"/>
                <w:szCs w:val="20"/>
              </w:rPr>
              <w:t>-2</w:t>
            </w:r>
          </w:p>
        </w:tc>
        <w:tc>
          <w:tcPr>
            <w:tcW w:w="720" w:type="dxa"/>
            <w:vAlign w:val="center"/>
          </w:tcPr>
          <w:p w14:paraId="63FA5FED" w14:textId="66232223" w:rsidR="001B4989" w:rsidRPr="001B4989" w:rsidRDefault="001B4989" w:rsidP="001B4989">
            <w:pPr>
              <w:jc w:val="center"/>
              <w:rPr>
                <w:rFonts w:ascii="Arial Narrow" w:hAnsi="Arial Narrow" w:cs="Calibri"/>
                <w:color w:val="000000"/>
                <w:sz w:val="20"/>
                <w:szCs w:val="20"/>
              </w:rPr>
            </w:pPr>
            <w:r w:rsidRPr="001B4989">
              <w:rPr>
                <w:rFonts w:ascii="Arial Narrow" w:hAnsi="Arial Narrow" w:cs="Calibri"/>
                <w:sz w:val="20"/>
                <w:szCs w:val="20"/>
              </w:rPr>
              <w:t>-2</w:t>
            </w:r>
          </w:p>
        </w:tc>
        <w:tc>
          <w:tcPr>
            <w:tcW w:w="990" w:type="dxa"/>
            <w:vAlign w:val="center"/>
          </w:tcPr>
          <w:p w14:paraId="173EEEBA" w14:textId="23BA57CE" w:rsidR="001B4989" w:rsidRPr="001B4989" w:rsidRDefault="001B4989" w:rsidP="001B4989">
            <w:pPr>
              <w:jc w:val="center"/>
              <w:rPr>
                <w:rFonts w:ascii="Arial Narrow" w:hAnsi="Arial Narrow" w:cs="Calibri"/>
                <w:color w:val="000000"/>
                <w:sz w:val="20"/>
                <w:szCs w:val="20"/>
              </w:rPr>
            </w:pPr>
            <w:r w:rsidRPr="001B4989">
              <w:rPr>
                <w:rFonts w:ascii="Arial Narrow" w:hAnsi="Arial Narrow" w:cs="Calibri"/>
                <w:sz w:val="20"/>
                <w:szCs w:val="20"/>
              </w:rPr>
              <w:t>-2</w:t>
            </w:r>
          </w:p>
        </w:tc>
        <w:tc>
          <w:tcPr>
            <w:tcW w:w="990" w:type="dxa"/>
            <w:vAlign w:val="center"/>
          </w:tcPr>
          <w:p w14:paraId="64591110" w14:textId="7F4C6C3E" w:rsidR="001B4989" w:rsidRPr="001B4989" w:rsidRDefault="001B4989" w:rsidP="001B4989">
            <w:pPr>
              <w:jc w:val="center"/>
              <w:rPr>
                <w:rFonts w:ascii="Arial Narrow" w:hAnsi="Arial Narrow"/>
                <w:color w:val="000000"/>
                <w:sz w:val="20"/>
                <w:szCs w:val="20"/>
                <w:highlight w:val="yellow"/>
              </w:rPr>
            </w:pPr>
            <w:r w:rsidRPr="001B4989">
              <w:rPr>
                <w:rFonts w:ascii="Arial Narrow" w:hAnsi="Arial Narrow" w:cs="Calibri"/>
                <w:sz w:val="20"/>
                <w:szCs w:val="20"/>
              </w:rPr>
              <w:t>-2</w:t>
            </w:r>
          </w:p>
        </w:tc>
        <w:tc>
          <w:tcPr>
            <w:tcW w:w="3600" w:type="dxa"/>
            <w:vAlign w:val="center"/>
          </w:tcPr>
          <w:p w14:paraId="47F07531" w14:textId="3187BB83" w:rsidR="001B4989" w:rsidRPr="001B4989" w:rsidRDefault="001B4989" w:rsidP="001B4989">
            <w:pPr>
              <w:jc w:val="left"/>
              <w:rPr>
                <w:rFonts w:ascii="Arial Narrow" w:hAnsi="Arial Narrow"/>
                <w:color w:val="000000"/>
                <w:sz w:val="20"/>
                <w:szCs w:val="20"/>
                <w:highlight w:val="yellow"/>
              </w:rPr>
            </w:pPr>
            <w:r w:rsidRPr="001B4989">
              <w:rPr>
                <w:rFonts w:ascii="Arial Narrow" w:hAnsi="Arial Narrow" w:cs="Calibri"/>
                <w:sz w:val="20"/>
                <w:szCs w:val="20"/>
              </w:rPr>
              <w:t xml:space="preserve">At or near the time of benthic sample collection, total phosphorus levels were in the no to low probability range for stressor effects in each of the impaired streams. </w:t>
            </w:r>
          </w:p>
        </w:tc>
      </w:tr>
      <w:tr w:rsidR="001B4989" w:rsidRPr="007A0C83" w14:paraId="2F5DF975" w14:textId="77777777" w:rsidTr="001B4989">
        <w:trPr>
          <w:trHeight w:val="247"/>
        </w:trPr>
        <w:tc>
          <w:tcPr>
            <w:tcW w:w="2437" w:type="dxa"/>
            <w:vAlign w:val="center"/>
          </w:tcPr>
          <w:p w14:paraId="40C54E88" w14:textId="636E4AEB" w:rsidR="001B4989" w:rsidRPr="001B4989" w:rsidRDefault="001B4989" w:rsidP="001B4989">
            <w:pPr>
              <w:jc w:val="left"/>
              <w:rPr>
                <w:rFonts w:ascii="Arial Narrow" w:hAnsi="Arial Narrow"/>
                <w:sz w:val="20"/>
                <w:szCs w:val="20"/>
                <w:highlight w:val="yellow"/>
              </w:rPr>
            </w:pPr>
            <w:r w:rsidRPr="001B4989">
              <w:rPr>
                <w:rFonts w:ascii="Arial Narrow" w:hAnsi="Arial Narrow" w:cs="Calibri"/>
                <w:color w:val="000000"/>
                <w:sz w:val="20"/>
                <w:szCs w:val="20"/>
              </w:rPr>
              <w:t>Causal Pathway</w:t>
            </w:r>
          </w:p>
        </w:tc>
        <w:tc>
          <w:tcPr>
            <w:tcW w:w="720" w:type="dxa"/>
            <w:vAlign w:val="center"/>
          </w:tcPr>
          <w:p w14:paraId="6C628A0D" w14:textId="560E24F7" w:rsidR="001B4989" w:rsidRPr="001B4989" w:rsidRDefault="001B4989" w:rsidP="001B4989">
            <w:pPr>
              <w:jc w:val="center"/>
              <w:rPr>
                <w:rFonts w:ascii="Arial Narrow" w:hAnsi="Arial Narrow" w:cs="Calibri"/>
                <w:color w:val="000000"/>
                <w:sz w:val="20"/>
                <w:szCs w:val="20"/>
              </w:rPr>
            </w:pPr>
            <w:r w:rsidRPr="001B4989">
              <w:rPr>
                <w:rFonts w:ascii="Arial Narrow" w:hAnsi="Arial Narrow" w:cs="Calibri"/>
                <w:sz w:val="20"/>
                <w:szCs w:val="20"/>
              </w:rPr>
              <w:t>0</w:t>
            </w:r>
          </w:p>
        </w:tc>
        <w:tc>
          <w:tcPr>
            <w:tcW w:w="720" w:type="dxa"/>
            <w:vAlign w:val="center"/>
          </w:tcPr>
          <w:p w14:paraId="1B56FBFA" w14:textId="40BF1F95" w:rsidR="001B4989" w:rsidRPr="001B4989" w:rsidRDefault="001B4989" w:rsidP="001B4989">
            <w:pPr>
              <w:jc w:val="center"/>
              <w:rPr>
                <w:rFonts w:ascii="Arial Narrow" w:hAnsi="Arial Narrow" w:cs="Calibri"/>
                <w:color w:val="000000"/>
                <w:sz w:val="20"/>
                <w:szCs w:val="20"/>
              </w:rPr>
            </w:pPr>
            <w:r w:rsidRPr="001B4989">
              <w:rPr>
                <w:rFonts w:ascii="Arial Narrow" w:hAnsi="Arial Narrow" w:cs="Calibri"/>
                <w:sz w:val="20"/>
                <w:szCs w:val="20"/>
              </w:rPr>
              <w:t>-2</w:t>
            </w:r>
          </w:p>
        </w:tc>
        <w:tc>
          <w:tcPr>
            <w:tcW w:w="990" w:type="dxa"/>
            <w:vAlign w:val="center"/>
          </w:tcPr>
          <w:p w14:paraId="730D64FB" w14:textId="3FED3387" w:rsidR="001B4989" w:rsidRPr="001B4989" w:rsidRDefault="001B4989" w:rsidP="001B4989">
            <w:pPr>
              <w:jc w:val="center"/>
              <w:rPr>
                <w:rFonts w:ascii="Arial Narrow" w:hAnsi="Arial Narrow" w:cs="Calibri"/>
                <w:color w:val="000000"/>
                <w:sz w:val="20"/>
                <w:szCs w:val="20"/>
              </w:rPr>
            </w:pPr>
            <w:r w:rsidRPr="001B4989">
              <w:rPr>
                <w:rFonts w:ascii="Arial Narrow" w:hAnsi="Arial Narrow" w:cs="Calibri"/>
                <w:sz w:val="20"/>
                <w:szCs w:val="20"/>
              </w:rPr>
              <w:t>-2</w:t>
            </w:r>
          </w:p>
        </w:tc>
        <w:tc>
          <w:tcPr>
            <w:tcW w:w="990" w:type="dxa"/>
            <w:vAlign w:val="center"/>
          </w:tcPr>
          <w:p w14:paraId="63E7F61B" w14:textId="38D32405" w:rsidR="001B4989" w:rsidRPr="001B4989" w:rsidRDefault="001B4989" w:rsidP="001B4989">
            <w:pPr>
              <w:jc w:val="center"/>
              <w:rPr>
                <w:rFonts w:ascii="Arial Narrow" w:hAnsi="Arial Narrow"/>
                <w:color w:val="000000"/>
                <w:sz w:val="20"/>
                <w:szCs w:val="20"/>
                <w:highlight w:val="yellow"/>
              </w:rPr>
            </w:pPr>
            <w:r w:rsidRPr="001B4989">
              <w:rPr>
                <w:rFonts w:ascii="Arial Narrow" w:hAnsi="Arial Narrow" w:cs="Calibri"/>
                <w:sz w:val="20"/>
                <w:szCs w:val="20"/>
              </w:rPr>
              <w:t>-2</w:t>
            </w:r>
          </w:p>
        </w:tc>
        <w:tc>
          <w:tcPr>
            <w:tcW w:w="3600" w:type="dxa"/>
            <w:vAlign w:val="center"/>
          </w:tcPr>
          <w:p w14:paraId="54D94CA3" w14:textId="4EBA9C9E" w:rsidR="001B4989" w:rsidRPr="001B4989" w:rsidRDefault="001B4989" w:rsidP="001B4989">
            <w:pPr>
              <w:jc w:val="left"/>
              <w:rPr>
                <w:rFonts w:ascii="Arial Narrow" w:hAnsi="Arial Narrow"/>
                <w:color w:val="000000"/>
                <w:sz w:val="20"/>
                <w:szCs w:val="20"/>
                <w:highlight w:val="yellow"/>
              </w:rPr>
            </w:pPr>
            <w:r w:rsidRPr="001B4989">
              <w:rPr>
                <w:rFonts w:ascii="Arial Narrow" w:hAnsi="Arial Narrow" w:cs="Calibri"/>
                <w:color w:val="000000"/>
                <w:sz w:val="20"/>
                <w:szCs w:val="20"/>
              </w:rPr>
              <w:t xml:space="preserve">Diurnal DO measurements in Tinker Creek and Roanoke River did not show strong fluctuations from daytime to nighttime indicating that the causal pathway from nutrient enrichment to low DO is weak or not intact. No diurnal DO data was collected in Wolf Creek. </w:t>
            </w:r>
          </w:p>
        </w:tc>
      </w:tr>
      <w:tr w:rsidR="001B4989" w:rsidRPr="007A0C83" w14:paraId="26041790" w14:textId="77777777" w:rsidTr="001B4989">
        <w:trPr>
          <w:trHeight w:val="247"/>
        </w:trPr>
        <w:tc>
          <w:tcPr>
            <w:tcW w:w="2437" w:type="dxa"/>
            <w:vAlign w:val="center"/>
          </w:tcPr>
          <w:p w14:paraId="4337DB17" w14:textId="5D7CF82D" w:rsidR="001B4989" w:rsidRPr="001B4989" w:rsidRDefault="001B4989" w:rsidP="001B4989">
            <w:pPr>
              <w:jc w:val="left"/>
              <w:rPr>
                <w:rFonts w:ascii="Arial Narrow" w:hAnsi="Arial Narrow"/>
                <w:sz w:val="20"/>
                <w:szCs w:val="20"/>
                <w:highlight w:val="yellow"/>
              </w:rPr>
            </w:pPr>
            <w:r w:rsidRPr="001B4989">
              <w:rPr>
                <w:rFonts w:ascii="Arial Narrow" w:hAnsi="Arial Narrow" w:cs="Calibri"/>
                <w:color w:val="000000"/>
                <w:sz w:val="20"/>
                <w:szCs w:val="20"/>
              </w:rPr>
              <w:t>Stressor-Response Relationships from the Field</w:t>
            </w:r>
          </w:p>
        </w:tc>
        <w:tc>
          <w:tcPr>
            <w:tcW w:w="720" w:type="dxa"/>
            <w:vAlign w:val="center"/>
          </w:tcPr>
          <w:p w14:paraId="50DCD62C" w14:textId="0CAB2B18" w:rsidR="001B4989" w:rsidRPr="001B4989" w:rsidRDefault="001B4989" w:rsidP="001B4989">
            <w:pPr>
              <w:jc w:val="center"/>
              <w:rPr>
                <w:rFonts w:ascii="Arial Narrow" w:hAnsi="Arial Narrow" w:cs="Calibri"/>
                <w:color w:val="000000"/>
                <w:sz w:val="20"/>
                <w:szCs w:val="20"/>
              </w:rPr>
            </w:pPr>
            <w:r w:rsidRPr="001B4989">
              <w:rPr>
                <w:rFonts w:ascii="Arial Narrow" w:hAnsi="Arial Narrow" w:cs="Calibri"/>
                <w:color w:val="000000"/>
                <w:sz w:val="20"/>
                <w:szCs w:val="20"/>
              </w:rPr>
              <w:t>-2</w:t>
            </w:r>
          </w:p>
        </w:tc>
        <w:tc>
          <w:tcPr>
            <w:tcW w:w="720" w:type="dxa"/>
            <w:vAlign w:val="center"/>
          </w:tcPr>
          <w:p w14:paraId="43114780" w14:textId="434E991C" w:rsidR="001B4989" w:rsidRPr="001B4989" w:rsidRDefault="001B4989" w:rsidP="001B4989">
            <w:pPr>
              <w:jc w:val="center"/>
              <w:rPr>
                <w:rFonts w:ascii="Arial Narrow" w:hAnsi="Arial Narrow" w:cs="Calibri"/>
                <w:color w:val="000000"/>
                <w:sz w:val="20"/>
                <w:szCs w:val="20"/>
              </w:rPr>
            </w:pPr>
            <w:r w:rsidRPr="001B4989">
              <w:rPr>
                <w:rFonts w:ascii="Arial Narrow" w:hAnsi="Arial Narrow" w:cs="Calibri"/>
                <w:color w:val="000000"/>
                <w:sz w:val="20"/>
                <w:szCs w:val="20"/>
              </w:rPr>
              <w:t>-2</w:t>
            </w:r>
          </w:p>
        </w:tc>
        <w:tc>
          <w:tcPr>
            <w:tcW w:w="990" w:type="dxa"/>
            <w:vAlign w:val="center"/>
          </w:tcPr>
          <w:p w14:paraId="08F0DA76" w14:textId="7E5B85A3" w:rsidR="001B4989" w:rsidRPr="001B4989" w:rsidRDefault="001B4989" w:rsidP="001B4989">
            <w:pPr>
              <w:jc w:val="center"/>
              <w:rPr>
                <w:rFonts w:ascii="Arial Narrow" w:hAnsi="Arial Narrow" w:cs="Calibri"/>
                <w:color w:val="000000"/>
                <w:sz w:val="20"/>
                <w:szCs w:val="20"/>
              </w:rPr>
            </w:pPr>
            <w:r w:rsidRPr="001B4989">
              <w:rPr>
                <w:rFonts w:ascii="Arial Narrow" w:hAnsi="Arial Narrow" w:cs="Calibri"/>
                <w:color w:val="000000"/>
                <w:sz w:val="20"/>
                <w:szCs w:val="20"/>
              </w:rPr>
              <w:t>2</w:t>
            </w:r>
          </w:p>
        </w:tc>
        <w:tc>
          <w:tcPr>
            <w:tcW w:w="990" w:type="dxa"/>
            <w:vAlign w:val="center"/>
          </w:tcPr>
          <w:p w14:paraId="1AF995FE" w14:textId="092652A8" w:rsidR="001B4989" w:rsidRPr="001B4989" w:rsidRDefault="001B4989" w:rsidP="001B4989">
            <w:pPr>
              <w:jc w:val="center"/>
              <w:rPr>
                <w:rFonts w:ascii="Arial Narrow" w:hAnsi="Arial Narrow"/>
                <w:color w:val="000000"/>
                <w:sz w:val="20"/>
                <w:szCs w:val="20"/>
                <w:highlight w:val="yellow"/>
              </w:rPr>
            </w:pPr>
            <w:r w:rsidRPr="001B4989">
              <w:rPr>
                <w:rFonts w:ascii="Arial Narrow" w:hAnsi="Arial Narrow" w:cs="Calibri"/>
                <w:color w:val="000000"/>
                <w:sz w:val="20"/>
                <w:szCs w:val="20"/>
              </w:rPr>
              <w:t>2</w:t>
            </w:r>
          </w:p>
        </w:tc>
        <w:tc>
          <w:tcPr>
            <w:tcW w:w="3600" w:type="dxa"/>
            <w:vAlign w:val="center"/>
          </w:tcPr>
          <w:p w14:paraId="73FC02CB" w14:textId="3C47CB7B" w:rsidR="001B4989" w:rsidRPr="001B4989" w:rsidRDefault="001B4989" w:rsidP="001B4989">
            <w:pPr>
              <w:jc w:val="left"/>
              <w:rPr>
                <w:rFonts w:ascii="Arial Narrow" w:hAnsi="Arial Narrow"/>
                <w:color w:val="000000"/>
                <w:sz w:val="20"/>
                <w:szCs w:val="20"/>
                <w:highlight w:val="yellow"/>
              </w:rPr>
            </w:pPr>
            <w:r w:rsidRPr="001B4989">
              <w:rPr>
                <w:rFonts w:ascii="Arial Narrow" w:hAnsi="Arial Narrow" w:cs="Calibri"/>
                <w:color w:val="000000"/>
                <w:sz w:val="20"/>
                <w:szCs w:val="20"/>
              </w:rPr>
              <w:t>Phosphorus was not significantly correlated with benthic health across sites, but was significantly correlated with benthic health longitudinally in the Roanoke River.</w:t>
            </w:r>
          </w:p>
        </w:tc>
      </w:tr>
      <w:tr w:rsidR="001B4989" w:rsidRPr="007A0C83" w14:paraId="17760B82" w14:textId="77777777" w:rsidTr="001B4989">
        <w:trPr>
          <w:trHeight w:val="247"/>
        </w:trPr>
        <w:tc>
          <w:tcPr>
            <w:tcW w:w="2437" w:type="dxa"/>
            <w:vAlign w:val="center"/>
          </w:tcPr>
          <w:p w14:paraId="7A89FDFC" w14:textId="0BBE8509" w:rsidR="001B4989" w:rsidRPr="001B4989" w:rsidRDefault="001B4989" w:rsidP="001B4989">
            <w:pPr>
              <w:jc w:val="left"/>
              <w:rPr>
                <w:rFonts w:ascii="Arial Narrow" w:hAnsi="Arial Narrow" w:cs="Calibri"/>
                <w:b/>
                <w:bCs/>
                <w:color w:val="000000"/>
                <w:sz w:val="20"/>
                <w:szCs w:val="20"/>
                <w:highlight w:val="yellow"/>
              </w:rPr>
            </w:pPr>
            <w:r w:rsidRPr="001B4989">
              <w:rPr>
                <w:rFonts w:ascii="Arial Narrow" w:hAnsi="Arial Narrow" w:cs="Calibri"/>
                <w:color w:val="000000"/>
                <w:sz w:val="20"/>
                <w:szCs w:val="20"/>
              </w:rPr>
              <w:t>Temporal Sequence</w:t>
            </w:r>
          </w:p>
        </w:tc>
        <w:tc>
          <w:tcPr>
            <w:tcW w:w="720" w:type="dxa"/>
            <w:vAlign w:val="center"/>
          </w:tcPr>
          <w:p w14:paraId="1AE1AEDA" w14:textId="23150011" w:rsidR="001B4989" w:rsidRPr="001B4989" w:rsidRDefault="001B4989" w:rsidP="001B4989">
            <w:pPr>
              <w:jc w:val="center"/>
              <w:rPr>
                <w:rFonts w:ascii="Arial Narrow" w:hAnsi="Arial Narrow" w:cs="Calibri"/>
                <w:color w:val="000000"/>
                <w:sz w:val="20"/>
                <w:szCs w:val="20"/>
              </w:rPr>
            </w:pPr>
            <w:r w:rsidRPr="001B4989">
              <w:rPr>
                <w:rFonts w:ascii="Arial Narrow" w:hAnsi="Arial Narrow" w:cs="Calibri"/>
                <w:color w:val="000000"/>
                <w:sz w:val="20"/>
                <w:szCs w:val="20"/>
              </w:rPr>
              <w:t>1</w:t>
            </w:r>
          </w:p>
        </w:tc>
        <w:tc>
          <w:tcPr>
            <w:tcW w:w="720" w:type="dxa"/>
            <w:vAlign w:val="center"/>
          </w:tcPr>
          <w:p w14:paraId="5EFD8FE0" w14:textId="41CE4116" w:rsidR="001B4989" w:rsidRPr="001B4989" w:rsidRDefault="001B4989" w:rsidP="001B4989">
            <w:pPr>
              <w:jc w:val="center"/>
              <w:rPr>
                <w:rFonts w:ascii="Arial Narrow" w:hAnsi="Arial Narrow" w:cs="Calibri"/>
                <w:color w:val="000000"/>
                <w:sz w:val="20"/>
                <w:szCs w:val="20"/>
              </w:rPr>
            </w:pPr>
            <w:r w:rsidRPr="001B4989">
              <w:rPr>
                <w:rFonts w:ascii="Arial Narrow" w:hAnsi="Arial Narrow" w:cs="Calibri"/>
                <w:color w:val="000000"/>
                <w:sz w:val="20"/>
                <w:szCs w:val="20"/>
              </w:rPr>
              <w:t>1</w:t>
            </w:r>
          </w:p>
        </w:tc>
        <w:tc>
          <w:tcPr>
            <w:tcW w:w="990" w:type="dxa"/>
            <w:vAlign w:val="center"/>
          </w:tcPr>
          <w:p w14:paraId="4085646F" w14:textId="46846AE5" w:rsidR="001B4989" w:rsidRPr="001B4989" w:rsidRDefault="001B4989" w:rsidP="001B4989">
            <w:pPr>
              <w:jc w:val="center"/>
              <w:rPr>
                <w:rFonts w:ascii="Arial Narrow" w:hAnsi="Arial Narrow" w:cs="Calibri"/>
                <w:color w:val="000000"/>
                <w:sz w:val="20"/>
                <w:szCs w:val="20"/>
              </w:rPr>
            </w:pPr>
            <w:r w:rsidRPr="001B4989">
              <w:rPr>
                <w:rFonts w:ascii="Arial Narrow" w:hAnsi="Arial Narrow" w:cs="Calibri"/>
                <w:color w:val="000000"/>
                <w:sz w:val="20"/>
                <w:szCs w:val="20"/>
              </w:rPr>
              <w:t>1</w:t>
            </w:r>
          </w:p>
        </w:tc>
        <w:tc>
          <w:tcPr>
            <w:tcW w:w="990" w:type="dxa"/>
            <w:vAlign w:val="center"/>
          </w:tcPr>
          <w:p w14:paraId="586ACAEB" w14:textId="312AE4D2" w:rsidR="001B4989" w:rsidRPr="001B4989" w:rsidRDefault="001B4989" w:rsidP="001B4989">
            <w:pPr>
              <w:jc w:val="center"/>
              <w:rPr>
                <w:rFonts w:ascii="Arial Narrow" w:hAnsi="Arial Narrow" w:cs="Calibri"/>
                <w:b/>
                <w:color w:val="000000"/>
                <w:sz w:val="20"/>
                <w:szCs w:val="20"/>
                <w:highlight w:val="yellow"/>
              </w:rPr>
            </w:pPr>
            <w:r w:rsidRPr="001B4989">
              <w:rPr>
                <w:rFonts w:ascii="Arial Narrow" w:hAnsi="Arial Narrow" w:cs="Calibri"/>
                <w:color w:val="000000"/>
                <w:sz w:val="20"/>
                <w:szCs w:val="20"/>
              </w:rPr>
              <w:t>1</w:t>
            </w:r>
          </w:p>
        </w:tc>
        <w:tc>
          <w:tcPr>
            <w:tcW w:w="3600" w:type="dxa"/>
            <w:vAlign w:val="center"/>
          </w:tcPr>
          <w:p w14:paraId="13F775FC" w14:textId="6F5E5166" w:rsidR="001B4989" w:rsidRPr="001B4989" w:rsidRDefault="001B4989" w:rsidP="001B4989">
            <w:pPr>
              <w:jc w:val="left"/>
              <w:rPr>
                <w:rFonts w:ascii="Arial Narrow" w:hAnsi="Arial Narrow"/>
                <w:color w:val="000000"/>
                <w:sz w:val="20"/>
                <w:szCs w:val="20"/>
                <w:highlight w:val="yellow"/>
              </w:rPr>
            </w:pPr>
            <w:r w:rsidRPr="001B4989">
              <w:rPr>
                <w:rFonts w:ascii="Arial Narrow" w:hAnsi="Arial Narrow" w:cs="Calibri"/>
                <w:color w:val="000000"/>
                <w:sz w:val="20"/>
                <w:szCs w:val="20"/>
              </w:rPr>
              <w:t>Seasonal trends of lower spring benthic scores observed in each of the impaired streams may indicate nutrient enrichment, as higher spring flows bring increased nutrient loads and increasing spring temperatures and sunlight spur algal growth.</w:t>
            </w:r>
          </w:p>
        </w:tc>
      </w:tr>
      <w:tr w:rsidR="001B4989" w:rsidRPr="007A0C83" w14:paraId="6312FFE7" w14:textId="77777777" w:rsidTr="001B4989">
        <w:trPr>
          <w:trHeight w:val="247"/>
        </w:trPr>
        <w:tc>
          <w:tcPr>
            <w:tcW w:w="2437" w:type="dxa"/>
            <w:vAlign w:val="center"/>
          </w:tcPr>
          <w:p w14:paraId="26A42E3B" w14:textId="27C062BA" w:rsidR="001B4989" w:rsidRPr="001B4989" w:rsidRDefault="001B4989" w:rsidP="001B4989">
            <w:pPr>
              <w:jc w:val="left"/>
              <w:rPr>
                <w:rFonts w:ascii="Arial Narrow" w:hAnsi="Arial Narrow" w:cs="Calibri"/>
                <w:b/>
                <w:bCs/>
                <w:color w:val="000000"/>
                <w:sz w:val="20"/>
                <w:szCs w:val="20"/>
                <w:highlight w:val="yellow"/>
              </w:rPr>
            </w:pPr>
            <w:r w:rsidRPr="001B4989">
              <w:rPr>
                <w:rFonts w:ascii="Arial Narrow" w:hAnsi="Arial Narrow" w:cs="Calibri"/>
                <w:color w:val="000000"/>
                <w:sz w:val="20"/>
                <w:szCs w:val="20"/>
              </w:rPr>
              <w:t>Symptoms</w:t>
            </w:r>
          </w:p>
        </w:tc>
        <w:tc>
          <w:tcPr>
            <w:tcW w:w="720" w:type="dxa"/>
            <w:vAlign w:val="center"/>
          </w:tcPr>
          <w:p w14:paraId="038E4329" w14:textId="1A984540"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2</w:t>
            </w:r>
          </w:p>
        </w:tc>
        <w:tc>
          <w:tcPr>
            <w:tcW w:w="720" w:type="dxa"/>
            <w:vAlign w:val="center"/>
          </w:tcPr>
          <w:p w14:paraId="03B33871" w14:textId="5EA56D42"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3</w:t>
            </w:r>
          </w:p>
        </w:tc>
        <w:tc>
          <w:tcPr>
            <w:tcW w:w="990" w:type="dxa"/>
            <w:vAlign w:val="center"/>
          </w:tcPr>
          <w:p w14:paraId="0D88F18A" w14:textId="0B5D61FC"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2</w:t>
            </w:r>
          </w:p>
        </w:tc>
        <w:tc>
          <w:tcPr>
            <w:tcW w:w="990" w:type="dxa"/>
            <w:vAlign w:val="center"/>
          </w:tcPr>
          <w:p w14:paraId="59A6EE3C" w14:textId="1884AE55" w:rsidR="001B4989" w:rsidRPr="001B4989" w:rsidRDefault="001B4989" w:rsidP="001B4989">
            <w:pPr>
              <w:jc w:val="center"/>
              <w:rPr>
                <w:rFonts w:ascii="Arial Narrow" w:hAnsi="Arial Narrow" w:cs="Calibri"/>
                <w:b/>
                <w:color w:val="000000"/>
                <w:sz w:val="20"/>
                <w:szCs w:val="20"/>
                <w:highlight w:val="yellow"/>
              </w:rPr>
            </w:pPr>
            <w:r w:rsidRPr="001B4989">
              <w:rPr>
                <w:rFonts w:ascii="Arial Narrow" w:hAnsi="Arial Narrow" w:cs="Calibri"/>
                <w:color w:val="000000"/>
                <w:sz w:val="20"/>
                <w:szCs w:val="20"/>
              </w:rPr>
              <w:t>2</w:t>
            </w:r>
          </w:p>
        </w:tc>
        <w:tc>
          <w:tcPr>
            <w:tcW w:w="3600" w:type="dxa"/>
            <w:vAlign w:val="center"/>
          </w:tcPr>
          <w:p w14:paraId="740E48FD" w14:textId="5B368DC7" w:rsidR="001B4989" w:rsidRPr="001B4989" w:rsidRDefault="001B4989" w:rsidP="001B4989">
            <w:pPr>
              <w:jc w:val="left"/>
              <w:rPr>
                <w:rFonts w:ascii="Arial Narrow" w:hAnsi="Arial Narrow"/>
                <w:color w:val="000000"/>
                <w:sz w:val="20"/>
                <w:szCs w:val="20"/>
                <w:highlight w:val="yellow"/>
              </w:rPr>
            </w:pPr>
            <w:r w:rsidRPr="001B4989">
              <w:rPr>
                <w:rFonts w:ascii="Arial Narrow" w:hAnsi="Arial Narrow" w:cs="Calibri"/>
                <w:color w:val="000000"/>
                <w:sz w:val="20"/>
                <w:szCs w:val="20"/>
              </w:rPr>
              <w:t xml:space="preserve">Biological Condition Gradient </w:t>
            </w:r>
            <w:r w:rsidR="007E2E2D">
              <w:rPr>
                <w:rFonts w:ascii="Arial Narrow" w:hAnsi="Arial Narrow" w:cs="Calibri"/>
                <w:color w:val="000000"/>
                <w:sz w:val="20"/>
                <w:szCs w:val="20"/>
              </w:rPr>
              <w:t xml:space="preserve">attribute </w:t>
            </w:r>
            <w:r w:rsidRPr="001B4989">
              <w:rPr>
                <w:rFonts w:ascii="Arial Narrow" w:hAnsi="Arial Narrow" w:cs="Calibri"/>
                <w:color w:val="000000"/>
                <w:sz w:val="20"/>
                <w:szCs w:val="20"/>
              </w:rPr>
              <w:t xml:space="preserve">analysis identified top predominant taxa in Wolf Creek and Tinker Creek that increase in abundance in the presence of nutrients (score of 5). Based on average BCG </w:t>
            </w:r>
            <w:r w:rsidR="007E2E2D">
              <w:rPr>
                <w:rFonts w:ascii="Arial Narrow" w:hAnsi="Arial Narrow" w:cs="Calibri"/>
                <w:color w:val="000000"/>
                <w:sz w:val="20"/>
                <w:szCs w:val="20"/>
              </w:rPr>
              <w:t xml:space="preserve">attribute </w:t>
            </w:r>
            <w:r w:rsidRPr="001B4989">
              <w:rPr>
                <w:rFonts w:ascii="Arial Narrow" w:hAnsi="Arial Narrow" w:cs="Calibri"/>
                <w:color w:val="000000"/>
                <w:sz w:val="20"/>
                <w:szCs w:val="20"/>
              </w:rPr>
              <w:t xml:space="preserve">scores, nutrients ranked as the highest ranked stressor in Tinker Creek and Roanoke River and the second highest in Wolf Creek.  </w:t>
            </w:r>
          </w:p>
        </w:tc>
      </w:tr>
      <w:tr w:rsidR="001B4989" w:rsidRPr="007A0C83" w14:paraId="5DFB0714" w14:textId="77777777" w:rsidTr="001B4989">
        <w:trPr>
          <w:trHeight w:val="247"/>
        </w:trPr>
        <w:tc>
          <w:tcPr>
            <w:tcW w:w="2437" w:type="dxa"/>
            <w:vAlign w:val="center"/>
          </w:tcPr>
          <w:p w14:paraId="6AF033A2" w14:textId="2BB3A04F" w:rsidR="001B4989" w:rsidRPr="001B4989" w:rsidRDefault="001B4989" w:rsidP="001B4989">
            <w:pPr>
              <w:jc w:val="left"/>
              <w:rPr>
                <w:rFonts w:ascii="Arial Narrow" w:hAnsi="Arial Narrow" w:cs="Calibri"/>
                <w:b/>
                <w:bCs/>
                <w:color w:val="000000"/>
                <w:sz w:val="20"/>
                <w:szCs w:val="20"/>
              </w:rPr>
            </w:pPr>
            <w:r w:rsidRPr="001B4989">
              <w:rPr>
                <w:rFonts w:ascii="Arial Narrow" w:hAnsi="Arial Narrow" w:cs="Calibri"/>
                <w:color w:val="000000"/>
                <w:sz w:val="20"/>
                <w:szCs w:val="20"/>
              </w:rPr>
              <w:t>Symptoms (2)</w:t>
            </w:r>
          </w:p>
        </w:tc>
        <w:tc>
          <w:tcPr>
            <w:tcW w:w="720" w:type="dxa"/>
            <w:vAlign w:val="center"/>
          </w:tcPr>
          <w:p w14:paraId="1BF9AB37" w14:textId="2519C18E"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-1</w:t>
            </w:r>
          </w:p>
        </w:tc>
        <w:tc>
          <w:tcPr>
            <w:tcW w:w="720" w:type="dxa"/>
            <w:vAlign w:val="center"/>
          </w:tcPr>
          <w:p w14:paraId="542A1D0B" w14:textId="682329AB"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-1</w:t>
            </w:r>
          </w:p>
        </w:tc>
        <w:tc>
          <w:tcPr>
            <w:tcW w:w="990" w:type="dxa"/>
            <w:vAlign w:val="center"/>
          </w:tcPr>
          <w:p w14:paraId="6EA91472" w14:textId="28027118"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1</w:t>
            </w:r>
          </w:p>
        </w:tc>
        <w:tc>
          <w:tcPr>
            <w:tcW w:w="990" w:type="dxa"/>
            <w:vAlign w:val="center"/>
          </w:tcPr>
          <w:p w14:paraId="6782575E" w14:textId="00B975BF"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2</w:t>
            </w:r>
          </w:p>
        </w:tc>
        <w:tc>
          <w:tcPr>
            <w:tcW w:w="3600" w:type="dxa"/>
            <w:vAlign w:val="center"/>
          </w:tcPr>
          <w:p w14:paraId="0E5E9807" w14:textId="65E6D390" w:rsidR="001B4989" w:rsidRPr="001B4989" w:rsidRDefault="001B4989" w:rsidP="001B4989">
            <w:pPr>
              <w:jc w:val="left"/>
              <w:rPr>
                <w:rFonts w:ascii="Arial Narrow" w:hAnsi="Arial Narrow"/>
                <w:color w:val="000000"/>
                <w:sz w:val="20"/>
                <w:szCs w:val="20"/>
                <w:highlight w:val="yellow"/>
              </w:rPr>
            </w:pPr>
            <w:r w:rsidRPr="001B4989">
              <w:rPr>
                <w:rFonts w:ascii="Arial Narrow" w:hAnsi="Arial Narrow" w:cs="Calibri"/>
                <w:color w:val="000000"/>
                <w:sz w:val="20"/>
                <w:szCs w:val="20"/>
              </w:rPr>
              <w:t>In functional feeding group analysis, scrapers, which are indicative of nutrient enrichment, increased by 2% at Roanoke River (202.20) and 5% at Roanoke River (198.08). Scrapers decreased in Wolf Creek and Tinker Creek.</w:t>
            </w:r>
          </w:p>
        </w:tc>
      </w:tr>
      <w:tr w:rsidR="001B4989" w:rsidRPr="007A0C83" w14:paraId="23A96E80" w14:textId="77777777" w:rsidTr="001B4989">
        <w:trPr>
          <w:trHeight w:val="247"/>
        </w:trPr>
        <w:tc>
          <w:tcPr>
            <w:tcW w:w="2437" w:type="dxa"/>
            <w:vAlign w:val="center"/>
          </w:tcPr>
          <w:p w14:paraId="024B6F7F" w14:textId="6C44724B" w:rsidR="001B4989" w:rsidRPr="001B4989" w:rsidRDefault="001B4989" w:rsidP="001B4989">
            <w:pPr>
              <w:jc w:val="left"/>
              <w:rPr>
                <w:rFonts w:ascii="Arial Narrow" w:hAnsi="Arial Narrow" w:cs="Calibri"/>
                <w:b/>
                <w:bCs/>
                <w:color w:val="000000"/>
                <w:sz w:val="20"/>
                <w:szCs w:val="20"/>
              </w:rPr>
            </w:pPr>
            <w:r w:rsidRPr="001B4989">
              <w:rPr>
                <w:rFonts w:ascii="Arial Narrow" w:hAnsi="Arial Narrow" w:cs="Calibri"/>
                <w:color w:val="000000"/>
                <w:sz w:val="20"/>
                <w:szCs w:val="20"/>
              </w:rPr>
              <w:t>Symptoms (3)</w:t>
            </w:r>
          </w:p>
        </w:tc>
        <w:tc>
          <w:tcPr>
            <w:tcW w:w="720" w:type="dxa"/>
            <w:vAlign w:val="center"/>
          </w:tcPr>
          <w:p w14:paraId="23011DD3" w14:textId="20B71CFF"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0</w:t>
            </w:r>
          </w:p>
        </w:tc>
        <w:tc>
          <w:tcPr>
            <w:tcW w:w="720" w:type="dxa"/>
            <w:vAlign w:val="center"/>
          </w:tcPr>
          <w:p w14:paraId="7CE1F474" w14:textId="5166698E"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0</w:t>
            </w:r>
          </w:p>
        </w:tc>
        <w:tc>
          <w:tcPr>
            <w:tcW w:w="990" w:type="dxa"/>
            <w:vAlign w:val="center"/>
          </w:tcPr>
          <w:p w14:paraId="036BFDF4" w14:textId="66619238"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2</w:t>
            </w:r>
          </w:p>
        </w:tc>
        <w:tc>
          <w:tcPr>
            <w:tcW w:w="990" w:type="dxa"/>
            <w:vAlign w:val="center"/>
          </w:tcPr>
          <w:p w14:paraId="60FA3E33" w14:textId="776FAAAD"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2</w:t>
            </w:r>
          </w:p>
        </w:tc>
        <w:tc>
          <w:tcPr>
            <w:tcW w:w="3600" w:type="dxa"/>
            <w:vAlign w:val="center"/>
          </w:tcPr>
          <w:p w14:paraId="7B310C15" w14:textId="4B2807B6" w:rsidR="001B4989" w:rsidRPr="001B4989" w:rsidRDefault="001B4989" w:rsidP="001B4989">
            <w:pPr>
              <w:jc w:val="left"/>
              <w:rPr>
                <w:rFonts w:ascii="Arial Narrow" w:hAnsi="Arial Narrow"/>
                <w:color w:val="000000"/>
                <w:sz w:val="20"/>
                <w:szCs w:val="20"/>
                <w:highlight w:val="yellow"/>
              </w:rPr>
            </w:pPr>
            <w:r w:rsidRPr="001B4989">
              <w:rPr>
                <w:rFonts w:ascii="Arial Narrow" w:hAnsi="Arial Narrow" w:cs="Calibri"/>
                <w:color w:val="000000"/>
                <w:sz w:val="20"/>
                <w:szCs w:val="20"/>
              </w:rPr>
              <w:t>Algae sampling in the Roanoke River in 2023 showed a consistent pattern of increased algae downstream where nutrient levels were higher. Patterns in 2021 and 2022 were less conclusive, but confounding issues with sampling location were encountered.</w:t>
            </w:r>
          </w:p>
        </w:tc>
      </w:tr>
      <w:tr w:rsidR="001B4989" w:rsidRPr="007A0C83" w14:paraId="72B108DF" w14:textId="77777777" w:rsidTr="001B4989">
        <w:trPr>
          <w:trHeight w:val="247"/>
        </w:trPr>
        <w:tc>
          <w:tcPr>
            <w:tcW w:w="2437" w:type="dxa"/>
            <w:vAlign w:val="center"/>
          </w:tcPr>
          <w:p w14:paraId="3600FB7E" w14:textId="34B2794A" w:rsidR="001B4989" w:rsidRPr="001B4989" w:rsidRDefault="001B4989" w:rsidP="001B4989">
            <w:pPr>
              <w:jc w:val="left"/>
              <w:rPr>
                <w:rFonts w:ascii="Arial Narrow" w:hAnsi="Arial Narrow" w:cs="Calibri"/>
                <w:b/>
                <w:bCs/>
                <w:color w:val="000000"/>
                <w:sz w:val="20"/>
                <w:szCs w:val="20"/>
              </w:rPr>
            </w:pPr>
            <w:r w:rsidRPr="001B4989">
              <w:rPr>
                <w:rFonts w:ascii="Arial Narrow" w:hAnsi="Arial Narrow" w:cs="Calibri"/>
                <w:color w:val="000000"/>
                <w:sz w:val="20"/>
                <w:szCs w:val="20"/>
              </w:rPr>
              <w:t>Stressor-Response Relationships from Other Field Studies</w:t>
            </w:r>
          </w:p>
        </w:tc>
        <w:tc>
          <w:tcPr>
            <w:tcW w:w="720" w:type="dxa"/>
            <w:vAlign w:val="center"/>
          </w:tcPr>
          <w:p w14:paraId="5EBCE631" w14:textId="3DE3EA98"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-3</w:t>
            </w:r>
          </w:p>
        </w:tc>
        <w:tc>
          <w:tcPr>
            <w:tcW w:w="720" w:type="dxa"/>
            <w:vAlign w:val="center"/>
          </w:tcPr>
          <w:p w14:paraId="0FD7C257" w14:textId="6BAB9378"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-2</w:t>
            </w:r>
          </w:p>
        </w:tc>
        <w:tc>
          <w:tcPr>
            <w:tcW w:w="990" w:type="dxa"/>
            <w:vAlign w:val="center"/>
          </w:tcPr>
          <w:p w14:paraId="63474398" w14:textId="30456306"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-2</w:t>
            </w:r>
          </w:p>
        </w:tc>
        <w:tc>
          <w:tcPr>
            <w:tcW w:w="990" w:type="dxa"/>
            <w:vAlign w:val="center"/>
          </w:tcPr>
          <w:p w14:paraId="3FF8FCB4" w14:textId="70F49D8A"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-3</w:t>
            </w:r>
          </w:p>
        </w:tc>
        <w:tc>
          <w:tcPr>
            <w:tcW w:w="3600" w:type="dxa"/>
            <w:vAlign w:val="center"/>
          </w:tcPr>
          <w:p w14:paraId="4E03611A" w14:textId="734CB875" w:rsidR="001B4989" w:rsidRPr="001B4989" w:rsidRDefault="001B4989" w:rsidP="001B4989">
            <w:pPr>
              <w:jc w:val="left"/>
              <w:rPr>
                <w:rFonts w:ascii="Arial Narrow" w:hAnsi="Arial Narrow"/>
                <w:color w:val="000000"/>
                <w:sz w:val="20"/>
                <w:szCs w:val="20"/>
                <w:highlight w:val="yellow"/>
              </w:rPr>
            </w:pPr>
            <w:r w:rsidRPr="001B4989">
              <w:rPr>
                <w:rFonts w:ascii="Arial Narrow" w:hAnsi="Arial Narrow" w:cs="Calibri"/>
                <w:color w:val="000000"/>
                <w:sz w:val="20"/>
                <w:szCs w:val="20"/>
              </w:rPr>
              <w:t xml:space="preserve">Median phosphorus levels were in the low probability range for stressor effects in Wolf Creek and no probability range in Tinker Creek and Roanoke River. Tinker Creek and Roanoke River (202.20) had several excursions into the high probability range. </w:t>
            </w:r>
          </w:p>
        </w:tc>
      </w:tr>
      <w:tr w:rsidR="001B4989" w:rsidRPr="007A0C83" w14:paraId="08E5674B" w14:textId="77777777" w:rsidTr="001B4989">
        <w:trPr>
          <w:trHeight w:val="247"/>
        </w:trPr>
        <w:tc>
          <w:tcPr>
            <w:tcW w:w="2437" w:type="dxa"/>
            <w:vAlign w:val="center"/>
          </w:tcPr>
          <w:p w14:paraId="0CAE3878" w14:textId="6DBAF192" w:rsidR="001B4989" w:rsidRPr="001B4989" w:rsidRDefault="001B4989" w:rsidP="001B4989">
            <w:pPr>
              <w:jc w:val="left"/>
              <w:rPr>
                <w:rFonts w:ascii="Arial Narrow" w:hAnsi="Arial Narrow" w:cs="Calibri"/>
                <w:b/>
                <w:bCs/>
                <w:color w:val="000000"/>
                <w:sz w:val="20"/>
                <w:szCs w:val="20"/>
              </w:rPr>
            </w:pPr>
            <w:r w:rsidRPr="001B4989">
              <w:rPr>
                <w:rFonts w:ascii="Arial Narrow" w:hAnsi="Arial Narrow" w:cs="Calibri"/>
                <w:color w:val="000000"/>
                <w:sz w:val="20"/>
                <w:szCs w:val="20"/>
              </w:rPr>
              <w:t>Stressor-Response Relationships from Laboratory Studies</w:t>
            </w:r>
          </w:p>
        </w:tc>
        <w:tc>
          <w:tcPr>
            <w:tcW w:w="720" w:type="dxa"/>
            <w:vAlign w:val="center"/>
          </w:tcPr>
          <w:p w14:paraId="12B904F9" w14:textId="37D266F9"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1</w:t>
            </w:r>
          </w:p>
        </w:tc>
        <w:tc>
          <w:tcPr>
            <w:tcW w:w="720" w:type="dxa"/>
            <w:vAlign w:val="center"/>
          </w:tcPr>
          <w:p w14:paraId="5F0092D5" w14:textId="1DC53EE4"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1</w:t>
            </w:r>
          </w:p>
        </w:tc>
        <w:tc>
          <w:tcPr>
            <w:tcW w:w="990" w:type="dxa"/>
            <w:vAlign w:val="center"/>
          </w:tcPr>
          <w:p w14:paraId="340DCF12" w14:textId="330A81E7"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1</w:t>
            </w:r>
          </w:p>
        </w:tc>
        <w:tc>
          <w:tcPr>
            <w:tcW w:w="990" w:type="dxa"/>
            <w:vAlign w:val="center"/>
          </w:tcPr>
          <w:p w14:paraId="10CDA947" w14:textId="352642ED"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1</w:t>
            </w:r>
          </w:p>
        </w:tc>
        <w:tc>
          <w:tcPr>
            <w:tcW w:w="3600" w:type="dxa"/>
            <w:vAlign w:val="center"/>
          </w:tcPr>
          <w:p w14:paraId="3CE3C410" w14:textId="17E246EE" w:rsidR="001B4989" w:rsidRPr="001B4989" w:rsidRDefault="001B4989" w:rsidP="001B4989">
            <w:pPr>
              <w:jc w:val="left"/>
              <w:rPr>
                <w:rFonts w:ascii="Arial Narrow" w:hAnsi="Arial Narrow"/>
                <w:color w:val="000000"/>
                <w:sz w:val="20"/>
                <w:szCs w:val="20"/>
                <w:highlight w:val="yellow"/>
              </w:rPr>
            </w:pPr>
            <w:r w:rsidRPr="001B4989">
              <w:rPr>
                <w:rFonts w:ascii="Arial Narrow" w:hAnsi="Arial Narrow" w:cs="Calibri"/>
                <w:color w:val="000000"/>
                <w:sz w:val="20"/>
                <w:szCs w:val="20"/>
              </w:rPr>
              <w:t>Total phosphorus levels averaged 0.026 to 0.036 mg/L at impaired stations, which is above the EPA-recommended criterion for the respective Ridge and Valley ecoregion.</w:t>
            </w:r>
          </w:p>
        </w:tc>
      </w:tr>
      <w:tr w:rsidR="001B4989" w:rsidRPr="007A0C83" w14:paraId="14D8BECC" w14:textId="77777777" w:rsidTr="001B4989">
        <w:trPr>
          <w:trHeight w:val="247"/>
        </w:trPr>
        <w:tc>
          <w:tcPr>
            <w:tcW w:w="2437" w:type="dxa"/>
            <w:vAlign w:val="center"/>
          </w:tcPr>
          <w:p w14:paraId="63B854AD" w14:textId="3517E322" w:rsidR="001B4989" w:rsidRPr="001B4989" w:rsidRDefault="001B4989" w:rsidP="001B4989">
            <w:pPr>
              <w:jc w:val="left"/>
              <w:rPr>
                <w:rFonts w:ascii="Arial Narrow" w:hAnsi="Arial Narrow" w:cs="Calibri"/>
                <w:b/>
                <w:bCs/>
                <w:color w:val="000000"/>
                <w:sz w:val="20"/>
                <w:szCs w:val="20"/>
              </w:rPr>
            </w:pPr>
            <w:r w:rsidRPr="001B4989">
              <w:rPr>
                <w:rFonts w:ascii="Arial Narrow" w:hAnsi="Arial Narrow" w:cs="Calibri"/>
                <w:color w:val="000000"/>
                <w:sz w:val="20"/>
                <w:szCs w:val="20"/>
              </w:rPr>
              <w:t>Stressor-Response Relationships from Simulation Models</w:t>
            </w:r>
          </w:p>
        </w:tc>
        <w:tc>
          <w:tcPr>
            <w:tcW w:w="720" w:type="dxa"/>
            <w:vAlign w:val="center"/>
          </w:tcPr>
          <w:p w14:paraId="31956609" w14:textId="70715542"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0</w:t>
            </w:r>
          </w:p>
        </w:tc>
        <w:tc>
          <w:tcPr>
            <w:tcW w:w="720" w:type="dxa"/>
            <w:vAlign w:val="center"/>
          </w:tcPr>
          <w:p w14:paraId="4B784468" w14:textId="46E0B0E0"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0</w:t>
            </w:r>
          </w:p>
        </w:tc>
        <w:tc>
          <w:tcPr>
            <w:tcW w:w="990" w:type="dxa"/>
            <w:vAlign w:val="center"/>
          </w:tcPr>
          <w:p w14:paraId="5FE51B27" w14:textId="34EE4A6E"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2</w:t>
            </w:r>
          </w:p>
        </w:tc>
        <w:tc>
          <w:tcPr>
            <w:tcW w:w="990" w:type="dxa"/>
            <w:vAlign w:val="center"/>
          </w:tcPr>
          <w:p w14:paraId="734F8B0B" w14:textId="34AA3B9F"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2</w:t>
            </w:r>
          </w:p>
        </w:tc>
        <w:tc>
          <w:tcPr>
            <w:tcW w:w="3600" w:type="dxa"/>
            <w:vAlign w:val="center"/>
          </w:tcPr>
          <w:p w14:paraId="4D962A11" w14:textId="0C84190C" w:rsidR="001B4989" w:rsidRPr="001B4989" w:rsidRDefault="001B4989" w:rsidP="001B4989">
            <w:pPr>
              <w:jc w:val="left"/>
              <w:rPr>
                <w:rFonts w:ascii="Arial Narrow" w:hAnsi="Arial Narrow"/>
                <w:color w:val="000000"/>
                <w:sz w:val="20"/>
                <w:szCs w:val="20"/>
                <w:highlight w:val="yellow"/>
              </w:rPr>
            </w:pPr>
            <w:r w:rsidRPr="001B4989">
              <w:rPr>
                <w:rFonts w:ascii="Arial Narrow" w:hAnsi="Arial Narrow" w:cs="Calibri"/>
                <w:color w:val="000000"/>
                <w:sz w:val="20"/>
                <w:szCs w:val="20"/>
              </w:rPr>
              <w:t>Evidence from QUAL2K modeling shows excess bottom algae and phosphorus limitation in the Roanoke River (B</w:t>
            </w:r>
            <w:r w:rsidR="009779E1">
              <w:rPr>
                <w:rFonts w:ascii="Arial Narrow" w:hAnsi="Arial Narrow" w:cs="Calibri"/>
                <w:color w:val="000000"/>
                <w:sz w:val="20"/>
                <w:szCs w:val="20"/>
              </w:rPr>
              <w:t>ell</w:t>
            </w:r>
            <w:r w:rsidRPr="001B4989">
              <w:rPr>
                <w:rFonts w:ascii="Arial Narrow" w:hAnsi="Arial Narrow" w:cs="Calibri"/>
                <w:color w:val="000000"/>
                <w:sz w:val="20"/>
                <w:szCs w:val="20"/>
              </w:rPr>
              <w:t>, 2023)</w:t>
            </w:r>
          </w:p>
        </w:tc>
      </w:tr>
      <w:tr w:rsidR="001B4989" w:rsidRPr="007A0C83" w14:paraId="342C8A6F" w14:textId="77777777" w:rsidTr="001B4989">
        <w:trPr>
          <w:trHeight w:val="247"/>
        </w:trPr>
        <w:tc>
          <w:tcPr>
            <w:tcW w:w="2437" w:type="dxa"/>
            <w:vAlign w:val="center"/>
          </w:tcPr>
          <w:p w14:paraId="5A1C4BCF" w14:textId="1B4374F3" w:rsidR="001B4989" w:rsidRPr="001B4989" w:rsidRDefault="001B4989" w:rsidP="001B4989">
            <w:pPr>
              <w:jc w:val="left"/>
              <w:rPr>
                <w:rFonts w:ascii="Arial Narrow" w:hAnsi="Arial Narrow" w:cs="Calibri"/>
                <w:b/>
                <w:bCs/>
                <w:color w:val="000000"/>
                <w:sz w:val="20"/>
                <w:szCs w:val="20"/>
              </w:rPr>
            </w:pPr>
            <w:r w:rsidRPr="001B4989">
              <w:rPr>
                <w:rFonts w:ascii="Arial Narrow" w:hAnsi="Arial Narrow" w:cs="Calibri"/>
                <w:color w:val="000000"/>
                <w:sz w:val="20"/>
                <w:szCs w:val="20"/>
              </w:rPr>
              <w:t>Mechanistically Plausible Cause</w:t>
            </w:r>
          </w:p>
        </w:tc>
        <w:tc>
          <w:tcPr>
            <w:tcW w:w="720" w:type="dxa"/>
            <w:vAlign w:val="center"/>
          </w:tcPr>
          <w:p w14:paraId="0A952AC8" w14:textId="05EA56E3"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2</w:t>
            </w:r>
          </w:p>
        </w:tc>
        <w:tc>
          <w:tcPr>
            <w:tcW w:w="720" w:type="dxa"/>
            <w:vAlign w:val="center"/>
          </w:tcPr>
          <w:p w14:paraId="1796E152" w14:textId="0A13F652"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2</w:t>
            </w:r>
          </w:p>
        </w:tc>
        <w:tc>
          <w:tcPr>
            <w:tcW w:w="990" w:type="dxa"/>
            <w:vAlign w:val="center"/>
          </w:tcPr>
          <w:p w14:paraId="124ED624" w14:textId="3ADD4F94"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2</w:t>
            </w:r>
          </w:p>
        </w:tc>
        <w:tc>
          <w:tcPr>
            <w:tcW w:w="990" w:type="dxa"/>
            <w:vAlign w:val="center"/>
          </w:tcPr>
          <w:p w14:paraId="7579E443" w14:textId="5742A58C"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2</w:t>
            </w:r>
          </w:p>
        </w:tc>
        <w:tc>
          <w:tcPr>
            <w:tcW w:w="3600" w:type="dxa"/>
            <w:vAlign w:val="center"/>
          </w:tcPr>
          <w:p w14:paraId="6036DF97" w14:textId="32D5E252" w:rsidR="001B4989" w:rsidRPr="001B4989" w:rsidRDefault="001B4989" w:rsidP="001B4989">
            <w:pPr>
              <w:jc w:val="left"/>
              <w:rPr>
                <w:rFonts w:ascii="Arial Narrow" w:hAnsi="Arial Narrow"/>
                <w:color w:val="000000"/>
                <w:sz w:val="20"/>
                <w:szCs w:val="20"/>
                <w:highlight w:val="yellow"/>
              </w:rPr>
            </w:pPr>
            <w:r w:rsidRPr="001B4989">
              <w:rPr>
                <w:rFonts w:ascii="Arial Narrow" w:hAnsi="Arial Narrow" w:cs="Calibri"/>
                <w:color w:val="000000"/>
                <w:sz w:val="20"/>
                <w:szCs w:val="20"/>
              </w:rPr>
              <w:t>Nitrogen to phosphorus ratios indicate that phosphorus is the limiting nutrient in these streams.</w:t>
            </w:r>
          </w:p>
        </w:tc>
      </w:tr>
      <w:tr w:rsidR="001B4989" w:rsidRPr="007A0C83" w14:paraId="307C1562" w14:textId="77777777" w:rsidTr="001B4989">
        <w:trPr>
          <w:trHeight w:val="247"/>
        </w:trPr>
        <w:tc>
          <w:tcPr>
            <w:tcW w:w="2437" w:type="dxa"/>
            <w:vAlign w:val="center"/>
          </w:tcPr>
          <w:p w14:paraId="7B377EA9" w14:textId="34C6566B" w:rsidR="001B4989" w:rsidRPr="001B4989" w:rsidRDefault="001B4989" w:rsidP="001B4989">
            <w:pPr>
              <w:jc w:val="left"/>
              <w:rPr>
                <w:rFonts w:ascii="Arial Narrow" w:hAnsi="Arial Narrow" w:cs="Calibri"/>
                <w:b/>
                <w:bCs/>
                <w:color w:val="000000"/>
                <w:sz w:val="20"/>
                <w:szCs w:val="20"/>
              </w:rPr>
            </w:pPr>
            <w:r w:rsidRPr="001B4989">
              <w:rPr>
                <w:rFonts w:ascii="Arial Narrow" w:hAnsi="Arial Narrow" w:cs="Calibri"/>
                <w:color w:val="000000"/>
                <w:sz w:val="20"/>
                <w:szCs w:val="20"/>
              </w:rPr>
              <w:t>Consistency of Evidence</w:t>
            </w:r>
          </w:p>
        </w:tc>
        <w:tc>
          <w:tcPr>
            <w:tcW w:w="720" w:type="dxa"/>
            <w:vAlign w:val="center"/>
          </w:tcPr>
          <w:p w14:paraId="1B031481" w14:textId="45E83219"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0</w:t>
            </w:r>
          </w:p>
        </w:tc>
        <w:tc>
          <w:tcPr>
            <w:tcW w:w="720" w:type="dxa"/>
            <w:vAlign w:val="center"/>
          </w:tcPr>
          <w:p w14:paraId="60365D1F" w14:textId="0681D815"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0</w:t>
            </w:r>
          </w:p>
        </w:tc>
        <w:tc>
          <w:tcPr>
            <w:tcW w:w="990" w:type="dxa"/>
            <w:vAlign w:val="center"/>
          </w:tcPr>
          <w:p w14:paraId="209F5A50" w14:textId="681D6561"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0</w:t>
            </w:r>
          </w:p>
        </w:tc>
        <w:tc>
          <w:tcPr>
            <w:tcW w:w="990" w:type="dxa"/>
            <w:vAlign w:val="center"/>
          </w:tcPr>
          <w:p w14:paraId="1C585FB2" w14:textId="5442BEF3"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0</w:t>
            </w:r>
          </w:p>
        </w:tc>
        <w:tc>
          <w:tcPr>
            <w:tcW w:w="3600" w:type="dxa"/>
            <w:vAlign w:val="center"/>
          </w:tcPr>
          <w:p w14:paraId="055BDEB9" w14:textId="1FA465FE" w:rsidR="001B4989" w:rsidRPr="001B4989" w:rsidRDefault="001B4989" w:rsidP="001B4989">
            <w:pPr>
              <w:jc w:val="left"/>
              <w:rPr>
                <w:rFonts w:ascii="Arial Narrow" w:hAnsi="Arial Narrow"/>
                <w:color w:val="000000"/>
                <w:sz w:val="20"/>
                <w:szCs w:val="20"/>
                <w:highlight w:val="yellow"/>
              </w:rPr>
            </w:pPr>
            <w:r w:rsidRPr="001B4989">
              <w:rPr>
                <w:rFonts w:ascii="Arial Narrow" w:hAnsi="Arial Narrow" w:cs="Calibri"/>
                <w:color w:val="000000"/>
                <w:sz w:val="20"/>
                <w:szCs w:val="20"/>
              </w:rPr>
              <w:t>Evidence was inconsistent in supporting or refuting phosphorus as a stressor.</w:t>
            </w:r>
          </w:p>
        </w:tc>
      </w:tr>
      <w:tr w:rsidR="001B4989" w:rsidRPr="001B4989" w14:paraId="064D18C3" w14:textId="77777777" w:rsidTr="001B4989">
        <w:trPr>
          <w:trHeight w:val="247"/>
        </w:trPr>
        <w:tc>
          <w:tcPr>
            <w:tcW w:w="2437" w:type="dxa"/>
            <w:vAlign w:val="center"/>
          </w:tcPr>
          <w:p w14:paraId="38BD7D35" w14:textId="193EC3C2" w:rsidR="001B4989" w:rsidRPr="001B4989" w:rsidRDefault="001B4989" w:rsidP="001B4989">
            <w:pPr>
              <w:jc w:val="right"/>
              <w:rPr>
                <w:rFonts w:ascii="Arial Narrow" w:hAnsi="Arial Narrow" w:cs="Calibri"/>
                <w:b/>
                <w:bCs/>
                <w:color w:val="000000"/>
                <w:sz w:val="20"/>
                <w:szCs w:val="20"/>
              </w:rPr>
            </w:pPr>
            <w:r w:rsidRPr="001B4989">
              <w:rPr>
                <w:rFonts w:ascii="Arial Narrow" w:hAnsi="Arial Narrow" w:cs="Calibri"/>
                <w:b/>
                <w:bCs/>
                <w:color w:val="000000"/>
                <w:sz w:val="20"/>
                <w:szCs w:val="20"/>
              </w:rPr>
              <w:t>Sum</w:t>
            </w:r>
          </w:p>
        </w:tc>
        <w:tc>
          <w:tcPr>
            <w:tcW w:w="720" w:type="dxa"/>
            <w:vAlign w:val="center"/>
          </w:tcPr>
          <w:p w14:paraId="58791D3D" w14:textId="17E8A99E"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b/>
                <w:color w:val="000000"/>
                <w:sz w:val="20"/>
                <w:szCs w:val="20"/>
              </w:rPr>
              <w:t>-5</w:t>
            </w:r>
          </w:p>
        </w:tc>
        <w:tc>
          <w:tcPr>
            <w:tcW w:w="720" w:type="dxa"/>
            <w:vAlign w:val="center"/>
          </w:tcPr>
          <w:p w14:paraId="396395D6" w14:textId="53BFE3F5"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b/>
                <w:color w:val="000000"/>
                <w:sz w:val="20"/>
                <w:szCs w:val="20"/>
              </w:rPr>
              <w:t>-5</w:t>
            </w:r>
          </w:p>
        </w:tc>
        <w:tc>
          <w:tcPr>
            <w:tcW w:w="990" w:type="dxa"/>
            <w:vAlign w:val="center"/>
          </w:tcPr>
          <w:p w14:paraId="3C780311" w14:textId="03991020"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b/>
                <w:color w:val="000000"/>
                <w:sz w:val="20"/>
                <w:szCs w:val="20"/>
              </w:rPr>
              <w:t>5</w:t>
            </w:r>
          </w:p>
        </w:tc>
        <w:tc>
          <w:tcPr>
            <w:tcW w:w="990" w:type="dxa"/>
            <w:vAlign w:val="center"/>
          </w:tcPr>
          <w:p w14:paraId="631A7239" w14:textId="220C5CD1"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b/>
                <w:color w:val="000000"/>
                <w:sz w:val="20"/>
                <w:szCs w:val="20"/>
              </w:rPr>
              <w:t>5</w:t>
            </w:r>
          </w:p>
        </w:tc>
        <w:tc>
          <w:tcPr>
            <w:tcW w:w="3600" w:type="dxa"/>
            <w:vAlign w:val="center"/>
          </w:tcPr>
          <w:p w14:paraId="089CE6C0" w14:textId="77777777" w:rsidR="001B4989" w:rsidRPr="001B4989" w:rsidRDefault="001B4989" w:rsidP="001B4989">
            <w:pPr>
              <w:jc w:val="left"/>
              <w:rPr>
                <w:rFonts w:ascii="Arial Narrow" w:hAnsi="Arial Narrow"/>
                <w:b/>
                <w:color w:val="000000"/>
                <w:sz w:val="20"/>
                <w:szCs w:val="20"/>
                <w:highlight w:val="yellow"/>
              </w:rPr>
            </w:pPr>
          </w:p>
        </w:tc>
      </w:tr>
    </w:tbl>
    <w:p w14:paraId="7E982982" w14:textId="77777777" w:rsidR="008A1F50" w:rsidRPr="005F23A0" w:rsidRDefault="008A1F50" w:rsidP="005E4B50">
      <w:pPr>
        <w:pStyle w:val="BlockText"/>
        <w:spacing w:before="0" w:after="0" w:line="240" w:lineRule="auto"/>
      </w:pPr>
    </w:p>
    <w:p w14:paraId="2E7D6C1E" w14:textId="77777777" w:rsidR="008A1F50" w:rsidRPr="00BF2BF2" w:rsidRDefault="008A1F50" w:rsidP="00B32C1C">
      <w:pPr>
        <w:pStyle w:val="Heading2"/>
      </w:pPr>
      <w:bookmarkStart w:id="243" w:name="_Ref154211517"/>
      <w:bookmarkStart w:id="244" w:name="_Toc162948199"/>
      <w:r w:rsidRPr="00BF2BF2">
        <w:t>Total Nitrogen</w:t>
      </w:r>
      <w:bookmarkEnd w:id="243"/>
      <w:bookmarkEnd w:id="244"/>
    </w:p>
    <w:p w14:paraId="0BAA9484" w14:textId="62E7B04B" w:rsidR="00412941" w:rsidRDefault="008A1F50" w:rsidP="008A1F50">
      <w:pPr>
        <w:pStyle w:val="BlockText"/>
      </w:pPr>
      <w:r w:rsidRPr="00BF2BF2">
        <w:fldChar w:fldCharType="begin"/>
      </w:r>
      <w:r w:rsidRPr="00BF2BF2">
        <w:instrText xml:space="preserve"> REF _Ref50647735 \h  \* MERGEFORMAT </w:instrText>
      </w:r>
      <w:r w:rsidRPr="00BF2BF2">
        <w:fldChar w:fldCharType="separate"/>
      </w:r>
      <w:r w:rsidR="004A78BF" w:rsidRPr="00BF2BF2">
        <w:t xml:space="preserve">Table </w:t>
      </w:r>
      <w:r w:rsidR="004A78BF">
        <w:rPr>
          <w:noProof/>
        </w:rPr>
        <w:t>39</w:t>
      </w:r>
      <w:r w:rsidRPr="00BF2BF2">
        <w:fldChar w:fldCharType="end"/>
      </w:r>
      <w:r w:rsidRPr="00BF2BF2">
        <w:t xml:space="preserve"> shows the causal analysis results for total nitrogen</w:t>
      </w:r>
      <w:r w:rsidR="00BF2BF2">
        <w:t>.</w:t>
      </w:r>
      <w:r w:rsidRPr="00BF2BF2">
        <w:t xml:space="preserve"> </w:t>
      </w:r>
      <w:r w:rsidR="00BF2BF2" w:rsidRPr="0061256D">
        <w:t xml:space="preserve">Total causal analysis scores </w:t>
      </w:r>
      <w:r w:rsidR="00BF2BF2">
        <w:t xml:space="preserve">were </w:t>
      </w:r>
      <w:r w:rsidR="007B51BB">
        <w:t>-3</w:t>
      </w:r>
      <w:r w:rsidR="00BF2BF2" w:rsidRPr="0061256D">
        <w:t xml:space="preserve"> </w:t>
      </w:r>
      <w:r w:rsidR="00BF2BF2">
        <w:t xml:space="preserve">in </w:t>
      </w:r>
      <w:r w:rsidR="007B51BB">
        <w:t>Wolf Creek and Roanoke River (202.20)</w:t>
      </w:r>
      <w:r w:rsidR="00412941">
        <w:t xml:space="preserve">. While some evidence supported nitrogen as a stressor at these locations, more evidence refuted it. </w:t>
      </w:r>
      <w:r w:rsidR="007B51BB">
        <w:t xml:space="preserve">Nitrogen levels in Wolf Creek were lower than in the reference, and levels at Roanoke River (202.20) were not statistically different from the reference. </w:t>
      </w:r>
      <w:r w:rsidR="00412941">
        <w:t xml:space="preserve">Median nitrogen levels at Roanoke River (202.20) were in the low probability range for stressor effects. Scrapers, indicative of nutrient enrichment, decreased in Wolf Creek compared to the reference. Dissolved oxygen levels were relatively high and not indicative of nutrient enrichment, and phosphorus appeared to be the limiting nutrient. </w:t>
      </w:r>
      <w:r w:rsidR="00412941" w:rsidRPr="00BF2BF2">
        <w:t xml:space="preserve">For these reasons and others explained in </w:t>
      </w:r>
      <w:r w:rsidR="00412941" w:rsidRPr="00BF2BF2">
        <w:fldChar w:fldCharType="begin"/>
      </w:r>
      <w:r w:rsidR="00412941" w:rsidRPr="00BF2BF2">
        <w:instrText xml:space="preserve"> REF _Ref50647735 \h  \* MERGEFORMAT </w:instrText>
      </w:r>
      <w:r w:rsidR="00412941" w:rsidRPr="00BF2BF2">
        <w:fldChar w:fldCharType="separate"/>
      </w:r>
      <w:r w:rsidR="004A78BF" w:rsidRPr="00BF2BF2">
        <w:t xml:space="preserve">Table </w:t>
      </w:r>
      <w:r w:rsidR="004A78BF">
        <w:rPr>
          <w:noProof/>
        </w:rPr>
        <w:t>39</w:t>
      </w:r>
      <w:r w:rsidR="00412941" w:rsidRPr="00BF2BF2">
        <w:fldChar w:fldCharType="end"/>
      </w:r>
      <w:r w:rsidR="00412941" w:rsidRPr="00BF2BF2">
        <w:t xml:space="preserve">, nitrogen was categorized as a </w:t>
      </w:r>
      <w:r w:rsidR="00412941">
        <w:t xml:space="preserve">non-stressor </w:t>
      </w:r>
      <w:r w:rsidR="00412941" w:rsidRPr="00BF2BF2">
        <w:t xml:space="preserve">in </w:t>
      </w:r>
      <w:r w:rsidR="00412941">
        <w:t xml:space="preserve">Wolf Creek and Roanoke River (202.20). </w:t>
      </w:r>
    </w:p>
    <w:p w14:paraId="19E27814" w14:textId="6E06B15E" w:rsidR="007B51BB" w:rsidRDefault="007B51BB" w:rsidP="008A1F50">
      <w:pPr>
        <w:pStyle w:val="BlockText"/>
      </w:pPr>
      <w:r>
        <w:t xml:space="preserve">In Tinker Creek, the total causal analysis score was +3, indicating that there was </w:t>
      </w:r>
      <w:r w:rsidR="00412941">
        <w:t xml:space="preserve">more evidence </w:t>
      </w:r>
      <w:r>
        <w:t>supporting nitrogen as a stressor</w:t>
      </w:r>
      <w:r w:rsidR="004E62D1">
        <w:t xml:space="preserve"> at this location</w:t>
      </w:r>
      <w:r w:rsidR="00412941">
        <w:t xml:space="preserve">. </w:t>
      </w:r>
      <w:r w:rsidR="004E62D1">
        <w:t xml:space="preserve">Nitrogen levels in Tinker Creek were statistically higher than in the reference, and the median nitrogen level was in the medium probability range for stressor effects. In addition, Biological Condition Gradient </w:t>
      </w:r>
      <w:r w:rsidR="007E2E2D">
        <w:t xml:space="preserve">attribute </w:t>
      </w:r>
      <w:r w:rsidR="004E62D1">
        <w:t>analysis identified nutrients as the highest ranked stressor.</w:t>
      </w:r>
      <w:r w:rsidR="004E62D1" w:rsidRPr="004E62D1">
        <w:t xml:space="preserve"> </w:t>
      </w:r>
      <w:r w:rsidR="004E62D1" w:rsidRPr="00BF2BF2">
        <w:t xml:space="preserve">For these reasons and others explained in </w:t>
      </w:r>
      <w:r w:rsidR="004E62D1" w:rsidRPr="00BF2BF2">
        <w:fldChar w:fldCharType="begin"/>
      </w:r>
      <w:r w:rsidR="004E62D1" w:rsidRPr="00BF2BF2">
        <w:instrText xml:space="preserve"> REF _Ref50647735 \h  \* MERGEFORMAT </w:instrText>
      </w:r>
      <w:r w:rsidR="004E62D1" w:rsidRPr="00BF2BF2">
        <w:fldChar w:fldCharType="separate"/>
      </w:r>
      <w:r w:rsidR="004A78BF" w:rsidRPr="00BF2BF2">
        <w:t xml:space="preserve">Table </w:t>
      </w:r>
      <w:r w:rsidR="004A78BF">
        <w:rPr>
          <w:noProof/>
        </w:rPr>
        <w:t>39</w:t>
      </w:r>
      <w:r w:rsidR="004E62D1" w:rsidRPr="00BF2BF2">
        <w:fldChar w:fldCharType="end"/>
      </w:r>
      <w:r w:rsidR="004E62D1" w:rsidRPr="00BF2BF2">
        <w:t xml:space="preserve">, nitrogen was categorized as a possible stressor in </w:t>
      </w:r>
      <w:r w:rsidR="004E62D1">
        <w:t xml:space="preserve">Tinker Creek. </w:t>
      </w:r>
      <w:r>
        <w:t xml:space="preserve"> </w:t>
      </w:r>
    </w:p>
    <w:p w14:paraId="0A6AA04F" w14:textId="5957415B" w:rsidR="004E62D1" w:rsidRDefault="007B51BB" w:rsidP="004E62D1">
      <w:pPr>
        <w:pStyle w:val="BlockText"/>
      </w:pPr>
      <w:r>
        <w:t xml:space="preserve">In Roanoke River (198.08), the total causal analysis score was +14, indicating that there is strong evidence that nitrogen is a stressor at this location. </w:t>
      </w:r>
      <w:r w:rsidR="004E62D1">
        <w:t>The following lines of evidence supported nitrogen as a probable stressor in Roanoke River (198.08):</w:t>
      </w:r>
    </w:p>
    <w:p w14:paraId="716AA196" w14:textId="4264E36C" w:rsidR="004E62D1" w:rsidRDefault="004E62D1" w:rsidP="004E62D1">
      <w:pPr>
        <w:pStyle w:val="BlockText"/>
        <w:numPr>
          <w:ilvl w:val="0"/>
          <w:numId w:val="27"/>
        </w:numPr>
      </w:pPr>
      <w:r>
        <w:t>Nitrogen levels were statistically higher than in the reference.</w:t>
      </w:r>
    </w:p>
    <w:p w14:paraId="3794B830" w14:textId="3A541068" w:rsidR="004E62D1" w:rsidRDefault="004E62D1" w:rsidP="004E62D1">
      <w:pPr>
        <w:pStyle w:val="BlockText"/>
        <w:numPr>
          <w:ilvl w:val="0"/>
          <w:numId w:val="27"/>
        </w:numPr>
      </w:pPr>
      <w:r>
        <w:t>Nitrogen levels were correlated with benthic health in the Roanoke River.</w:t>
      </w:r>
    </w:p>
    <w:p w14:paraId="5F6AD9D5" w14:textId="70366AFE" w:rsidR="004E62D1" w:rsidRDefault="004E62D1" w:rsidP="004E62D1">
      <w:pPr>
        <w:pStyle w:val="BlockText"/>
        <w:numPr>
          <w:ilvl w:val="0"/>
          <w:numId w:val="27"/>
        </w:numPr>
      </w:pPr>
      <w:r>
        <w:t xml:space="preserve">Biological Condition Gradient </w:t>
      </w:r>
      <w:r w:rsidR="007E2E2D">
        <w:t xml:space="preserve">attribute </w:t>
      </w:r>
      <w:r>
        <w:t>analysis identified nutrients as the highest ranked stressor.</w:t>
      </w:r>
    </w:p>
    <w:p w14:paraId="2133BCC3" w14:textId="77777777" w:rsidR="004E62D1" w:rsidRDefault="004E62D1" w:rsidP="004E62D1">
      <w:pPr>
        <w:pStyle w:val="BlockText"/>
        <w:numPr>
          <w:ilvl w:val="0"/>
          <w:numId w:val="27"/>
        </w:numPr>
      </w:pPr>
      <w:r>
        <w:t>Functional feeding group analysis showed an increase in scrapers compared to the reference, indicating increased periphyton growth.</w:t>
      </w:r>
    </w:p>
    <w:p w14:paraId="58DD4C65" w14:textId="77777777" w:rsidR="004E62D1" w:rsidRDefault="004E62D1" w:rsidP="004E62D1">
      <w:pPr>
        <w:pStyle w:val="BlockText"/>
        <w:numPr>
          <w:ilvl w:val="0"/>
          <w:numId w:val="27"/>
        </w:numPr>
      </w:pPr>
      <w:r>
        <w:t>Algae sampling indicated increased algae growth at impaired Roanoke River stations.</w:t>
      </w:r>
    </w:p>
    <w:p w14:paraId="3CC8AA70" w14:textId="41E28065" w:rsidR="004E62D1" w:rsidRDefault="00D36D40" w:rsidP="004E62D1">
      <w:pPr>
        <w:pStyle w:val="BlockText"/>
        <w:numPr>
          <w:ilvl w:val="0"/>
          <w:numId w:val="27"/>
        </w:numPr>
      </w:pPr>
      <w:r>
        <w:t>Nitrogen levels were in the high probability range for stressor effects</w:t>
      </w:r>
      <w:r w:rsidR="004E62D1">
        <w:t>.</w:t>
      </w:r>
    </w:p>
    <w:p w14:paraId="00FF8241" w14:textId="3BB91B33" w:rsidR="00D36D40" w:rsidRDefault="00D36D40" w:rsidP="004E62D1">
      <w:pPr>
        <w:pStyle w:val="BlockText"/>
        <w:numPr>
          <w:ilvl w:val="0"/>
          <w:numId w:val="27"/>
        </w:numPr>
      </w:pPr>
      <w:r>
        <w:t xml:space="preserve">Nitrogen levels </w:t>
      </w:r>
      <w:r w:rsidR="004E62D1">
        <w:t xml:space="preserve">were well above the EPA recommended criterion for the ecoregion. </w:t>
      </w:r>
    </w:p>
    <w:p w14:paraId="1CA99989" w14:textId="241AEB41" w:rsidR="008A1F50" w:rsidRDefault="008A1F50" w:rsidP="00D36D40">
      <w:pPr>
        <w:pStyle w:val="BlockText"/>
      </w:pPr>
      <w:r w:rsidRPr="00BF2BF2">
        <w:t xml:space="preserve">For these reasons and others explained in </w:t>
      </w:r>
      <w:r w:rsidRPr="00BF2BF2">
        <w:fldChar w:fldCharType="begin"/>
      </w:r>
      <w:r w:rsidRPr="00BF2BF2">
        <w:instrText xml:space="preserve"> REF _Ref50647735 \h  \* MERGEFORMAT </w:instrText>
      </w:r>
      <w:r w:rsidRPr="00BF2BF2">
        <w:fldChar w:fldCharType="separate"/>
      </w:r>
      <w:r w:rsidR="004A78BF" w:rsidRPr="00BF2BF2">
        <w:t xml:space="preserve">Table </w:t>
      </w:r>
      <w:r w:rsidR="004A78BF">
        <w:rPr>
          <w:noProof/>
        </w:rPr>
        <w:t>39</w:t>
      </w:r>
      <w:r w:rsidRPr="00BF2BF2">
        <w:fldChar w:fldCharType="end"/>
      </w:r>
      <w:r w:rsidRPr="00BF2BF2">
        <w:t xml:space="preserve">, nitrogen was categorized as a </w:t>
      </w:r>
      <w:r w:rsidR="004E62D1">
        <w:t xml:space="preserve">probable </w:t>
      </w:r>
      <w:r w:rsidRPr="00BF2BF2">
        <w:t xml:space="preserve">stressor in </w:t>
      </w:r>
      <w:r w:rsidR="004E62D1">
        <w:t>Roanoke River (198.08)</w:t>
      </w:r>
      <w:r w:rsidR="00042E4B">
        <w:t xml:space="preserve">. </w:t>
      </w:r>
    </w:p>
    <w:p w14:paraId="2FE80931" w14:textId="77777777" w:rsidR="0047736D" w:rsidRPr="00BF2BF2" w:rsidRDefault="0047736D" w:rsidP="005E4B50">
      <w:pPr>
        <w:pStyle w:val="BlockText"/>
        <w:spacing w:before="0" w:after="0" w:line="240" w:lineRule="auto"/>
      </w:pPr>
    </w:p>
    <w:p w14:paraId="3173E00E" w14:textId="4B808409" w:rsidR="008A1F50" w:rsidRPr="00BF2BF2" w:rsidRDefault="008A1F50" w:rsidP="008A1F50">
      <w:pPr>
        <w:pStyle w:val="Caption"/>
      </w:pPr>
      <w:bookmarkStart w:id="245" w:name="_Ref50647735"/>
      <w:bookmarkStart w:id="246" w:name="_Toc162948306"/>
      <w:r w:rsidRPr="00BF2BF2">
        <w:t xml:space="preserve">Table </w:t>
      </w:r>
      <w:r w:rsidRPr="00BF2BF2">
        <w:rPr>
          <w:noProof/>
        </w:rPr>
        <w:fldChar w:fldCharType="begin"/>
      </w:r>
      <w:r w:rsidRPr="00BF2BF2">
        <w:rPr>
          <w:noProof/>
        </w:rPr>
        <w:instrText xml:space="preserve"> SEQ Table \* ARABIC </w:instrText>
      </w:r>
      <w:r w:rsidRPr="00BF2BF2">
        <w:rPr>
          <w:noProof/>
        </w:rPr>
        <w:fldChar w:fldCharType="separate"/>
      </w:r>
      <w:r w:rsidR="004A78BF">
        <w:rPr>
          <w:noProof/>
        </w:rPr>
        <w:t>39</w:t>
      </w:r>
      <w:r w:rsidRPr="00BF2BF2">
        <w:rPr>
          <w:noProof/>
        </w:rPr>
        <w:fldChar w:fldCharType="end"/>
      </w:r>
      <w:bookmarkEnd w:id="245"/>
      <w:r w:rsidRPr="00BF2BF2">
        <w:t>. Causal analysis results for total nitrogen.</w:t>
      </w:r>
      <w:bookmarkEnd w:id="246"/>
    </w:p>
    <w:tbl>
      <w:tblPr>
        <w:tblW w:w="9457"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7"/>
        <w:gridCol w:w="720"/>
        <w:gridCol w:w="720"/>
        <w:gridCol w:w="990"/>
        <w:gridCol w:w="990"/>
        <w:gridCol w:w="3600"/>
      </w:tblGrid>
      <w:tr w:rsidR="00250E0C" w:rsidRPr="007A0C83" w14:paraId="7AB8B90D" w14:textId="77777777" w:rsidTr="001B4989">
        <w:trPr>
          <w:cantSplit/>
          <w:trHeight w:val="1080"/>
        </w:trPr>
        <w:tc>
          <w:tcPr>
            <w:tcW w:w="2437" w:type="dxa"/>
            <w:shd w:val="clear" w:color="auto" w:fill="D9D9D9" w:themeFill="background1" w:themeFillShade="D9"/>
            <w:vAlign w:val="center"/>
          </w:tcPr>
          <w:p w14:paraId="53E2FF2E" w14:textId="77777777" w:rsidR="00250E0C" w:rsidRPr="00396EC1" w:rsidRDefault="00250E0C" w:rsidP="001B4989">
            <w:pPr>
              <w:jc w:val="center"/>
              <w:rPr>
                <w:rFonts w:ascii="Arial Narrow" w:hAnsi="Arial Narrow"/>
                <w:b/>
                <w:sz w:val="20"/>
                <w:szCs w:val="20"/>
              </w:rPr>
            </w:pPr>
            <w:r w:rsidRPr="00396EC1">
              <w:rPr>
                <w:rFonts w:ascii="Arial Narrow" w:hAnsi="Arial Narrow"/>
                <w:b/>
                <w:sz w:val="20"/>
                <w:szCs w:val="20"/>
              </w:rPr>
              <w:t>Evidence</w:t>
            </w:r>
          </w:p>
        </w:tc>
        <w:tc>
          <w:tcPr>
            <w:tcW w:w="720" w:type="dxa"/>
            <w:shd w:val="clear" w:color="auto" w:fill="D9D9D9" w:themeFill="background1" w:themeFillShade="D9"/>
            <w:vAlign w:val="center"/>
          </w:tcPr>
          <w:p w14:paraId="4664678B" w14:textId="77777777" w:rsidR="00250E0C" w:rsidRPr="00396EC1" w:rsidRDefault="00250E0C" w:rsidP="001B4989">
            <w:pPr>
              <w:jc w:val="center"/>
              <w:rPr>
                <w:rFonts w:ascii="Arial Narrow" w:hAnsi="Arial Narrow"/>
                <w:b/>
                <w:sz w:val="20"/>
                <w:szCs w:val="20"/>
              </w:rPr>
            </w:pPr>
            <w:r>
              <w:rPr>
                <w:rFonts w:ascii="Arial Narrow" w:hAnsi="Arial Narrow"/>
                <w:b/>
                <w:sz w:val="20"/>
                <w:szCs w:val="20"/>
              </w:rPr>
              <w:t>Wolf Creek</w:t>
            </w:r>
          </w:p>
        </w:tc>
        <w:tc>
          <w:tcPr>
            <w:tcW w:w="720" w:type="dxa"/>
            <w:shd w:val="clear" w:color="auto" w:fill="D9D9D9" w:themeFill="background1" w:themeFillShade="D9"/>
            <w:vAlign w:val="center"/>
          </w:tcPr>
          <w:p w14:paraId="14E5258D" w14:textId="77777777" w:rsidR="00250E0C" w:rsidRPr="00396EC1" w:rsidRDefault="00250E0C" w:rsidP="001B4989">
            <w:pPr>
              <w:jc w:val="center"/>
              <w:rPr>
                <w:rFonts w:ascii="Arial Narrow" w:hAnsi="Arial Narrow"/>
                <w:b/>
                <w:sz w:val="20"/>
                <w:szCs w:val="20"/>
              </w:rPr>
            </w:pPr>
            <w:r>
              <w:rPr>
                <w:rFonts w:ascii="Arial Narrow" w:hAnsi="Arial Narrow"/>
                <w:b/>
                <w:sz w:val="20"/>
                <w:szCs w:val="20"/>
              </w:rPr>
              <w:t>Tinker Creek</w:t>
            </w:r>
          </w:p>
        </w:tc>
        <w:tc>
          <w:tcPr>
            <w:tcW w:w="990" w:type="dxa"/>
            <w:shd w:val="clear" w:color="auto" w:fill="D9D9D9" w:themeFill="background1" w:themeFillShade="D9"/>
            <w:vAlign w:val="center"/>
          </w:tcPr>
          <w:p w14:paraId="35DE54D6" w14:textId="77777777" w:rsidR="00250E0C" w:rsidRPr="00396EC1" w:rsidRDefault="00250E0C" w:rsidP="001B4989">
            <w:pPr>
              <w:jc w:val="center"/>
              <w:rPr>
                <w:rFonts w:ascii="Arial Narrow" w:hAnsi="Arial Narrow"/>
                <w:b/>
                <w:sz w:val="20"/>
                <w:szCs w:val="20"/>
              </w:rPr>
            </w:pPr>
            <w:r>
              <w:rPr>
                <w:rFonts w:ascii="Arial Narrow" w:hAnsi="Arial Narrow"/>
                <w:b/>
                <w:sz w:val="20"/>
                <w:szCs w:val="20"/>
              </w:rPr>
              <w:t>Roanoke River (202.20)</w:t>
            </w:r>
          </w:p>
        </w:tc>
        <w:tc>
          <w:tcPr>
            <w:tcW w:w="990" w:type="dxa"/>
            <w:shd w:val="clear" w:color="auto" w:fill="D9D9D9" w:themeFill="background1" w:themeFillShade="D9"/>
            <w:vAlign w:val="center"/>
          </w:tcPr>
          <w:p w14:paraId="2D695B94" w14:textId="77777777" w:rsidR="00250E0C" w:rsidRPr="00396EC1" w:rsidRDefault="00250E0C" w:rsidP="001B4989">
            <w:pPr>
              <w:jc w:val="center"/>
              <w:rPr>
                <w:rFonts w:ascii="Arial Narrow" w:hAnsi="Arial Narrow"/>
                <w:b/>
                <w:sz w:val="20"/>
                <w:szCs w:val="20"/>
              </w:rPr>
            </w:pPr>
            <w:r>
              <w:rPr>
                <w:rFonts w:ascii="Arial Narrow" w:hAnsi="Arial Narrow"/>
                <w:b/>
                <w:sz w:val="20"/>
                <w:szCs w:val="20"/>
              </w:rPr>
              <w:t>Roanoke River (198.08)</w:t>
            </w:r>
          </w:p>
        </w:tc>
        <w:tc>
          <w:tcPr>
            <w:tcW w:w="3600" w:type="dxa"/>
            <w:shd w:val="clear" w:color="auto" w:fill="D9D9D9" w:themeFill="background1" w:themeFillShade="D9"/>
            <w:vAlign w:val="center"/>
          </w:tcPr>
          <w:p w14:paraId="3DEAFB55" w14:textId="77777777" w:rsidR="00250E0C" w:rsidRPr="00613B31" w:rsidRDefault="00250E0C" w:rsidP="001B4989">
            <w:pPr>
              <w:jc w:val="center"/>
              <w:rPr>
                <w:rFonts w:ascii="Arial Narrow" w:hAnsi="Arial Narrow"/>
                <w:b/>
                <w:sz w:val="20"/>
                <w:szCs w:val="20"/>
              </w:rPr>
            </w:pPr>
            <w:r w:rsidRPr="00396EC1">
              <w:rPr>
                <w:rFonts w:ascii="Arial Narrow" w:hAnsi="Arial Narrow"/>
                <w:b/>
                <w:sz w:val="20"/>
                <w:szCs w:val="20"/>
              </w:rPr>
              <w:t>Explanation</w:t>
            </w:r>
          </w:p>
        </w:tc>
      </w:tr>
      <w:tr w:rsidR="001B4989" w:rsidRPr="007A0C83" w14:paraId="6D6FB271" w14:textId="77777777" w:rsidTr="001B4989">
        <w:trPr>
          <w:trHeight w:val="247"/>
        </w:trPr>
        <w:tc>
          <w:tcPr>
            <w:tcW w:w="2437" w:type="dxa"/>
            <w:vAlign w:val="center"/>
          </w:tcPr>
          <w:p w14:paraId="1BA02B60" w14:textId="5AA523D8" w:rsidR="001B4989" w:rsidRPr="001B4989" w:rsidRDefault="001B4989" w:rsidP="001B4989">
            <w:pPr>
              <w:jc w:val="left"/>
              <w:rPr>
                <w:rFonts w:ascii="Arial Narrow" w:hAnsi="Arial Narrow"/>
                <w:sz w:val="20"/>
                <w:szCs w:val="20"/>
                <w:highlight w:val="yellow"/>
              </w:rPr>
            </w:pPr>
            <w:r w:rsidRPr="001B4989">
              <w:rPr>
                <w:rFonts w:ascii="Arial Narrow" w:hAnsi="Arial Narrow" w:cs="Calibri"/>
                <w:color w:val="000000"/>
                <w:sz w:val="20"/>
                <w:szCs w:val="20"/>
              </w:rPr>
              <w:t>Spatial Co-occurrence</w:t>
            </w:r>
          </w:p>
        </w:tc>
        <w:tc>
          <w:tcPr>
            <w:tcW w:w="720" w:type="dxa"/>
            <w:vAlign w:val="center"/>
          </w:tcPr>
          <w:p w14:paraId="6AACBAE5" w14:textId="64585B3D" w:rsidR="001B4989" w:rsidRPr="001B4989" w:rsidRDefault="001B4989" w:rsidP="001B4989">
            <w:pPr>
              <w:jc w:val="center"/>
              <w:rPr>
                <w:rFonts w:ascii="Arial Narrow" w:hAnsi="Arial Narrow" w:cs="Calibri"/>
                <w:color w:val="000000"/>
                <w:sz w:val="20"/>
                <w:szCs w:val="20"/>
              </w:rPr>
            </w:pPr>
            <w:r w:rsidRPr="001B4989">
              <w:rPr>
                <w:rFonts w:ascii="Arial Narrow" w:hAnsi="Arial Narrow" w:cs="Calibri"/>
                <w:color w:val="000000"/>
                <w:sz w:val="20"/>
                <w:szCs w:val="20"/>
              </w:rPr>
              <w:t>-3</w:t>
            </w:r>
          </w:p>
        </w:tc>
        <w:tc>
          <w:tcPr>
            <w:tcW w:w="720" w:type="dxa"/>
            <w:vAlign w:val="center"/>
          </w:tcPr>
          <w:p w14:paraId="7F8AC5CB" w14:textId="245CF059" w:rsidR="001B4989" w:rsidRPr="001B4989" w:rsidRDefault="001B4989" w:rsidP="001B4989">
            <w:pPr>
              <w:jc w:val="center"/>
              <w:rPr>
                <w:rFonts w:ascii="Arial Narrow" w:hAnsi="Arial Narrow" w:cs="Calibri"/>
                <w:color w:val="000000"/>
                <w:sz w:val="20"/>
                <w:szCs w:val="20"/>
              </w:rPr>
            </w:pPr>
            <w:r w:rsidRPr="001B4989">
              <w:rPr>
                <w:rFonts w:ascii="Arial Narrow" w:hAnsi="Arial Narrow" w:cs="Calibri"/>
                <w:color w:val="000000"/>
                <w:sz w:val="20"/>
                <w:szCs w:val="20"/>
              </w:rPr>
              <w:t>2</w:t>
            </w:r>
          </w:p>
        </w:tc>
        <w:tc>
          <w:tcPr>
            <w:tcW w:w="990" w:type="dxa"/>
            <w:vAlign w:val="center"/>
          </w:tcPr>
          <w:p w14:paraId="09D2FE73" w14:textId="0E3BC80D" w:rsidR="001B4989" w:rsidRPr="001B4989" w:rsidRDefault="001B4989" w:rsidP="001B4989">
            <w:pPr>
              <w:jc w:val="center"/>
              <w:rPr>
                <w:rFonts w:ascii="Arial Narrow" w:hAnsi="Arial Narrow" w:cs="Calibri"/>
                <w:color w:val="000000"/>
                <w:sz w:val="20"/>
                <w:szCs w:val="20"/>
              </w:rPr>
            </w:pPr>
            <w:r w:rsidRPr="001B4989">
              <w:rPr>
                <w:rFonts w:ascii="Arial Narrow" w:hAnsi="Arial Narrow" w:cs="Calibri"/>
                <w:color w:val="000000"/>
                <w:sz w:val="20"/>
                <w:szCs w:val="20"/>
              </w:rPr>
              <w:t>-2</w:t>
            </w:r>
          </w:p>
        </w:tc>
        <w:tc>
          <w:tcPr>
            <w:tcW w:w="990" w:type="dxa"/>
            <w:vAlign w:val="center"/>
          </w:tcPr>
          <w:p w14:paraId="7E78456F" w14:textId="24F8DCD0" w:rsidR="001B4989" w:rsidRPr="001B4989" w:rsidRDefault="001B4989" w:rsidP="001B4989">
            <w:pPr>
              <w:jc w:val="center"/>
              <w:rPr>
                <w:rFonts w:ascii="Arial Narrow" w:hAnsi="Arial Narrow"/>
                <w:color w:val="000000"/>
                <w:sz w:val="20"/>
                <w:szCs w:val="20"/>
                <w:highlight w:val="yellow"/>
              </w:rPr>
            </w:pPr>
            <w:r w:rsidRPr="001B4989">
              <w:rPr>
                <w:rFonts w:ascii="Arial Narrow" w:hAnsi="Arial Narrow" w:cs="Calibri"/>
                <w:color w:val="000000"/>
                <w:sz w:val="20"/>
                <w:szCs w:val="20"/>
              </w:rPr>
              <w:t>3</w:t>
            </w:r>
          </w:p>
        </w:tc>
        <w:tc>
          <w:tcPr>
            <w:tcW w:w="3600" w:type="dxa"/>
            <w:vAlign w:val="center"/>
          </w:tcPr>
          <w:p w14:paraId="670CB459" w14:textId="6416E2B9" w:rsidR="001B4989" w:rsidRPr="001B4989" w:rsidRDefault="001B4989" w:rsidP="001B4989">
            <w:pPr>
              <w:jc w:val="left"/>
              <w:rPr>
                <w:rFonts w:ascii="Arial Narrow" w:hAnsi="Arial Narrow"/>
                <w:color w:val="000000"/>
                <w:sz w:val="20"/>
                <w:szCs w:val="20"/>
                <w:highlight w:val="yellow"/>
              </w:rPr>
            </w:pPr>
            <w:r w:rsidRPr="001B4989">
              <w:rPr>
                <w:rFonts w:ascii="Arial Narrow" w:hAnsi="Arial Narrow" w:cs="Calibri"/>
                <w:color w:val="000000"/>
                <w:sz w:val="20"/>
                <w:szCs w:val="20"/>
              </w:rPr>
              <w:t xml:space="preserve">Tinker Creek and Roanoke River (198.08) had statistically higher nitrogen levels than the applicable reference. Wolf Creek was lower in nitrogen than the stream reference, and Roanoke River (202.20) was not statistically different from the reference. </w:t>
            </w:r>
          </w:p>
        </w:tc>
      </w:tr>
      <w:tr w:rsidR="001B4989" w:rsidRPr="007A0C83" w14:paraId="70FE0B00" w14:textId="77777777" w:rsidTr="001B4989">
        <w:trPr>
          <w:trHeight w:val="247"/>
        </w:trPr>
        <w:tc>
          <w:tcPr>
            <w:tcW w:w="2437" w:type="dxa"/>
            <w:vAlign w:val="center"/>
          </w:tcPr>
          <w:p w14:paraId="711D7968" w14:textId="1B85C7F6" w:rsidR="001B4989" w:rsidRPr="001B4989" w:rsidRDefault="001B4989" w:rsidP="001B4989">
            <w:pPr>
              <w:jc w:val="left"/>
              <w:rPr>
                <w:rFonts w:ascii="Arial Narrow" w:hAnsi="Arial Narrow"/>
                <w:sz w:val="20"/>
                <w:szCs w:val="20"/>
                <w:highlight w:val="yellow"/>
              </w:rPr>
            </w:pPr>
            <w:r w:rsidRPr="001B4989">
              <w:rPr>
                <w:rFonts w:ascii="Arial Narrow" w:hAnsi="Arial Narrow" w:cs="Calibri"/>
                <w:color w:val="000000"/>
                <w:sz w:val="20"/>
                <w:szCs w:val="20"/>
              </w:rPr>
              <w:t>Temporal Co-occurrence</w:t>
            </w:r>
          </w:p>
        </w:tc>
        <w:tc>
          <w:tcPr>
            <w:tcW w:w="720" w:type="dxa"/>
            <w:vAlign w:val="center"/>
          </w:tcPr>
          <w:p w14:paraId="12C77B67" w14:textId="2FDC06A5" w:rsidR="001B4989" w:rsidRPr="001B4989" w:rsidRDefault="001B4989" w:rsidP="001B4989">
            <w:pPr>
              <w:jc w:val="center"/>
              <w:rPr>
                <w:rFonts w:ascii="Arial Narrow" w:hAnsi="Arial Narrow" w:cs="Calibri"/>
                <w:color w:val="000000"/>
                <w:sz w:val="20"/>
                <w:szCs w:val="20"/>
              </w:rPr>
            </w:pPr>
            <w:r w:rsidRPr="001B4989">
              <w:rPr>
                <w:rFonts w:ascii="Arial Narrow" w:hAnsi="Arial Narrow" w:cs="Calibri"/>
                <w:sz w:val="20"/>
                <w:szCs w:val="20"/>
              </w:rPr>
              <w:t>-1</w:t>
            </w:r>
          </w:p>
        </w:tc>
        <w:tc>
          <w:tcPr>
            <w:tcW w:w="720" w:type="dxa"/>
            <w:vAlign w:val="center"/>
          </w:tcPr>
          <w:p w14:paraId="09D5D232" w14:textId="05541B10" w:rsidR="001B4989" w:rsidRPr="001B4989" w:rsidRDefault="001B4989" w:rsidP="001B4989">
            <w:pPr>
              <w:jc w:val="center"/>
              <w:rPr>
                <w:rFonts w:ascii="Arial Narrow" w:hAnsi="Arial Narrow" w:cs="Calibri"/>
                <w:color w:val="000000"/>
                <w:sz w:val="20"/>
                <w:szCs w:val="20"/>
              </w:rPr>
            </w:pPr>
            <w:r w:rsidRPr="001B4989">
              <w:rPr>
                <w:rFonts w:ascii="Arial Narrow" w:hAnsi="Arial Narrow" w:cs="Calibri"/>
                <w:sz w:val="20"/>
                <w:szCs w:val="20"/>
              </w:rPr>
              <w:t>1</w:t>
            </w:r>
          </w:p>
        </w:tc>
        <w:tc>
          <w:tcPr>
            <w:tcW w:w="990" w:type="dxa"/>
            <w:vAlign w:val="center"/>
          </w:tcPr>
          <w:p w14:paraId="6AED8F58" w14:textId="1902F367" w:rsidR="001B4989" w:rsidRPr="001B4989" w:rsidRDefault="001B4989" w:rsidP="001B4989">
            <w:pPr>
              <w:jc w:val="center"/>
              <w:rPr>
                <w:rFonts w:ascii="Arial Narrow" w:hAnsi="Arial Narrow" w:cs="Calibri"/>
                <w:color w:val="000000"/>
                <w:sz w:val="20"/>
                <w:szCs w:val="20"/>
              </w:rPr>
            </w:pPr>
            <w:r w:rsidRPr="001B4989">
              <w:rPr>
                <w:rFonts w:ascii="Arial Narrow" w:hAnsi="Arial Narrow" w:cs="Calibri"/>
                <w:sz w:val="20"/>
                <w:szCs w:val="20"/>
              </w:rPr>
              <w:t>-2</w:t>
            </w:r>
          </w:p>
        </w:tc>
        <w:tc>
          <w:tcPr>
            <w:tcW w:w="990" w:type="dxa"/>
            <w:vAlign w:val="center"/>
          </w:tcPr>
          <w:p w14:paraId="36A1123D" w14:textId="4130B096" w:rsidR="001B4989" w:rsidRPr="001B4989" w:rsidRDefault="001B4989" w:rsidP="001B4989">
            <w:pPr>
              <w:jc w:val="center"/>
              <w:rPr>
                <w:rFonts w:ascii="Arial Narrow" w:hAnsi="Arial Narrow"/>
                <w:color w:val="000000"/>
                <w:sz w:val="20"/>
                <w:szCs w:val="20"/>
                <w:highlight w:val="yellow"/>
              </w:rPr>
            </w:pPr>
            <w:r w:rsidRPr="001B4989">
              <w:rPr>
                <w:rFonts w:ascii="Arial Narrow" w:hAnsi="Arial Narrow" w:cs="Calibri"/>
                <w:sz w:val="20"/>
                <w:szCs w:val="20"/>
              </w:rPr>
              <w:t>3</w:t>
            </w:r>
          </w:p>
        </w:tc>
        <w:tc>
          <w:tcPr>
            <w:tcW w:w="3600" w:type="dxa"/>
            <w:vAlign w:val="center"/>
          </w:tcPr>
          <w:p w14:paraId="5C457DF5" w14:textId="36E8D449" w:rsidR="001B4989" w:rsidRPr="001B4989" w:rsidRDefault="001B4989" w:rsidP="001B4989">
            <w:pPr>
              <w:jc w:val="left"/>
              <w:rPr>
                <w:rFonts w:ascii="Arial Narrow" w:hAnsi="Arial Narrow"/>
                <w:color w:val="000000"/>
                <w:sz w:val="20"/>
                <w:szCs w:val="20"/>
                <w:highlight w:val="yellow"/>
              </w:rPr>
            </w:pPr>
            <w:r w:rsidRPr="001B4989">
              <w:rPr>
                <w:rFonts w:ascii="Arial Narrow" w:hAnsi="Arial Narrow" w:cs="Calibri"/>
                <w:sz w:val="20"/>
                <w:szCs w:val="20"/>
              </w:rPr>
              <w:t>At or near the time of benthic sample collection, total nitrogen levels were in the high probability range for stressor effects on six occasions in the Ro</w:t>
            </w:r>
            <w:r w:rsidR="002D3DE9">
              <w:rPr>
                <w:rFonts w:ascii="Arial Narrow" w:hAnsi="Arial Narrow" w:cs="Calibri"/>
                <w:sz w:val="20"/>
                <w:szCs w:val="20"/>
              </w:rPr>
              <w:t>a</w:t>
            </w:r>
            <w:r w:rsidRPr="001B4989">
              <w:rPr>
                <w:rFonts w:ascii="Arial Narrow" w:hAnsi="Arial Narrow" w:cs="Calibri"/>
                <w:sz w:val="20"/>
                <w:szCs w:val="20"/>
              </w:rPr>
              <w:t xml:space="preserve">noke River (198.08). Values at the time of benthic sampling were in the medium probability range in Tinker Creek, low to medium probability range in Wolf Creek, and low range in Roanoke River (202.20). </w:t>
            </w:r>
          </w:p>
        </w:tc>
      </w:tr>
      <w:tr w:rsidR="001B4989" w:rsidRPr="007A0C83" w14:paraId="5E91B050" w14:textId="77777777" w:rsidTr="001B4989">
        <w:trPr>
          <w:trHeight w:val="247"/>
        </w:trPr>
        <w:tc>
          <w:tcPr>
            <w:tcW w:w="2437" w:type="dxa"/>
            <w:vAlign w:val="center"/>
          </w:tcPr>
          <w:p w14:paraId="5CF8E786" w14:textId="7A4F352A" w:rsidR="001B4989" w:rsidRPr="001B4989" w:rsidRDefault="001B4989" w:rsidP="001B4989">
            <w:pPr>
              <w:jc w:val="left"/>
              <w:rPr>
                <w:rFonts w:ascii="Arial Narrow" w:hAnsi="Arial Narrow"/>
                <w:sz w:val="20"/>
                <w:szCs w:val="20"/>
                <w:highlight w:val="yellow"/>
              </w:rPr>
            </w:pPr>
            <w:r w:rsidRPr="001B4989">
              <w:rPr>
                <w:rFonts w:ascii="Arial Narrow" w:hAnsi="Arial Narrow" w:cs="Calibri"/>
                <w:color w:val="000000"/>
                <w:sz w:val="20"/>
                <w:szCs w:val="20"/>
              </w:rPr>
              <w:t>Causal Pathway</w:t>
            </w:r>
          </w:p>
        </w:tc>
        <w:tc>
          <w:tcPr>
            <w:tcW w:w="720" w:type="dxa"/>
            <w:vAlign w:val="center"/>
          </w:tcPr>
          <w:p w14:paraId="53D6E881" w14:textId="5B6C29F6" w:rsidR="001B4989" w:rsidRPr="001B4989" w:rsidRDefault="001B4989" w:rsidP="001B4989">
            <w:pPr>
              <w:jc w:val="center"/>
              <w:rPr>
                <w:rFonts w:ascii="Arial Narrow" w:hAnsi="Arial Narrow" w:cs="Calibri"/>
                <w:color w:val="000000"/>
                <w:sz w:val="20"/>
                <w:szCs w:val="20"/>
              </w:rPr>
            </w:pPr>
            <w:r w:rsidRPr="001B4989">
              <w:rPr>
                <w:rFonts w:ascii="Arial Narrow" w:hAnsi="Arial Narrow" w:cs="Calibri"/>
                <w:sz w:val="20"/>
                <w:szCs w:val="20"/>
              </w:rPr>
              <w:t>0</w:t>
            </w:r>
          </w:p>
        </w:tc>
        <w:tc>
          <w:tcPr>
            <w:tcW w:w="720" w:type="dxa"/>
            <w:vAlign w:val="center"/>
          </w:tcPr>
          <w:p w14:paraId="76A27B1F" w14:textId="1A36E41F" w:rsidR="001B4989" w:rsidRPr="001B4989" w:rsidRDefault="001B4989" w:rsidP="001B4989">
            <w:pPr>
              <w:jc w:val="center"/>
              <w:rPr>
                <w:rFonts w:ascii="Arial Narrow" w:hAnsi="Arial Narrow" w:cs="Calibri"/>
                <w:color w:val="000000"/>
                <w:sz w:val="20"/>
                <w:szCs w:val="20"/>
              </w:rPr>
            </w:pPr>
            <w:r w:rsidRPr="001B4989">
              <w:rPr>
                <w:rFonts w:ascii="Arial Narrow" w:hAnsi="Arial Narrow" w:cs="Calibri"/>
                <w:sz w:val="20"/>
                <w:szCs w:val="20"/>
              </w:rPr>
              <w:t>-2</w:t>
            </w:r>
          </w:p>
        </w:tc>
        <w:tc>
          <w:tcPr>
            <w:tcW w:w="990" w:type="dxa"/>
            <w:vAlign w:val="center"/>
          </w:tcPr>
          <w:p w14:paraId="525A416E" w14:textId="3D6E63C0" w:rsidR="001B4989" w:rsidRPr="001B4989" w:rsidRDefault="001B4989" w:rsidP="001B4989">
            <w:pPr>
              <w:jc w:val="center"/>
              <w:rPr>
                <w:rFonts w:ascii="Arial Narrow" w:hAnsi="Arial Narrow" w:cs="Calibri"/>
                <w:color w:val="000000"/>
                <w:sz w:val="20"/>
                <w:szCs w:val="20"/>
              </w:rPr>
            </w:pPr>
            <w:r w:rsidRPr="001B4989">
              <w:rPr>
                <w:rFonts w:ascii="Arial Narrow" w:hAnsi="Arial Narrow" w:cs="Calibri"/>
                <w:sz w:val="20"/>
                <w:szCs w:val="20"/>
              </w:rPr>
              <w:t>-2</w:t>
            </w:r>
          </w:p>
        </w:tc>
        <w:tc>
          <w:tcPr>
            <w:tcW w:w="990" w:type="dxa"/>
            <w:vAlign w:val="center"/>
          </w:tcPr>
          <w:p w14:paraId="6B8D0BD3" w14:textId="400C001A" w:rsidR="001B4989" w:rsidRPr="001B4989" w:rsidRDefault="001B4989" w:rsidP="001B4989">
            <w:pPr>
              <w:jc w:val="center"/>
              <w:rPr>
                <w:rFonts w:ascii="Arial Narrow" w:hAnsi="Arial Narrow"/>
                <w:color w:val="000000"/>
                <w:sz w:val="20"/>
                <w:szCs w:val="20"/>
                <w:highlight w:val="yellow"/>
              </w:rPr>
            </w:pPr>
            <w:r w:rsidRPr="001B4989">
              <w:rPr>
                <w:rFonts w:ascii="Arial Narrow" w:hAnsi="Arial Narrow" w:cs="Calibri"/>
                <w:sz w:val="20"/>
                <w:szCs w:val="20"/>
              </w:rPr>
              <w:t>-2</w:t>
            </w:r>
          </w:p>
        </w:tc>
        <w:tc>
          <w:tcPr>
            <w:tcW w:w="3600" w:type="dxa"/>
            <w:vAlign w:val="center"/>
          </w:tcPr>
          <w:p w14:paraId="1D0B88F4" w14:textId="13EFEE4E" w:rsidR="001B4989" w:rsidRPr="001B4989" w:rsidRDefault="001B4989" w:rsidP="001B4989">
            <w:pPr>
              <w:jc w:val="left"/>
              <w:rPr>
                <w:rFonts w:ascii="Arial Narrow" w:hAnsi="Arial Narrow"/>
                <w:color w:val="000000"/>
                <w:sz w:val="20"/>
                <w:szCs w:val="20"/>
                <w:highlight w:val="yellow"/>
              </w:rPr>
            </w:pPr>
            <w:r w:rsidRPr="001B4989">
              <w:rPr>
                <w:rFonts w:ascii="Arial Narrow" w:hAnsi="Arial Narrow" w:cs="Calibri"/>
                <w:color w:val="000000"/>
                <w:sz w:val="20"/>
                <w:szCs w:val="20"/>
              </w:rPr>
              <w:t xml:space="preserve">Diurnal DO measurements in Tinker Creek and Roanoke River did not show strong fluctuations from daytime to nighttime indicating that the causal pathway from nutrient enrichment to low DO is weak or not intact. No diurnal DO data was collected in Wolf Creek. </w:t>
            </w:r>
          </w:p>
        </w:tc>
      </w:tr>
      <w:tr w:rsidR="001B4989" w:rsidRPr="007A0C83" w14:paraId="46B4CB73" w14:textId="77777777" w:rsidTr="001B4989">
        <w:trPr>
          <w:trHeight w:val="247"/>
        </w:trPr>
        <w:tc>
          <w:tcPr>
            <w:tcW w:w="2437" w:type="dxa"/>
            <w:vAlign w:val="center"/>
          </w:tcPr>
          <w:p w14:paraId="1625C555" w14:textId="6DAC73EA" w:rsidR="001B4989" w:rsidRPr="001B4989" w:rsidRDefault="001B4989" w:rsidP="001B4989">
            <w:pPr>
              <w:jc w:val="left"/>
              <w:rPr>
                <w:rFonts w:ascii="Arial Narrow" w:hAnsi="Arial Narrow"/>
                <w:sz w:val="20"/>
                <w:szCs w:val="20"/>
                <w:highlight w:val="yellow"/>
              </w:rPr>
            </w:pPr>
            <w:r w:rsidRPr="001B4989">
              <w:rPr>
                <w:rFonts w:ascii="Arial Narrow" w:hAnsi="Arial Narrow" w:cs="Calibri"/>
                <w:color w:val="000000"/>
                <w:sz w:val="20"/>
                <w:szCs w:val="20"/>
              </w:rPr>
              <w:t>Stressor-Response Relationships from the Field</w:t>
            </w:r>
          </w:p>
        </w:tc>
        <w:tc>
          <w:tcPr>
            <w:tcW w:w="720" w:type="dxa"/>
            <w:vAlign w:val="center"/>
          </w:tcPr>
          <w:p w14:paraId="4210004E" w14:textId="54D7C9F9" w:rsidR="001B4989" w:rsidRPr="001B4989" w:rsidRDefault="001B4989" w:rsidP="001B4989">
            <w:pPr>
              <w:jc w:val="center"/>
              <w:rPr>
                <w:rFonts w:ascii="Arial Narrow" w:hAnsi="Arial Narrow" w:cs="Calibri"/>
                <w:color w:val="000000"/>
                <w:sz w:val="20"/>
                <w:szCs w:val="20"/>
              </w:rPr>
            </w:pPr>
            <w:r w:rsidRPr="001B4989">
              <w:rPr>
                <w:rFonts w:ascii="Arial Narrow" w:hAnsi="Arial Narrow" w:cs="Calibri"/>
                <w:color w:val="000000"/>
                <w:sz w:val="20"/>
                <w:szCs w:val="20"/>
              </w:rPr>
              <w:t>-2</w:t>
            </w:r>
          </w:p>
        </w:tc>
        <w:tc>
          <w:tcPr>
            <w:tcW w:w="720" w:type="dxa"/>
            <w:vAlign w:val="center"/>
          </w:tcPr>
          <w:p w14:paraId="7AE8938A" w14:textId="51CCAEE0" w:rsidR="001B4989" w:rsidRPr="001B4989" w:rsidRDefault="001B4989" w:rsidP="001B4989">
            <w:pPr>
              <w:jc w:val="center"/>
              <w:rPr>
                <w:rFonts w:ascii="Arial Narrow" w:hAnsi="Arial Narrow" w:cs="Calibri"/>
                <w:color w:val="000000"/>
                <w:sz w:val="20"/>
                <w:szCs w:val="20"/>
              </w:rPr>
            </w:pPr>
            <w:r w:rsidRPr="001B4989">
              <w:rPr>
                <w:rFonts w:ascii="Arial Narrow" w:hAnsi="Arial Narrow" w:cs="Calibri"/>
                <w:color w:val="000000"/>
                <w:sz w:val="20"/>
                <w:szCs w:val="20"/>
              </w:rPr>
              <w:t>-2</w:t>
            </w:r>
          </w:p>
        </w:tc>
        <w:tc>
          <w:tcPr>
            <w:tcW w:w="990" w:type="dxa"/>
            <w:vAlign w:val="center"/>
          </w:tcPr>
          <w:p w14:paraId="477101DB" w14:textId="09B06D9E" w:rsidR="001B4989" w:rsidRPr="001B4989" w:rsidRDefault="001B4989" w:rsidP="001B4989">
            <w:pPr>
              <w:jc w:val="center"/>
              <w:rPr>
                <w:rFonts w:ascii="Arial Narrow" w:hAnsi="Arial Narrow" w:cs="Calibri"/>
                <w:color w:val="000000"/>
                <w:sz w:val="20"/>
                <w:szCs w:val="20"/>
              </w:rPr>
            </w:pPr>
            <w:r w:rsidRPr="001B4989">
              <w:rPr>
                <w:rFonts w:ascii="Arial Narrow" w:hAnsi="Arial Narrow" w:cs="Calibri"/>
                <w:color w:val="000000"/>
                <w:sz w:val="20"/>
                <w:szCs w:val="20"/>
              </w:rPr>
              <w:t>2</w:t>
            </w:r>
          </w:p>
        </w:tc>
        <w:tc>
          <w:tcPr>
            <w:tcW w:w="990" w:type="dxa"/>
            <w:vAlign w:val="center"/>
          </w:tcPr>
          <w:p w14:paraId="5560F79D" w14:textId="0DD48A57" w:rsidR="001B4989" w:rsidRPr="001B4989" w:rsidRDefault="001B4989" w:rsidP="001B4989">
            <w:pPr>
              <w:jc w:val="center"/>
              <w:rPr>
                <w:rFonts w:ascii="Arial Narrow" w:hAnsi="Arial Narrow"/>
                <w:color w:val="000000"/>
                <w:sz w:val="20"/>
                <w:szCs w:val="20"/>
                <w:highlight w:val="yellow"/>
              </w:rPr>
            </w:pPr>
            <w:r w:rsidRPr="001B4989">
              <w:rPr>
                <w:rFonts w:ascii="Arial Narrow" w:hAnsi="Arial Narrow" w:cs="Calibri"/>
                <w:color w:val="000000"/>
                <w:sz w:val="20"/>
                <w:szCs w:val="20"/>
              </w:rPr>
              <w:t>2</w:t>
            </w:r>
          </w:p>
        </w:tc>
        <w:tc>
          <w:tcPr>
            <w:tcW w:w="3600" w:type="dxa"/>
            <w:vAlign w:val="center"/>
          </w:tcPr>
          <w:p w14:paraId="04081FB3" w14:textId="04AF5279" w:rsidR="001B4989" w:rsidRPr="001B4989" w:rsidRDefault="001B4989" w:rsidP="001B4989">
            <w:pPr>
              <w:jc w:val="left"/>
              <w:rPr>
                <w:rFonts w:ascii="Arial Narrow" w:hAnsi="Arial Narrow"/>
                <w:color w:val="000000"/>
                <w:sz w:val="20"/>
                <w:szCs w:val="20"/>
                <w:highlight w:val="yellow"/>
              </w:rPr>
            </w:pPr>
            <w:r w:rsidRPr="001B4989">
              <w:rPr>
                <w:rFonts w:ascii="Arial Narrow" w:hAnsi="Arial Narrow" w:cs="Calibri"/>
                <w:color w:val="000000"/>
                <w:sz w:val="20"/>
                <w:szCs w:val="20"/>
              </w:rPr>
              <w:t>Nitrogen was not significantly correlated with benthic health across sites, but was significantly correlated with benthic health longitudinally in the Roanoke River.</w:t>
            </w:r>
          </w:p>
        </w:tc>
      </w:tr>
      <w:tr w:rsidR="001B4989" w:rsidRPr="007A0C83" w14:paraId="2B0BC6E1" w14:textId="77777777" w:rsidTr="001B4989">
        <w:trPr>
          <w:trHeight w:val="247"/>
        </w:trPr>
        <w:tc>
          <w:tcPr>
            <w:tcW w:w="2437" w:type="dxa"/>
            <w:vAlign w:val="center"/>
          </w:tcPr>
          <w:p w14:paraId="1956FD94" w14:textId="0B3B66A2" w:rsidR="001B4989" w:rsidRPr="001B4989" w:rsidRDefault="001B4989" w:rsidP="001B4989">
            <w:pPr>
              <w:jc w:val="left"/>
              <w:rPr>
                <w:rFonts w:ascii="Arial Narrow" w:hAnsi="Arial Narrow" w:cs="Calibri"/>
                <w:b/>
                <w:bCs/>
                <w:color w:val="000000"/>
                <w:sz w:val="20"/>
                <w:szCs w:val="20"/>
                <w:highlight w:val="yellow"/>
              </w:rPr>
            </w:pPr>
            <w:r w:rsidRPr="001B4989">
              <w:rPr>
                <w:rFonts w:ascii="Arial Narrow" w:hAnsi="Arial Narrow" w:cs="Calibri"/>
                <w:color w:val="000000"/>
                <w:sz w:val="20"/>
                <w:szCs w:val="20"/>
              </w:rPr>
              <w:t>Temporal Sequence</w:t>
            </w:r>
          </w:p>
        </w:tc>
        <w:tc>
          <w:tcPr>
            <w:tcW w:w="720" w:type="dxa"/>
            <w:vAlign w:val="center"/>
          </w:tcPr>
          <w:p w14:paraId="394ACC44" w14:textId="3BDD0172" w:rsidR="001B4989" w:rsidRPr="001B4989" w:rsidRDefault="001B4989" w:rsidP="001B4989">
            <w:pPr>
              <w:jc w:val="center"/>
              <w:rPr>
                <w:rFonts w:ascii="Arial Narrow" w:hAnsi="Arial Narrow" w:cs="Calibri"/>
                <w:color w:val="000000"/>
                <w:sz w:val="20"/>
                <w:szCs w:val="20"/>
              </w:rPr>
            </w:pPr>
            <w:r w:rsidRPr="001B4989">
              <w:rPr>
                <w:rFonts w:ascii="Arial Narrow" w:hAnsi="Arial Narrow" w:cs="Calibri"/>
                <w:color w:val="000000"/>
                <w:sz w:val="20"/>
                <w:szCs w:val="20"/>
              </w:rPr>
              <w:t>1</w:t>
            </w:r>
          </w:p>
        </w:tc>
        <w:tc>
          <w:tcPr>
            <w:tcW w:w="720" w:type="dxa"/>
            <w:vAlign w:val="center"/>
          </w:tcPr>
          <w:p w14:paraId="058B1AB5" w14:textId="4E37C7D2" w:rsidR="001B4989" w:rsidRPr="001B4989" w:rsidRDefault="001B4989" w:rsidP="001B4989">
            <w:pPr>
              <w:jc w:val="center"/>
              <w:rPr>
                <w:rFonts w:ascii="Arial Narrow" w:hAnsi="Arial Narrow" w:cs="Calibri"/>
                <w:color w:val="000000"/>
                <w:sz w:val="20"/>
                <w:szCs w:val="20"/>
              </w:rPr>
            </w:pPr>
            <w:r w:rsidRPr="001B4989">
              <w:rPr>
                <w:rFonts w:ascii="Arial Narrow" w:hAnsi="Arial Narrow" w:cs="Calibri"/>
                <w:color w:val="000000"/>
                <w:sz w:val="20"/>
                <w:szCs w:val="20"/>
              </w:rPr>
              <w:t>1</w:t>
            </w:r>
          </w:p>
        </w:tc>
        <w:tc>
          <w:tcPr>
            <w:tcW w:w="990" w:type="dxa"/>
            <w:vAlign w:val="center"/>
          </w:tcPr>
          <w:p w14:paraId="448C489A" w14:textId="1ED16F61" w:rsidR="001B4989" w:rsidRPr="001B4989" w:rsidRDefault="001B4989" w:rsidP="001B4989">
            <w:pPr>
              <w:jc w:val="center"/>
              <w:rPr>
                <w:rFonts w:ascii="Arial Narrow" w:hAnsi="Arial Narrow" w:cs="Calibri"/>
                <w:color w:val="000000"/>
                <w:sz w:val="20"/>
                <w:szCs w:val="20"/>
              </w:rPr>
            </w:pPr>
            <w:r w:rsidRPr="001B4989">
              <w:rPr>
                <w:rFonts w:ascii="Arial Narrow" w:hAnsi="Arial Narrow" w:cs="Calibri"/>
                <w:color w:val="000000"/>
                <w:sz w:val="20"/>
                <w:szCs w:val="20"/>
              </w:rPr>
              <w:t>1</w:t>
            </w:r>
          </w:p>
        </w:tc>
        <w:tc>
          <w:tcPr>
            <w:tcW w:w="990" w:type="dxa"/>
            <w:vAlign w:val="center"/>
          </w:tcPr>
          <w:p w14:paraId="54CA1449" w14:textId="22BF80FD" w:rsidR="001B4989" w:rsidRPr="001B4989" w:rsidRDefault="001B4989" w:rsidP="001B4989">
            <w:pPr>
              <w:jc w:val="center"/>
              <w:rPr>
                <w:rFonts w:ascii="Arial Narrow" w:hAnsi="Arial Narrow" w:cs="Calibri"/>
                <w:b/>
                <w:color w:val="000000"/>
                <w:sz w:val="20"/>
                <w:szCs w:val="20"/>
                <w:highlight w:val="yellow"/>
              </w:rPr>
            </w:pPr>
            <w:r w:rsidRPr="001B4989">
              <w:rPr>
                <w:rFonts w:ascii="Arial Narrow" w:hAnsi="Arial Narrow" w:cs="Calibri"/>
                <w:color w:val="000000"/>
                <w:sz w:val="20"/>
                <w:szCs w:val="20"/>
              </w:rPr>
              <w:t>1</w:t>
            </w:r>
          </w:p>
        </w:tc>
        <w:tc>
          <w:tcPr>
            <w:tcW w:w="3600" w:type="dxa"/>
            <w:vAlign w:val="center"/>
          </w:tcPr>
          <w:p w14:paraId="67791447" w14:textId="2CE12B86" w:rsidR="001B4989" w:rsidRPr="001B4989" w:rsidRDefault="001B4989" w:rsidP="001B4989">
            <w:pPr>
              <w:jc w:val="left"/>
              <w:rPr>
                <w:rFonts w:ascii="Arial Narrow" w:hAnsi="Arial Narrow"/>
                <w:color w:val="000000"/>
                <w:sz w:val="20"/>
                <w:szCs w:val="20"/>
                <w:highlight w:val="yellow"/>
              </w:rPr>
            </w:pPr>
            <w:r w:rsidRPr="001B4989">
              <w:rPr>
                <w:rFonts w:ascii="Arial Narrow" w:hAnsi="Arial Narrow" w:cs="Calibri"/>
                <w:color w:val="000000"/>
                <w:sz w:val="20"/>
                <w:szCs w:val="20"/>
              </w:rPr>
              <w:t>Seasonal trends of lower spring benthic scores observed in each of the impaired streams may indicate nutrient enrichment, as higher spring flows bring increased nutrient loads and increasing spring temperatures and sunlight spur algal growth.</w:t>
            </w:r>
          </w:p>
        </w:tc>
      </w:tr>
      <w:tr w:rsidR="001B4989" w:rsidRPr="007A0C83" w14:paraId="2F1F0177" w14:textId="77777777" w:rsidTr="001B4989">
        <w:trPr>
          <w:trHeight w:val="247"/>
        </w:trPr>
        <w:tc>
          <w:tcPr>
            <w:tcW w:w="2437" w:type="dxa"/>
            <w:vAlign w:val="center"/>
          </w:tcPr>
          <w:p w14:paraId="7DD96C78" w14:textId="631E10BA" w:rsidR="001B4989" w:rsidRPr="001B4989" w:rsidRDefault="001B4989" w:rsidP="001B4989">
            <w:pPr>
              <w:jc w:val="left"/>
              <w:rPr>
                <w:rFonts w:ascii="Arial Narrow" w:hAnsi="Arial Narrow" w:cs="Calibri"/>
                <w:b/>
                <w:bCs/>
                <w:color w:val="000000"/>
                <w:sz w:val="20"/>
                <w:szCs w:val="20"/>
                <w:highlight w:val="yellow"/>
              </w:rPr>
            </w:pPr>
            <w:r w:rsidRPr="001B4989">
              <w:rPr>
                <w:rFonts w:ascii="Arial Narrow" w:hAnsi="Arial Narrow" w:cs="Calibri"/>
                <w:color w:val="000000"/>
                <w:sz w:val="20"/>
                <w:szCs w:val="20"/>
              </w:rPr>
              <w:t>Symptoms</w:t>
            </w:r>
          </w:p>
        </w:tc>
        <w:tc>
          <w:tcPr>
            <w:tcW w:w="720" w:type="dxa"/>
            <w:vAlign w:val="center"/>
          </w:tcPr>
          <w:p w14:paraId="1923236B" w14:textId="1374946D"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2</w:t>
            </w:r>
          </w:p>
        </w:tc>
        <w:tc>
          <w:tcPr>
            <w:tcW w:w="720" w:type="dxa"/>
            <w:vAlign w:val="center"/>
          </w:tcPr>
          <w:p w14:paraId="74128208" w14:textId="7A6EDFCD"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3</w:t>
            </w:r>
          </w:p>
        </w:tc>
        <w:tc>
          <w:tcPr>
            <w:tcW w:w="990" w:type="dxa"/>
            <w:vAlign w:val="center"/>
          </w:tcPr>
          <w:p w14:paraId="051355A9" w14:textId="0A8CC33F"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2</w:t>
            </w:r>
          </w:p>
        </w:tc>
        <w:tc>
          <w:tcPr>
            <w:tcW w:w="990" w:type="dxa"/>
            <w:vAlign w:val="center"/>
          </w:tcPr>
          <w:p w14:paraId="51C9E579" w14:textId="552B0075" w:rsidR="001B4989" w:rsidRPr="001B4989" w:rsidRDefault="001B4989" w:rsidP="001B4989">
            <w:pPr>
              <w:jc w:val="center"/>
              <w:rPr>
                <w:rFonts w:ascii="Arial Narrow" w:hAnsi="Arial Narrow" w:cs="Calibri"/>
                <w:b/>
                <w:color w:val="000000"/>
                <w:sz w:val="20"/>
                <w:szCs w:val="20"/>
                <w:highlight w:val="yellow"/>
              </w:rPr>
            </w:pPr>
            <w:r w:rsidRPr="001B4989">
              <w:rPr>
                <w:rFonts w:ascii="Arial Narrow" w:hAnsi="Arial Narrow" w:cs="Calibri"/>
                <w:color w:val="000000"/>
                <w:sz w:val="20"/>
                <w:szCs w:val="20"/>
              </w:rPr>
              <w:t>2</w:t>
            </w:r>
          </w:p>
        </w:tc>
        <w:tc>
          <w:tcPr>
            <w:tcW w:w="3600" w:type="dxa"/>
            <w:vAlign w:val="center"/>
          </w:tcPr>
          <w:p w14:paraId="49752BD2" w14:textId="0076A23B" w:rsidR="001B4989" w:rsidRPr="001B4989" w:rsidRDefault="001B4989" w:rsidP="001B4989">
            <w:pPr>
              <w:jc w:val="left"/>
              <w:rPr>
                <w:rFonts w:ascii="Arial Narrow" w:hAnsi="Arial Narrow"/>
                <w:color w:val="000000"/>
                <w:sz w:val="20"/>
                <w:szCs w:val="20"/>
                <w:highlight w:val="yellow"/>
              </w:rPr>
            </w:pPr>
            <w:r w:rsidRPr="001B4989">
              <w:rPr>
                <w:rFonts w:ascii="Arial Narrow" w:hAnsi="Arial Narrow" w:cs="Calibri"/>
                <w:color w:val="000000"/>
                <w:sz w:val="20"/>
                <w:szCs w:val="20"/>
              </w:rPr>
              <w:t xml:space="preserve">Biological Condition Gradient </w:t>
            </w:r>
            <w:r w:rsidR="007E2E2D">
              <w:rPr>
                <w:rFonts w:ascii="Arial Narrow" w:hAnsi="Arial Narrow" w:cs="Calibri"/>
                <w:color w:val="000000"/>
                <w:sz w:val="20"/>
                <w:szCs w:val="20"/>
              </w:rPr>
              <w:t xml:space="preserve">attribute </w:t>
            </w:r>
            <w:r w:rsidRPr="001B4989">
              <w:rPr>
                <w:rFonts w:ascii="Arial Narrow" w:hAnsi="Arial Narrow" w:cs="Calibri"/>
                <w:color w:val="000000"/>
                <w:sz w:val="20"/>
                <w:szCs w:val="20"/>
              </w:rPr>
              <w:t xml:space="preserve">analysis identified top predominant taxa in Wolf Creek and Tinker Creek that increase in abundance in the presence of nutrients (score of 5). Based on average BCG </w:t>
            </w:r>
            <w:r w:rsidR="007E2E2D">
              <w:rPr>
                <w:rFonts w:ascii="Arial Narrow" w:hAnsi="Arial Narrow" w:cs="Calibri"/>
                <w:color w:val="000000"/>
                <w:sz w:val="20"/>
                <w:szCs w:val="20"/>
              </w:rPr>
              <w:t xml:space="preserve">attribute </w:t>
            </w:r>
            <w:r w:rsidRPr="001B4989">
              <w:rPr>
                <w:rFonts w:ascii="Arial Narrow" w:hAnsi="Arial Narrow" w:cs="Calibri"/>
                <w:color w:val="000000"/>
                <w:sz w:val="20"/>
                <w:szCs w:val="20"/>
              </w:rPr>
              <w:t xml:space="preserve">scores, nutrients ranked as the highest ranked stressor in Tinker Creek and Roanoke River and the second highest in Wolf Creek.  </w:t>
            </w:r>
          </w:p>
        </w:tc>
      </w:tr>
      <w:tr w:rsidR="001B4989" w:rsidRPr="007A0C83" w14:paraId="08BC655A" w14:textId="77777777" w:rsidTr="001B4989">
        <w:trPr>
          <w:trHeight w:val="247"/>
        </w:trPr>
        <w:tc>
          <w:tcPr>
            <w:tcW w:w="2437" w:type="dxa"/>
            <w:vAlign w:val="center"/>
          </w:tcPr>
          <w:p w14:paraId="5387F477" w14:textId="7E511A47" w:rsidR="001B4989" w:rsidRPr="001B4989" w:rsidRDefault="001B4989" w:rsidP="001B4989">
            <w:pPr>
              <w:jc w:val="left"/>
              <w:rPr>
                <w:rFonts w:ascii="Arial Narrow" w:hAnsi="Arial Narrow" w:cs="Calibri"/>
                <w:b/>
                <w:bCs/>
                <w:color w:val="000000"/>
                <w:sz w:val="20"/>
                <w:szCs w:val="20"/>
              </w:rPr>
            </w:pPr>
            <w:r w:rsidRPr="001B4989">
              <w:rPr>
                <w:rFonts w:ascii="Arial Narrow" w:hAnsi="Arial Narrow" w:cs="Calibri"/>
                <w:color w:val="000000"/>
                <w:sz w:val="20"/>
                <w:szCs w:val="20"/>
              </w:rPr>
              <w:t>Symptoms (2)</w:t>
            </w:r>
          </w:p>
        </w:tc>
        <w:tc>
          <w:tcPr>
            <w:tcW w:w="720" w:type="dxa"/>
            <w:vAlign w:val="center"/>
          </w:tcPr>
          <w:p w14:paraId="21BA68F3" w14:textId="086A0597"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-1</w:t>
            </w:r>
          </w:p>
        </w:tc>
        <w:tc>
          <w:tcPr>
            <w:tcW w:w="720" w:type="dxa"/>
            <w:vAlign w:val="center"/>
          </w:tcPr>
          <w:p w14:paraId="07590574" w14:textId="666525A1"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-1</w:t>
            </w:r>
          </w:p>
        </w:tc>
        <w:tc>
          <w:tcPr>
            <w:tcW w:w="990" w:type="dxa"/>
            <w:vAlign w:val="center"/>
          </w:tcPr>
          <w:p w14:paraId="7D32D814" w14:textId="51617F08"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1</w:t>
            </w:r>
          </w:p>
        </w:tc>
        <w:tc>
          <w:tcPr>
            <w:tcW w:w="990" w:type="dxa"/>
            <w:vAlign w:val="center"/>
          </w:tcPr>
          <w:p w14:paraId="22986629" w14:textId="2453452D"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2</w:t>
            </w:r>
          </w:p>
        </w:tc>
        <w:tc>
          <w:tcPr>
            <w:tcW w:w="3600" w:type="dxa"/>
            <w:vAlign w:val="center"/>
          </w:tcPr>
          <w:p w14:paraId="4B940624" w14:textId="29919F13" w:rsidR="001B4989" w:rsidRPr="001B4989" w:rsidRDefault="001B4989" w:rsidP="001B4989">
            <w:pPr>
              <w:jc w:val="left"/>
              <w:rPr>
                <w:rFonts w:ascii="Arial Narrow" w:hAnsi="Arial Narrow"/>
                <w:color w:val="000000"/>
                <w:sz w:val="20"/>
                <w:szCs w:val="20"/>
                <w:highlight w:val="yellow"/>
              </w:rPr>
            </w:pPr>
            <w:r w:rsidRPr="001B4989">
              <w:rPr>
                <w:rFonts w:ascii="Arial Narrow" w:hAnsi="Arial Narrow" w:cs="Calibri"/>
                <w:color w:val="000000"/>
                <w:sz w:val="20"/>
                <w:szCs w:val="20"/>
              </w:rPr>
              <w:t>In functional feeding group analysis, scrapers, which are indicative of nutrient enrichment, increased by 2% at Roanoke River (202.20) and 5% at Roanoke River (198.08). Scrapers decreased in Wolf Creek and Tinker Creek.</w:t>
            </w:r>
          </w:p>
        </w:tc>
      </w:tr>
      <w:tr w:rsidR="001B4989" w:rsidRPr="007A0C83" w14:paraId="32526873" w14:textId="77777777" w:rsidTr="001B4989">
        <w:trPr>
          <w:trHeight w:val="247"/>
        </w:trPr>
        <w:tc>
          <w:tcPr>
            <w:tcW w:w="2437" w:type="dxa"/>
            <w:vAlign w:val="center"/>
          </w:tcPr>
          <w:p w14:paraId="3E88F21B" w14:textId="06C8FC53" w:rsidR="001B4989" w:rsidRPr="001B4989" w:rsidRDefault="001B4989" w:rsidP="001B4989">
            <w:pPr>
              <w:jc w:val="left"/>
              <w:rPr>
                <w:rFonts w:ascii="Arial Narrow" w:hAnsi="Arial Narrow" w:cs="Calibri"/>
                <w:b/>
                <w:bCs/>
                <w:color w:val="000000"/>
                <w:sz w:val="20"/>
                <w:szCs w:val="20"/>
              </w:rPr>
            </w:pPr>
            <w:r w:rsidRPr="001B4989">
              <w:rPr>
                <w:rFonts w:ascii="Arial Narrow" w:hAnsi="Arial Narrow" w:cs="Calibri"/>
                <w:color w:val="000000"/>
                <w:sz w:val="20"/>
                <w:szCs w:val="20"/>
              </w:rPr>
              <w:t>Symptoms (3)</w:t>
            </w:r>
          </w:p>
        </w:tc>
        <w:tc>
          <w:tcPr>
            <w:tcW w:w="720" w:type="dxa"/>
            <w:vAlign w:val="center"/>
          </w:tcPr>
          <w:p w14:paraId="26BCC96E" w14:textId="6A802C12"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0</w:t>
            </w:r>
          </w:p>
        </w:tc>
        <w:tc>
          <w:tcPr>
            <w:tcW w:w="720" w:type="dxa"/>
            <w:vAlign w:val="center"/>
          </w:tcPr>
          <w:p w14:paraId="33884FB6" w14:textId="52823915"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0</w:t>
            </w:r>
          </w:p>
        </w:tc>
        <w:tc>
          <w:tcPr>
            <w:tcW w:w="990" w:type="dxa"/>
            <w:vAlign w:val="center"/>
          </w:tcPr>
          <w:p w14:paraId="0F66CF4A" w14:textId="42197CE8"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2</w:t>
            </w:r>
          </w:p>
        </w:tc>
        <w:tc>
          <w:tcPr>
            <w:tcW w:w="990" w:type="dxa"/>
            <w:vAlign w:val="center"/>
          </w:tcPr>
          <w:p w14:paraId="762AF902" w14:textId="45664FB2"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2</w:t>
            </w:r>
          </w:p>
        </w:tc>
        <w:tc>
          <w:tcPr>
            <w:tcW w:w="3600" w:type="dxa"/>
            <w:vAlign w:val="center"/>
          </w:tcPr>
          <w:p w14:paraId="699FCB98" w14:textId="4C6BA285" w:rsidR="001B4989" w:rsidRPr="001B4989" w:rsidRDefault="001B4989" w:rsidP="001B4989">
            <w:pPr>
              <w:jc w:val="left"/>
              <w:rPr>
                <w:rFonts w:ascii="Arial Narrow" w:hAnsi="Arial Narrow"/>
                <w:color w:val="000000"/>
                <w:sz w:val="20"/>
                <w:szCs w:val="20"/>
                <w:highlight w:val="yellow"/>
              </w:rPr>
            </w:pPr>
            <w:r w:rsidRPr="001B4989">
              <w:rPr>
                <w:rFonts w:ascii="Arial Narrow" w:hAnsi="Arial Narrow" w:cs="Calibri"/>
                <w:color w:val="000000"/>
                <w:sz w:val="20"/>
                <w:szCs w:val="20"/>
              </w:rPr>
              <w:t>Algae sampling in the Roanoke River in 2023 showed a consistent pattern of increased algae downstream where nutrient levels were higher. Patterns in 2021 and 2022 were less conclusive, but confounding issues with sampling location were encountered.</w:t>
            </w:r>
          </w:p>
        </w:tc>
      </w:tr>
      <w:tr w:rsidR="001B4989" w:rsidRPr="007A0C83" w14:paraId="19F8C0EB" w14:textId="77777777" w:rsidTr="001B4989">
        <w:trPr>
          <w:trHeight w:val="247"/>
        </w:trPr>
        <w:tc>
          <w:tcPr>
            <w:tcW w:w="2437" w:type="dxa"/>
            <w:vAlign w:val="center"/>
          </w:tcPr>
          <w:p w14:paraId="1E7DE2A4" w14:textId="279143A3" w:rsidR="001B4989" w:rsidRPr="001B4989" w:rsidRDefault="001B4989" w:rsidP="001B4989">
            <w:pPr>
              <w:jc w:val="left"/>
              <w:rPr>
                <w:rFonts w:ascii="Arial Narrow" w:hAnsi="Arial Narrow" w:cs="Calibri"/>
                <w:b/>
                <w:bCs/>
                <w:color w:val="000000"/>
                <w:sz w:val="20"/>
                <w:szCs w:val="20"/>
              </w:rPr>
            </w:pPr>
            <w:r w:rsidRPr="001B4989">
              <w:rPr>
                <w:rFonts w:ascii="Arial Narrow" w:hAnsi="Arial Narrow" w:cs="Calibri"/>
                <w:color w:val="000000"/>
                <w:sz w:val="20"/>
                <w:szCs w:val="20"/>
              </w:rPr>
              <w:t>Stressor-Response Relationships from Other Field Studies</w:t>
            </w:r>
          </w:p>
        </w:tc>
        <w:tc>
          <w:tcPr>
            <w:tcW w:w="720" w:type="dxa"/>
            <w:vAlign w:val="center"/>
          </w:tcPr>
          <w:p w14:paraId="5E6C5F67" w14:textId="0ADC864E"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2</w:t>
            </w:r>
          </w:p>
        </w:tc>
        <w:tc>
          <w:tcPr>
            <w:tcW w:w="720" w:type="dxa"/>
            <w:vAlign w:val="center"/>
          </w:tcPr>
          <w:p w14:paraId="7E94EA99" w14:textId="491919C1"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2</w:t>
            </w:r>
          </w:p>
        </w:tc>
        <w:tc>
          <w:tcPr>
            <w:tcW w:w="990" w:type="dxa"/>
            <w:vAlign w:val="center"/>
          </w:tcPr>
          <w:p w14:paraId="31F8FD46" w14:textId="62FDDC86"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-2</w:t>
            </w:r>
          </w:p>
        </w:tc>
        <w:tc>
          <w:tcPr>
            <w:tcW w:w="990" w:type="dxa"/>
            <w:vAlign w:val="center"/>
          </w:tcPr>
          <w:p w14:paraId="38192C7D" w14:textId="4001F199"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3</w:t>
            </w:r>
          </w:p>
        </w:tc>
        <w:tc>
          <w:tcPr>
            <w:tcW w:w="3600" w:type="dxa"/>
            <w:vAlign w:val="center"/>
          </w:tcPr>
          <w:p w14:paraId="38CC8AE2" w14:textId="259E4A28" w:rsidR="001B4989" w:rsidRPr="001B4989" w:rsidRDefault="001B4989" w:rsidP="001B4989">
            <w:pPr>
              <w:jc w:val="left"/>
              <w:rPr>
                <w:rFonts w:ascii="Arial Narrow" w:hAnsi="Arial Narrow"/>
                <w:color w:val="000000"/>
                <w:sz w:val="20"/>
                <w:szCs w:val="20"/>
                <w:highlight w:val="yellow"/>
              </w:rPr>
            </w:pPr>
            <w:r w:rsidRPr="001B4989">
              <w:rPr>
                <w:rFonts w:ascii="Arial Narrow" w:hAnsi="Arial Narrow" w:cs="Calibri"/>
                <w:color w:val="000000"/>
                <w:sz w:val="20"/>
                <w:szCs w:val="20"/>
              </w:rPr>
              <w:t xml:space="preserve">Median nitrogen levels were in the medium probability range for stressor effects in Wolf Creek and Tinker Creek, low probability range in Roanoke River (202.20), and high probability range in Roanoke River. </w:t>
            </w:r>
          </w:p>
        </w:tc>
      </w:tr>
      <w:tr w:rsidR="001B4989" w:rsidRPr="007A0C83" w14:paraId="7048A83A" w14:textId="77777777" w:rsidTr="001B4989">
        <w:trPr>
          <w:trHeight w:val="247"/>
        </w:trPr>
        <w:tc>
          <w:tcPr>
            <w:tcW w:w="2437" w:type="dxa"/>
            <w:vAlign w:val="center"/>
          </w:tcPr>
          <w:p w14:paraId="770DAF6A" w14:textId="585DE6A6" w:rsidR="001B4989" w:rsidRPr="001B4989" w:rsidRDefault="001B4989" w:rsidP="001B4989">
            <w:pPr>
              <w:jc w:val="left"/>
              <w:rPr>
                <w:rFonts w:ascii="Arial Narrow" w:hAnsi="Arial Narrow" w:cs="Calibri"/>
                <w:b/>
                <w:bCs/>
                <w:color w:val="000000"/>
                <w:sz w:val="20"/>
                <w:szCs w:val="20"/>
              </w:rPr>
            </w:pPr>
            <w:r w:rsidRPr="001B4989">
              <w:rPr>
                <w:rFonts w:ascii="Arial Narrow" w:hAnsi="Arial Narrow" w:cs="Calibri"/>
                <w:color w:val="000000"/>
                <w:sz w:val="20"/>
                <w:szCs w:val="20"/>
              </w:rPr>
              <w:t>Stressor-Response Relationships from Laboratory Studies</w:t>
            </w:r>
          </w:p>
        </w:tc>
        <w:tc>
          <w:tcPr>
            <w:tcW w:w="720" w:type="dxa"/>
            <w:vAlign w:val="center"/>
          </w:tcPr>
          <w:p w14:paraId="630F709D" w14:textId="256655EF"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1</w:t>
            </w:r>
          </w:p>
        </w:tc>
        <w:tc>
          <w:tcPr>
            <w:tcW w:w="720" w:type="dxa"/>
            <w:vAlign w:val="center"/>
          </w:tcPr>
          <w:p w14:paraId="626021A8" w14:textId="61FB6D51"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1</w:t>
            </w:r>
          </w:p>
        </w:tc>
        <w:tc>
          <w:tcPr>
            <w:tcW w:w="990" w:type="dxa"/>
            <w:vAlign w:val="center"/>
          </w:tcPr>
          <w:p w14:paraId="1CF81615" w14:textId="059D9ECF"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1</w:t>
            </w:r>
          </w:p>
        </w:tc>
        <w:tc>
          <w:tcPr>
            <w:tcW w:w="990" w:type="dxa"/>
            <w:vAlign w:val="center"/>
          </w:tcPr>
          <w:p w14:paraId="7473D441" w14:textId="0AE231A3"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1</w:t>
            </w:r>
          </w:p>
        </w:tc>
        <w:tc>
          <w:tcPr>
            <w:tcW w:w="3600" w:type="dxa"/>
            <w:vAlign w:val="center"/>
          </w:tcPr>
          <w:p w14:paraId="1AA2BD66" w14:textId="2296E3CD" w:rsidR="001B4989" w:rsidRPr="001B4989" w:rsidRDefault="001B4989" w:rsidP="001B4989">
            <w:pPr>
              <w:jc w:val="left"/>
              <w:rPr>
                <w:rFonts w:ascii="Arial Narrow" w:hAnsi="Arial Narrow"/>
                <w:color w:val="000000"/>
                <w:sz w:val="20"/>
                <w:szCs w:val="20"/>
                <w:highlight w:val="yellow"/>
              </w:rPr>
            </w:pPr>
            <w:r w:rsidRPr="001B4989">
              <w:rPr>
                <w:rFonts w:ascii="Arial Narrow" w:hAnsi="Arial Narrow" w:cs="Calibri"/>
                <w:color w:val="000000"/>
                <w:sz w:val="20"/>
                <w:szCs w:val="20"/>
              </w:rPr>
              <w:t>Total nitrogen levels averaged 0.709 to 2.30 mg/L at impaired stations, which is above the EPA-recommended criterion for the respective Ridge and Valley ecoregion.</w:t>
            </w:r>
          </w:p>
        </w:tc>
      </w:tr>
      <w:tr w:rsidR="001B4989" w:rsidRPr="007A0C83" w14:paraId="25FB909C" w14:textId="77777777" w:rsidTr="001B4989">
        <w:trPr>
          <w:trHeight w:val="247"/>
        </w:trPr>
        <w:tc>
          <w:tcPr>
            <w:tcW w:w="2437" w:type="dxa"/>
            <w:vAlign w:val="center"/>
          </w:tcPr>
          <w:p w14:paraId="2E6A9F6C" w14:textId="5B914047" w:rsidR="001B4989" w:rsidRPr="001B4989" w:rsidRDefault="001B4989" w:rsidP="001B4989">
            <w:pPr>
              <w:jc w:val="left"/>
              <w:rPr>
                <w:rFonts w:ascii="Arial Narrow" w:hAnsi="Arial Narrow" w:cs="Calibri"/>
                <w:b/>
                <w:bCs/>
                <w:color w:val="000000"/>
                <w:sz w:val="20"/>
                <w:szCs w:val="20"/>
              </w:rPr>
            </w:pPr>
            <w:r w:rsidRPr="001B4989">
              <w:rPr>
                <w:rFonts w:ascii="Arial Narrow" w:hAnsi="Arial Narrow" w:cs="Calibri"/>
                <w:color w:val="000000"/>
                <w:sz w:val="20"/>
                <w:szCs w:val="20"/>
              </w:rPr>
              <w:t>Stressor-Response Relationships from Simulation Models</w:t>
            </w:r>
          </w:p>
        </w:tc>
        <w:tc>
          <w:tcPr>
            <w:tcW w:w="720" w:type="dxa"/>
            <w:vAlign w:val="center"/>
          </w:tcPr>
          <w:p w14:paraId="4B72D0DE" w14:textId="6E5BCD4A"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0</w:t>
            </w:r>
          </w:p>
        </w:tc>
        <w:tc>
          <w:tcPr>
            <w:tcW w:w="720" w:type="dxa"/>
            <w:vAlign w:val="center"/>
          </w:tcPr>
          <w:p w14:paraId="0EC3BE4D" w14:textId="52DF867E"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0</w:t>
            </w:r>
          </w:p>
        </w:tc>
        <w:tc>
          <w:tcPr>
            <w:tcW w:w="990" w:type="dxa"/>
            <w:vAlign w:val="center"/>
          </w:tcPr>
          <w:p w14:paraId="066847CC" w14:textId="64377E4A"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-2</w:t>
            </w:r>
          </w:p>
        </w:tc>
        <w:tc>
          <w:tcPr>
            <w:tcW w:w="990" w:type="dxa"/>
            <w:vAlign w:val="center"/>
          </w:tcPr>
          <w:p w14:paraId="69971CF2" w14:textId="3FF4DA03"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-2</w:t>
            </w:r>
          </w:p>
        </w:tc>
        <w:tc>
          <w:tcPr>
            <w:tcW w:w="3600" w:type="dxa"/>
            <w:vAlign w:val="center"/>
          </w:tcPr>
          <w:p w14:paraId="653E66D3" w14:textId="04209DDD" w:rsidR="001B4989" w:rsidRPr="001B4989" w:rsidRDefault="001B4989" w:rsidP="001B4989">
            <w:pPr>
              <w:jc w:val="left"/>
              <w:rPr>
                <w:rFonts w:ascii="Arial Narrow" w:hAnsi="Arial Narrow"/>
                <w:color w:val="000000"/>
                <w:sz w:val="20"/>
                <w:szCs w:val="20"/>
                <w:highlight w:val="yellow"/>
              </w:rPr>
            </w:pPr>
            <w:r w:rsidRPr="001B4989">
              <w:rPr>
                <w:rFonts w:ascii="Arial Narrow" w:hAnsi="Arial Narrow" w:cs="Calibri"/>
                <w:color w:val="000000"/>
                <w:sz w:val="20"/>
                <w:szCs w:val="20"/>
              </w:rPr>
              <w:t>Evidence from QUAL2K modeling shows excess bottom algae and phosphorus limitation, but not nitrogen limitation in the Roanoke River (B</w:t>
            </w:r>
            <w:r w:rsidR="007B51BB">
              <w:rPr>
                <w:rFonts w:ascii="Arial Narrow" w:hAnsi="Arial Narrow" w:cs="Calibri"/>
                <w:color w:val="000000"/>
                <w:sz w:val="20"/>
                <w:szCs w:val="20"/>
              </w:rPr>
              <w:t>ell</w:t>
            </w:r>
            <w:r w:rsidRPr="001B4989">
              <w:rPr>
                <w:rFonts w:ascii="Arial Narrow" w:hAnsi="Arial Narrow" w:cs="Calibri"/>
                <w:color w:val="000000"/>
                <w:sz w:val="20"/>
                <w:szCs w:val="20"/>
              </w:rPr>
              <w:t>, 2023)</w:t>
            </w:r>
          </w:p>
        </w:tc>
      </w:tr>
      <w:tr w:rsidR="001B4989" w:rsidRPr="007A0C83" w14:paraId="1857485D" w14:textId="77777777" w:rsidTr="001B4989">
        <w:trPr>
          <w:trHeight w:val="247"/>
        </w:trPr>
        <w:tc>
          <w:tcPr>
            <w:tcW w:w="2437" w:type="dxa"/>
            <w:vAlign w:val="center"/>
          </w:tcPr>
          <w:p w14:paraId="3EE76FFD" w14:textId="1C97E4B8" w:rsidR="001B4989" w:rsidRPr="001B4989" w:rsidRDefault="001B4989" w:rsidP="001B4989">
            <w:pPr>
              <w:jc w:val="left"/>
              <w:rPr>
                <w:rFonts w:ascii="Arial Narrow" w:hAnsi="Arial Narrow" w:cs="Calibri"/>
                <w:b/>
                <w:bCs/>
                <w:color w:val="000000"/>
                <w:sz w:val="20"/>
                <w:szCs w:val="20"/>
              </w:rPr>
            </w:pPr>
            <w:r w:rsidRPr="001B4989">
              <w:rPr>
                <w:rFonts w:ascii="Arial Narrow" w:hAnsi="Arial Narrow" w:cs="Calibri"/>
                <w:color w:val="000000"/>
                <w:sz w:val="20"/>
                <w:szCs w:val="20"/>
              </w:rPr>
              <w:t>Mechanistically Plausible Cause</w:t>
            </w:r>
          </w:p>
        </w:tc>
        <w:tc>
          <w:tcPr>
            <w:tcW w:w="720" w:type="dxa"/>
            <w:vAlign w:val="center"/>
          </w:tcPr>
          <w:p w14:paraId="4FC0030B" w14:textId="0A2E2989"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-2</w:t>
            </w:r>
          </w:p>
        </w:tc>
        <w:tc>
          <w:tcPr>
            <w:tcW w:w="720" w:type="dxa"/>
            <w:vAlign w:val="center"/>
          </w:tcPr>
          <w:p w14:paraId="14419770" w14:textId="27FC1336"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-2</w:t>
            </w:r>
          </w:p>
        </w:tc>
        <w:tc>
          <w:tcPr>
            <w:tcW w:w="990" w:type="dxa"/>
            <w:vAlign w:val="center"/>
          </w:tcPr>
          <w:p w14:paraId="335B6061" w14:textId="0C79B911"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-2</w:t>
            </w:r>
          </w:p>
        </w:tc>
        <w:tc>
          <w:tcPr>
            <w:tcW w:w="990" w:type="dxa"/>
            <w:vAlign w:val="center"/>
          </w:tcPr>
          <w:p w14:paraId="538D4806" w14:textId="34BD685D"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-2</w:t>
            </w:r>
          </w:p>
        </w:tc>
        <w:tc>
          <w:tcPr>
            <w:tcW w:w="3600" w:type="dxa"/>
            <w:vAlign w:val="center"/>
          </w:tcPr>
          <w:p w14:paraId="6E10DF66" w14:textId="6159918C" w:rsidR="001B4989" w:rsidRPr="001B4989" w:rsidRDefault="001B4989" w:rsidP="001B4989">
            <w:pPr>
              <w:jc w:val="left"/>
              <w:rPr>
                <w:rFonts w:ascii="Arial Narrow" w:hAnsi="Arial Narrow"/>
                <w:color w:val="000000"/>
                <w:sz w:val="20"/>
                <w:szCs w:val="20"/>
                <w:highlight w:val="yellow"/>
              </w:rPr>
            </w:pPr>
            <w:r w:rsidRPr="001B4989">
              <w:rPr>
                <w:rFonts w:ascii="Arial Narrow" w:hAnsi="Arial Narrow" w:cs="Calibri"/>
                <w:color w:val="000000"/>
                <w:sz w:val="20"/>
                <w:szCs w:val="20"/>
              </w:rPr>
              <w:t xml:space="preserve">The nitrogen to phosphorus ratios in Roanoke River Project streams ranged from 27 to 86, indicating that phosphorus, and not nitrogen, is the limiting nutrient controlling algae growth. </w:t>
            </w:r>
          </w:p>
        </w:tc>
      </w:tr>
      <w:tr w:rsidR="001B4989" w:rsidRPr="007A0C83" w14:paraId="0E352D3C" w14:textId="77777777" w:rsidTr="001B4989">
        <w:trPr>
          <w:trHeight w:val="247"/>
        </w:trPr>
        <w:tc>
          <w:tcPr>
            <w:tcW w:w="2437" w:type="dxa"/>
            <w:vAlign w:val="center"/>
          </w:tcPr>
          <w:p w14:paraId="3FB23015" w14:textId="42842E29" w:rsidR="001B4989" w:rsidRPr="001B4989" w:rsidRDefault="001B4989" w:rsidP="001B4989">
            <w:pPr>
              <w:jc w:val="left"/>
              <w:rPr>
                <w:rFonts w:ascii="Arial Narrow" w:hAnsi="Arial Narrow" w:cs="Calibri"/>
                <w:b/>
                <w:bCs/>
                <w:color w:val="000000"/>
                <w:sz w:val="20"/>
                <w:szCs w:val="20"/>
              </w:rPr>
            </w:pPr>
            <w:r w:rsidRPr="001B4989">
              <w:rPr>
                <w:rFonts w:ascii="Arial Narrow" w:hAnsi="Arial Narrow" w:cs="Calibri"/>
                <w:color w:val="000000"/>
                <w:sz w:val="20"/>
                <w:szCs w:val="20"/>
              </w:rPr>
              <w:t>Consistency of Evidence</w:t>
            </w:r>
          </w:p>
        </w:tc>
        <w:tc>
          <w:tcPr>
            <w:tcW w:w="720" w:type="dxa"/>
            <w:vAlign w:val="center"/>
          </w:tcPr>
          <w:p w14:paraId="31EB668D" w14:textId="61F1FF74"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0</w:t>
            </w:r>
          </w:p>
        </w:tc>
        <w:tc>
          <w:tcPr>
            <w:tcW w:w="720" w:type="dxa"/>
            <w:vAlign w:val="center"/>
          </w:tcPr>
          <w:p w14:paraId="2ECA0FA8" w14:textId="45F7350B"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0</w:t>
            </w:r>
          </w:p>
        </w:tc>
        <w:tc>
          <w:tcPr>
            <w:tcW w:w="990" w:type="dxa"/>
            <w:vAlign w:val="center"/>
          </w:tcPr>
          <w:p w14:paraId="18C7711B" w14:textId="1000C063"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0</w:t>
            </w:r>
          </w:p>
        </w:tc>
        <w:tc>
          <w:tcPr>
            <w:tcW w:w="990" w:type="dxa"/>
            <w:vAlign w:val="center"/>
          </w:tcPr>
          <w:p w14:paraId="364AE0D1" w14:textId="6916025C"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color w:val="000000"/>
                <w:sz w:val="20"/>
                <w:szCs w:val="20"/>
              </w:rPr>
              <w:t>1</w:t>
            </w:r>
          </w:p>
        </w:tc>
        <w:tc>
          <w:tcPr>
            <w:tcW w:w="3600" w:type="dxa"/>
            <w:vAlign w:val="center"/>
          </w:tcPr>
          <w:p w14:paraId="719F7AC1" w14:textId="0C6564C2" w:rsidR="001B4989" w:rsidRPr="001B4989" w:rsidRDefault="001B4989" w:rsidP="001B4989">
            <w:pPr>
              <w:jc w:val="left"/>
              <w:rPr>
                <w:rFonts w:ascii="Arial Narrow" w:hAnsi="Arial Narrow"/>
                <w:color w:val="000000"/>
                <w:sz w:val="20"/>
                <w:szCs w:val="20"/>
                <w:highlight w:val="yellow"/>
              </w:rPr>
            </w:pPr>
            <w:r w:rsidRPr="001B4989">
              <w:rPr>
                <w:rFonts w:ascii="Arial Narrow" w:hAnsi="Arial Narrow" w:cs="Calibri"/>
                <w:color w:val="000000"/>
                <w:sz w:val="20"/>
                <w:szCs w:val="20"/>
              </w:rPr>
              <w:t>Most evidence supported nitrogen as a stressor in Roanoke River (198.08). In the other streams and locations, evidence was inconsistent in supporting or refuting nitrogen as a stressor.</w:t>
            </w:r>
          </w:p>
        </w:tc>
      </w:tr>
      <w:tr w:rsidR="001B4989" w:rsidRPr="001B4989" w14:paraId="33B189E5" w14:textId="77777777" w:rsidTr="001B4989">
        <w:trPr>
          <w:trHeight w:val="247"/>
        </w:trPr>
        <w:tc>
          <w:tcPr>
            <w:tcW w:w="2437" w:type="dxa"/>
            <w:vAlign w:val="center"/>
          </w:tcPr>
          <w:p w14:paraId="5B975062" w14:textId="5EC39A8B" w:rsidR="001B4989" w:rsidRPr="001B4989" w:rsidRDefault="001B4989" w:rsidP="001B4989">
            <w:pPr>
              <w:jc w:val="right"/>
              <w:rPr>
                <w:rFonts w:ascii="Arial Narrow" w:hAnsi="Arial Narrow" w:cs="Calibri"/>
                <w:b/>
                <w:bCs/>
                <w:color w:val="000000"/>
                <w:sz w:val="20"/>
                <w:szCs w:val="20"/>
              </w:rPr>
            </w:pPr>
            <w:r w:rsidRPr="001B4989">
              <w:rPr>
                <w:rFonts w:ascii="Arial Narrow" w:hAnsi="Arial Narrow" w:cs="Calibri"/>
                <w:b/>
                <w:bCs/>
                <w:color w:val="000000"/>
                <w:sz w:val="20"/>
                <w:szCs w:val="20"/>
              </w:rPr>
              <w:t>Sum</w:t>
            </w:r>
          </w:p>
        </w:tc>
        <w:tc>
          <w:tcPr>
            <w:tcW w:w="720" w:type="dxa"/>
            <w:vAlign w:val="center"/>
          </w:tcPr>
          <w:p w14:paraId="56F3A3A1" w14:textId="110CBA30"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b/>
                <w:color w:val="000000"/>
                <w:sz w:val="20"/>
                <w:szCs w:val="20"/>
              </w:rPr>
              <w:t>-3</w:t>
            </w:r>
          </w:p>
        </w:tc>
        <w:tc>
          <w:tcPr>
            <w:tcW w:w="720" w:type="dxa"/>
            <w:vAlign w:val="center"/>
          </w:tcPr>
          <w:p w14:paraId="5BD94422" w14:textId="304F884C"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b/>
                <w:color w:val="000000"/>
                <w:sz w:val="20"/>
                <w:szCs w:val="20"/>
              </w:rPr>
              <w:t>3</w:t>
            </w:r>
          </w:p>
        </w:tc>
        <w:tc>
          <w:tcPr>
            <w:tcW w:w="990" w:type="dxa"/>
            <w:vAlign w:val="center"/>
          </w:tcPr>
          <w:p w14:paraId="3917B4BA" w14:textId="762CA2AC"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b/>
                <w:color w:val="000000"/>
                <w:sz w:val="20"/>
                <w:szCs w:val="20"/>
              </w:rPr>
              <w:t>-3</w:t>
            </w:r>
          </w:p>
        </w:tc>
        <w:tc>
          <w:tcPr>
            <w:tcW w:w="990" w:type="dxa"/>
            <w:vAlign w:val="center"/>
          </w:tcPr>
          <w:p w14:paraId="5D7D1E62" w14:textId="2969A33C" w:rsidR="001B4989" w:rsidRPr="001B4989" w:rsidRDefault="001B4989" w:rsidP="001B4989">
            <w:pPr>
              <w:jc w:val="center"/>
              <w:rPr>
                <w:rFonts w:ascii="Arial Narrow" w:hAnsi="Arial Narrow" w:cs="Calibri"/>
                <w:b/>
                <w:color w:val="000000"/>
                <w:sz w:val="20"/>
                <w:szCs w:val="20"/>
              </w:rPr>
            </w:pPr>
            <w:r w:rsidRPr="001B4989">
              <w:rPr>
                <w:rFonts w:ascii="Arial Narrow" w:hAnsi="Arial Narrow" w:cs="Calibri"/>
                <w:b/>
                <w:color w:val="000000"/>
                <w:sz w:val="20"/>
                <w:szCs w:val="20"/>
              </w:rPr>
              <w:t>14</w:t>
            </w:r>
          </w:p>
        </w:tc>
        <w:tc>
          <w:tcPr>
            <w:tcW w:w="3600" w:type="dxa"/>
            <w:vAlign w:val="center"/>
          </w:tcPr>
          <w:p w14:paraId="24037523" w14:textId="77777777" w:rsidR="001B4989" w:rsidRPr="001B4989" w:rsidRDefault="001B4989" w:rsidP="001B4989">
            <w:pPr>
              <w:jc w:val="left"/>
              <w:rPr>
                <w:rFonts w:ascii="Arial Narrow" w:hAnsi="Arial Narrow"/>
                <w:b/>
                <w:color w:val="000000"/>
                <w:sz w:val="20"/>
                <w:szCs w:val="20"/>
                <w:highlight w:val="yellow"/>
              </w:rPr>
            </w:pPr>
          </w:p>
        </w:tc>
      </w:tr>
    </w:tbl>
    <w:p w14:paraId="1617DD02" w14:textId="77777777" w:rsidR="008A1F50" w:rsidRPr="007A0C83" w:rsidRDefault="008A1F50" w:rsidP="005E4B50">
      <w:pPr>
        <w:pStyle w:val="BlockText"/>
        <w:spacing w:before="0" w:after="0" w:line="240" w:lineRule="auto"/>
        <w:rPr>
          <w:highlight w:val="yellow"/>
        </w:rPr>
      </w:pPr>
    </w:p>
    <w:p w14:paraId="2C864323" w14:textId="77777777" w:rsidR="008A1F50" w:rsidRPr="0061256D" w:rsidRDefault="008A1F50" w:rsidP="00B32C1C">
      <w:pPr>
        <w:pStyle w:val="Heading2"/>
      </w:pPr>
      <w:bookmarkStart w:id="247" w:name="_Toc162948200"/>
      <w:r w:rsidRPr="0061256D">
        <w:t>Ammonia</w:t>
      </w:r>
      <w:bookmarkEnd w:id="247"/>
    </w:p>
    <w:p w14:paraId="35CA630B" w14:textId="601ED1C5" w:rsidR="008A1F50" w:rsidRPr="0061256D" w:rsidRDefault="008A1F50" w:rsidP="008A1F50">
      <w:pPr>
        <w:pStyle w:val="BlockText"/>
      </w:pPr>
      <w:r w:rsidRPr="0061256D">
        <w:fldChar w:fldCharType="begin"/>
      </w:r>
      <w:r w:rsidRPr="0061256D">
        <w:instrText xml:space="preserve"> REF _Ref50647913 \h  \* MERGEFORMAT </w:instrText>
      </w:r>
      <w:r w:rsidRPr="0061256D">
        <w:fldChar w:fldCharType="separate"/>
      </w:r>
      <w:r w:rsidR="004A78BF" w:rsidRPr="0061256D">
        <w:t xml:space="preserve">Table </w:t>
      </w:r>
      <w:r w:rsidR="004A78BF">
        <w:rPr>
          <w:noProof/>
        </w:rPr>
        <w:t>40</w:t>
      </w:r>
      <w:r w:rsidRPr="0061256D">
        <w:fldChar w:fldCharType="end"/>
      </w:r>
      <w:r w:rsidRPr="0061256D">
        <w:t xml:space="preserve"> shows the causal analysis results for ammonia</w:t>
      </w:r>
      <w:r w:rsidR="0061256D">
        <w:t>.</w:t>
      </w:r>
      <w:r w:rsidRPr="0061256D">
        <w:t xml:space="preserve"> Total causal analysis scores </w:t>
      </w:r>
      <w:r w:rsidR="00016EF2">
        <w:t>ranged from -16 to -13</w:t>
      </w:r>
      <w:r w:rsidR="006A06F0">
        <w:t xml:space="preserve">, indicating </w:t>
      </w:r>
      <w:r w:rsidRPr="0061256D">
        <w:t xml:space="preserve">that there is strong evidence that ammonia is </w:t>
      </w:r>
      <w:r w:rsidR="0061256D">
        <w:t xml:space="preserve">a non-stressor </w:t>
      </w:r>
      <w:r w:rsidRPr="0061256D">
        <w:t xml:space="preserve">in </w:t>
      </w:r>
      <w:r w:rsidR="006A06F0">
        <w:t xml:space="preserve">Roanoke River Project </w:t>
      </w:r>
      <w:r w:rsidRPr="0061256D">
        <w:t>streams. All samples were well below the water quality standard for ammonia</w:t>
      </w:r>
      <w:r w:rsidR="00016EF2">
        <w:t>, and ammonia was not correlated with benthic health across sites</w:t>
      </w:r>
      <w:r w:rsidRPr="0061256D">
        <w:t xml:space="preserve">. </w:t>
      </w:r>
      <w:r w:rsidR="00016EF2">
        <w:t xml:space="preserve">Ammonia levels were also generally higher in the late summer, but benthic scores were lower in the spring. </w:t>
      </w:r>
      <w:r w:rsidR="00AE674D">
        <w:t>For th</w:t>
      </w:r>
      <w:r w:rsidR="00016EF2">
        <w:t>ese</w:t>
      </w:r>
      <w:r w:rsidR="00AE674D">
        <w:t xml:space="preserve"> reason</w:t>
      </w:r>
      <w:r w:rsidR="00016EF2">
        <w:t>s</w:t>
      </w:r>
      <w:r w:rsidR="00AE674D">
        <w:t xml:space="preserve"> and others </w:t>
      </w:r>
      <w:r w:rsidRPr="0061256D">
        <w:t xml:space="preserve">explained in </w:t>
      </w:r>
      <w:r w:rsidRPr="0061256D">
        <w:fldChar w:fldCharType="begin"/>
      </w:r>
      <w:r w:rsidRPr="0061256D">
        <w:instrText xml:space="preserve"> REF _Ref50647913 \h  \* MERGEFORMAT </w:instrText>
      </w:r>
      <w:r w:rsidRPr="0061256D">
        <w:fldChar w:fldCharType="separate"/>
      </w:r>
      <w:r w:rsidR="004A78BF" w:rsidRPr="0061256D">
        <w:t xml:space="preserve">Table </w:t>
      </w:r>
      <w:r w:rsidR="004A78BF">
        <w:rPr>
          <w:noProof/>
        </w:rPr>
        <w:t>40</w:t>
      </w:r>
      <w:r w:rsidRPr="0061256D">
        <w:fldChar w:fldCharType="end"/>
      </w:r>
      <w:r w:rsidRPr="0061256D">
        <w:t xml:space="preserve">, ammonia was categorized as a non-stressor in </w:t>
      </w:r>
      <w:r w:rsidR="00016EF2">
        <w:t>Roanoke River Project s</w:t>
      </w:r>
      <w:r w:rsidR="00AE674D">
        <w:t>treams</w:t>
      </w:r>
      <w:r w:rsidRPr="0061256D">
        <w:t xml:space="preserve">. </w:t>
      </w:r>
    </w:p>
    <w:p w14:paraId="304661DB" w14:textId="77777777" w:rsidR="008A1F50" w:rsidRPr="0061256D" w:rsidRDefault="008A1F50" w:rsidP="008A1F50">
      <w:pPr>
        <w:pStyle w:val="Caption"/>
      </w:pPr>
    </w:p>
    <w:p w14:paraId="1724E5A1" w14:textId="58350B0A" w:rsidR="008A1F50" w:rsidRPr="0061256D" w:rsidRDefault="008A1F50" w:rsidP="008A1F50">
      <w:pPr>
        <w:pStyle w:val="Caption"/>
      </w:pPr>
      <w:bookmarkStart w:id="248" w:name="_Ref50647913"/>
      <w:bookmarkStart w:id="249" w:name="_Toc162948307"/>
      <w:r w:rsidRPr="0061256D">
        <w:t xml:space="preserve">Table </w:t>
      </w:r>
      <w:r w:rsidRPr="0061256D">
        <w:rPr>
          <w:noProof/>
        </w:rPr>
        <w:fldChar w:fldCharType="begin"/>
      </w:r>
      <w:r w:rsidRPr="0061256D">
        <w:rPr>
          <w:noProof/>
        </w:rPr>
        <w:instrText xml:space="preserve"> SEQ Table \* ARABIC </w:instrText>
      </w:r>
      <w:r w:rsidRPr="0061256D">
        <w:rPr>
          <w:noProof/>
        </w:rPr>
        <w:fldChar w:fldCharType="separate"/>
      </w:r>
      <w:r w:rsidR="004A78BF">
        <w:rPr>
          <w:noProof/>
        </w:rPr>
        <w:t>40</w:t>
      </w:r>
      <w:r w:rsidRPr="0061256D">
        <w:rPr>
          <w:noProof/>
        </w:rPr>
        <w:fldChar w:fldCharType="end"/>
      </w:r>
      <w:bookmarkEnd w:id="248"/>
      <w:r w:rsidRPr="0061256D">
        <w:t>. Causal analysis results for ammonia.</w:t>
      </w:r>
      <w:bookmarkEnd w:id="249"/>
    </w:p>
    <w:tbl>
      <w:tblPr>
        <w:tblW w:w="9457"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7"/>
        <w:gridCol w:w="720"/>
        <w:gridCol w:w="720"/>
        <w:gridCol w:w="990"/>
        <w:gridCol w:w="990"/>
        <w:gridCol w:w="3600"/>
      </w:tblGrid>
      <w:tr w:rsidR="00250E0C" w:rsidRPr="007A0C83" w14:paraId="7A2D8F85" w14:textId="77777777" w:rsidTr="002D647C">
        <w:trPr>
          <w:cantSplit/>
          <w:trHeight w:val="1080"/>
        </w:trPr>
        <w:tc>
          <w:tcPr>
            <w:tcW w:w="2437" w:type="dxa"/>
            <w:shd w:val="clear" w:color="auto" w:fill="D9D9D9" w:themeFill="background1" w:themeFillShade="D9"/>
            <w:vAlign w:val="center"/>
          </w:tcPr>
          <w:p w14:paraId="1F58B0FF" w14:textId="77777777" w:rsidR="00250E0C" w:rsidRPr="00396EC1" w:rsidRDefault="00250E0C" w:rsidP="002D647C">
            <w:pPr>
              <w:jc w:val="center"/>
              <w:rPr>
                <w:rFonts w:ascii="Arial Narrow" w:hAnsi="Arial Narrow"/>
                <w:b/>
                <w:sz w:val="20"/>
                <w:szCs w:val="20"/>
              </w:rPr>
            </w:pPr>
            <w:r w:rsidRPr="00396EC1">
              <w:rPr>
                <w:rFonts w:ascii="Arial Narrow" w:hAnsi="Arial Narrow"/>
                <w:b/>
                <w:sz w:val="20"/>
                <w:szCs w:val="20"/>
              </w:rPr>
              <w:t>Evidence</w:t>
            </w:r>
          </w:p>
        </w:tc>
        <w:tc>
          <w:tcPr>
            <w:tcW w:w="720" w:type="dxa"/>
            <w:shd w:val="clear" w:color="auto" w:fill="D9D9D9" w:themeFill="background1" w:themeFillShade="D9"/>
            <w:vAlign w:val="center"/>
          </w:tcPr>
          <w:p w14:paraId="288AF982" w14:textId="77777777" w:rsidR="00250E0C" w:rsidRPr="00396EC1" w:rsidRDefault="00250E0C" w:rsidP="002D647C">
            <w:pPr>
              <w:jc w:val="center"/>
              <w:rPr>
                <w:rFonts w:ascii="Arial Narrow" w:hAnsi="Arial Narrow"/>
                <w:b/>
                <w:sz w:val="20"/>
                <w:szCs w:val="20"/>
              </w:rPr>
            </w:pPr>
            <w:r>
              <w:rPr>
                <w:rFonts w:ascii="Arial Narrow" w:hAnsi="Arial Narrow"/>
                <w:b/>
                <w:sz w:val="20"/>
                <w:szCs w:val="20"/>
              </w:rPr>
              <w:t>Wolf Creek</w:t>
            </w:r>
          </w:p>
        </w:tc>
        <w:tc>
          <w:tcPr>
            <w:tcW w:w="720" w:type="dxa"/>
            <w:shd w:val="clear" w:color="auto" w:fill="D9D9D9" w:themeFill="background1" w:themeFillShade="D9"/>
            <w:vAlign w:val="center"/>
          </w:tcPr>
          <w:p w14:paraId="7692C604" w14:textId="77777777" w:rsidR="00250E0C" w:rsidRPr="00396EC1" w:rsidRDefault="00250E0C" w:rsidP="002D647C">
            <w:pPr>
              <w:jc w:val="center"/>
              <w:rPr>
                <w:rFonts w:ascii="Arial Narrow" w:hAnsi="Arial Narrow"/>
                <w:b/>
                <w:sz w:val="20"/>
                <w:szCs w:val="20"/>
              </w:rPr>
            </w:pPr>
            <w:r>
              <w:rPr>
                <w:rFonts w:ascii="Arial Narrow" w:hAnsi="Arial Narrow"/>
                <w:b/>
                <w:sz w:val="20"/>
                <w:szCs w:val="20"/>
              </w:rPr>
              <w:t>Tinker Creek</w:t>
            </w:r>
          </w:p>
        </w:tc>
        <w:tc>
          <w:tcPr>
            <w:tcW w:w="990" w:type="dxa"/>
            <w:shd w:val="clear" w:color="auto" w:fill="D9D9D9" w:themeFill="background1" w:themeFillShade="D9"/>
            <w:vAlign w:val="center"/>
          </w:tcPr>
          <w:p w14:paraId="77C386D4" w14:textId="77777777" w:rsidR="00250E0C" w:rsidRPr="00396EC1" w:rsidRDefault="00250E0C" w:rsidP="002D647C">
            <w:pPr>
              <w:jc w:val="center"/>
              <w:rPr>
                <w:rFonts w:ascii="Arial Narrow" w:hAnsi="Arial Narrow"/>
                <w:b/>
                <w:sz w:val="20"/>
                <w:szCs w:val="20"/>
              </w:rPr>
            </w:pPr>
            <w:r>
              <w:rPr>
                <w:rFonts w:ascii="Arial Narrow" w:hAnsi="Arial Narrow"/>
                <w:b/>
                <w:sz w:val="20"/>
                <w:szCs w:val="20"/>
              </w:rPr>
              <w:t>Roanoke River (202.20)</w:t>
            </w:r>
          </w:p>
        </w:tc>
        <w:tc>
          <w:tcPr>
            <w:tcW w:w="990" w:type="dxa"/>
            <w:shd w:val="clear" w:color="auto" w:fill="D9D9D9" w:themeFill="background1" w:themeFillShade="D9"/>
            <w:vAlign w:val="center"/>
          </w:tcPr>
          <w:p w14:paraId="23186B21" w14:textId="77777777" w:rsidR="00250E0C" w:rsidRPr="00396EC1" w:rsidRDefault="00250E0C" w:rsidP="002D647C">
            <w:pPr>
              <w:jc w:val="center"/>
              <w:rPr>
                <w:rFonts w:ascii="Arial Narrow" w:hAnsi="Arial Narrow"/>
                <w:b/>
                <w:sz w:val="20"/>
                <w:szCs w:val="20"/>
              </w:rPr>
            </w:pPr>
            <w:r>
              <w:rPr>
                <w:rFonts w:ascii="Arial Narrow" w:hAnsi="Arial Narrow"/>
                <w:b/>
                <w:sz w:val="20"/>
                <w:szCs w:val="20"/>
              </w:rPr>
              <w:t>Roanoke River (198.08)</w:t>
            </w:r>
          </w:p>
        </w:tc>
        <w:tc>
          <w:tcPr>
            <w:tcW w:w="3600" w:type="dxa"/>
            <w:shd w:val="clear" w:color="auto" w:fill="D9D9D9" w:themeFill="background1" w:themeFillShade="D9"/>
            <w:vAlign w:val="center"/>
          </w:tcPr>
          <w:p w14:paraId="7AD28B0E" w14:textId="77777777" w:rsidR="00250E0C" w:rsidRPr="00613B31" w:rsidRDefault="00250E0C" w:rsidP="002D647C">
            <w:pPr>
              <w:jc w:val="center"/>
              <w:rPr>
                <w:rFonts w:ascii="Arial Narrow" w:hAnsi="Arial Narrow"/>
                <w:b/>
                <w:sz w:val="20"/>
                <w:szCs w:val="20"/>
              </w:rPr>
            </w:pPr>
            <w:r w:rsidRPr="00396EC1">
              <w:rPr>
                <w:rFonts w:ascii="Arial Narrow" w:hAnsi="Arial Narrow"/>
                <w:b/>
                <w:sz w:val="20"/>
                <w:szCs w:val="20"/>
              </w:rPr>
              <w:t>Explanation</w:t>
            </w:r>
          </w:p>
        </w:tc>
      </w:tr>
      <w:tr w:rsidR="002D647C" w:rsidRPr="007A0C83" w14:paraId="61123CB0" w14:textId="77777777" w:rsidTr="002D647C">
        <w:trPr>
          <w:trHeight w:val="247"/>
        </w:trPr>
        <w:tc>
          <w:tcPr>
            <w:tcW w:w="2437" w:type="dxa"/>
            <w:vAlign w:val="center"/>
          </w:tcPr>
          <w:p w14:paraId="40E7CFD6" w14:textId="5BA8DD47" w:rsidR="002D647C" w:rsidRPr="002D647C" w:rsidRDefault="002D647C" w:rsidP="002D647C">
            <w:pPr>
              <w:jc w:val="left"/>
              <w:rPr>
                <w:rFonts w:ascii="Arial Narrow" w:hAnsi="Arial Narrow"/>
                <w:sz w:val="20"/>
                <w:szCs w:val="20"/>
                <w:highlight w:val="yellow"/>
              </w:rPr>
            </w:pPr>
            <w:r w:rsidRPr="002D647C">
              <w:rPr>
                <w:rFonts w:ascii="Arial Narrow" w:hAnsi="Arial Narrow" w:cs="Calibri"/>
                <w:color w:val="000000"/>
                <w:sz w:val="20"/>
                <w:szCs w:val="20"/>
              </w:rPr>
              <w:t>Spatial Co-occurrence</w:t>
            </w:r>
          </w:p>
        </w:tc>
        <w:tc>
          <w:tcPr>
            <w:tcW w:w="720" w:type="dxa"/>
            <w:vAlign w:val="center"/>
          </w:tcPr>
          <w:p w14:paraId="181D1B96" w14:textId="76671619" w:rsidR="002D647C" w:rsidRPr="002D647C" w:rsidRDefault="002D647C" w:rsidP="002D647C">
            <w:pPr>
              <w:jc w:val="center"/>
              <w:rPr>
                <w:rFonts w:ascii="Arial Narrow" w:hAnsi="Arial Narrow" w:cs="Calibri"/>
                <w:color w:val="000000"/>
                <w:sz w:val="20"/>
                <w:szCs w:val="20"/>
              </w:rPr>
            </w:pPr>
            <w:r w:rsidRPr="002D647C">
              <w:rPr>
                <w:rFonts w:ascii="Arial Narrow" w:hAnsi="Arial Narrow" w:cs="Calibri"/>
                <w:color w:val="000000"/>
                <w:sz w:val="20"/>
                <w:szCs w:val="20"/>
              </w:rPr>
              <w:t>-3</w:t>
            </w:r>
          </w:p>
        </w:tc>
        <w:tc>
          <w:tcPr>
            <w:tcW w:w="720" w:type="dxa"/>
            <w:vAlign w:val="center"/>
          </w:tcPr>
          <w:p w14:paraId="2FB810FA" w14:textId="64F55676" w:rsidR="002D647C" w:rsidRPr="002D647C" w:rsidRDefault="002D647C" w:rsidP="002D647C">
            <w:pPr>
              <w:jc w:val="center"/>
              <w:rPr>
                <w:rFonts w:ascii="Arial Narrow" w:hAnsi="Arial Narrow" w:cs="Calibri"/>
                <w:color w:val="000000"/>
                <w:sz w:val="20"/>
                <w:szCs w:val="20"/>
              </w:rPr>
            </w:pPr>
            <w:r w:rsidRPr="002D647C">
              <w:rPr>
                <w:rFonts w:ascii="Arial Narrow" w:hAnsi="Arial Narrow" w:cs="Calibri"/>
                <w:color w:val="000000"/>
                <w:sz w:val="20"/>
                <w:szCs w:val="20"/>
              </w:rPr>
              <w:t>-3</w:t>
            </w:r>
          </w:p>
        </w:tc>
        <w:tc>
          <w:tcPr>
            <w:tcW w:w="990" w:type="dxa"/>
            <w:vAlign w:val="center"/>
          </w:tcPr>
          <w:p w14:paraId="4370053C" w14:textId="0CD89C11" w:rsidR="002D647C" w:rsidRPr="002D647C" w:rsidRDefault="002D647C" w:rsidP="002D647C">
            <w:pPr>
              <w:jc w:val="center"/>
              <w:rPr>
                <w:rFonts w:ascii="Arial Narrow" w:hAnsi="Arial Narrow" w:cs="Calibri"/>
                <w:color w:val="000000"/>
                <w:sz w:val="20"/>
                <w:szCs w:val="20"/>
              </w:rPr>
            </w:pPr>
            <w:r w:rsidRPr="002D647C">
              <w:rPr>
                <w:rFonts w:ascii="Arial Narrow" w:hAnsi="Arial Narrow" w:cs="Calibri"/>
                <w:color w:val="000000"/>
                <w:sz w:val="20"/>
                <w:szCs w:val="20"/>
              </w:rPr>
              <w:t>-3</w:t>
            </w:r>
          </w:p>
        </w:tc>
        <w:tc>
          <w:tcPr>
            <w:tcW w:w="990" w:type="dxa"/>
            <w:vAlign w:val="center"/>
          </w:tcPr>
          <w:p w14:paraId="3B85B466" w14:textId="1967AA69" w:rsidR="002D647C" w:rsidRPr="002D647C" w:rsidRDefault="002D647C" w:rsidP="002D647C">
            <w:pPr>
              <w:jc w:val="center"/>
              <w:rPr>
                <w:rFonts w:ascii="Arial Narrow" w:hAnsi="Arial Narrow"/>
                <w:color w:val="000000"/>
                <w:sz w:val="20"/>
                <w:szCs w:val="20"/>
                <w:highlight w:val="yellow"/>
              </w:rPr>
            </w:pPr>
            <w:r w:rsidRPr="002D647C">
              <w:rPr>
                <w:rFonts w:ascii="Arial Narrow" w:hAnsi="Arial Narrow" w:cs="Calibri"/>
                <w:color w:val="000000"/>
                <w:sz w:val="20"/>
                <w:szCs w:val="20"/>
              </w:rPr>
              <w:t>-3</w:t>
            </w:r>
          </w:p>
        </w:tc>
        <w:tc>
          <w:tcPr>
            <w:tcW w:w="3600" w:type="dxa"/>
            <w:vAlign w:val="center"/>
          </w:tcPr>
          <w:p w14:paraId="13669296" w14:textId="7F4961E0" w:rsidR="002D647C" w:rsidRPr="002D647C" w:rsidRDefault="002D647C" w:rsidP="002D647C">
            <w:pPr>
              <w:jc w:val="left"/>
              <w:rPr>
                <w:rFonts w:ascii="Arial Narrow" w:hAnsi="Arial Narrow"/>
                <w:color w:val="000000"/>
                <w:sz w:val="20"/>
                <w:szCs w:val="20"/>
                <w:highlight w:val="yellow"/>
              </w:rPr>
            </w:pPr>
            <w:r w:rsidRPr="002D647C">
              <w:rPr>
                <w:rFonts w:ascii="Arial Narrow" w:hAnsi="Arial Narrow" w:cs="Calibri"/>
                <w:color w:val="000000"/>
                <w:sz w:val="20"/>
                <w:szCs w:val="20"/>
              </w:rPr>
              <w:t>In all streams, SCI scores were impaired, but ammonia values were below water quality standards.</w:t>
            </w:r>
          </w:p>
        </w:tc>
      </w:tr>
      <w:tr w:rsidR="002D647C" w:rsidRPr="007A0C83" w14:paraId="1C8FDAE8" w14:textId="77777777" w:rsidTr="002D647C">
        <w:trPr>
          <w:trHeight w:val="247"/>
        </w:trPr>
        <w:tc>
          <w:tcPr>
            <w:tcW w:w="2437" w:type="dxa"/>
            <w:vAlign w:val="center"/>
          </w:tcPr>
          <w:p w14:paraId="13AF0E9F" w14:textId="622C85BC" w:rsidR="002D647C" w:rsidRPr="002D647C" w:rsidRDefault="002D647C" w:rsidP="002D647C">
            <w:pPr>
              <w:jc w:val="left"/>
              <w:rPr>
                <w:rFonts w:ascii="Arial Narrow" w:hAnsi="Arial Narrow"/>
                <w:sz w:val="20"/>
                <w:szCs w:val="20"/>
                <w:highlight w:val="yellow"/>
              </w:rPr>
            </w:pPr>
            <w:r w:rsidRPr="002D647C">
              <w:rPr>
                <w:rFonts w:ascii="Arial Narrow" w:hAnsi="Arial Narrow" w:cs="Calibri"/>
                <w:color w:val="000000"/>
                <w:sz w:val="20"/>
                <w:szCs w:val="20"/>
              </w:rPr>
              <w:t>Temporal Co-occurrence</w:t>
            </w:r>
          </w:p>
        </w:tc>
        <w:tc>
          <w:tcPr>
            <w:tcW w:w="720" w:type="dxa"/>
            <w:vAlign w:val="center"/>
          </w:tcPr>
          <w:p w14:paraId="3DD0A5B4" w14:textId="3E61871F" w:rsidR="002D647C" w:rsidRPr="002D647C" w:rsidRDefault="002D647C" w:rsidP="002D647C">
            <w:pPr>
              <w:jc w:val="center"/>
              <w:rPr>
                <w:rFonts w:ascii="Arial Narrow" w:hAnsi="Arial Narrow" w:cs="Calibri"/>
                <w:color w:val="000000"/>
                <w:sz w:val="20"/>
                <w:szCs w:val="20"/>
              </w:rPr>
            </w:pPr>
            <w:r w:rsidRPr="002D647C">
              <w:rPr>
                <w:rFonts w:ascii="Arial Narrow" w:hAnsi="Arial Narrow" w:cs="Calibri"/>
                <w:color w:val="000000"/>
                <w:sz w:val="20"/>
                <w:szCs w:val="20"/>
              </w:rPr>
              <w:t>-1</w:t>
            </w:r>
          </w:p>
        </w:tc>
        <w:tc>
          <w:tcPr>
            <w:tcW w:w="720" w:type="dxa"/>
            <w:vAlign w:val="center"/>
          </w:tcPr>
          <w:p w14:paraId="0871D039" w14:textId="3A509DFA" w:rsidR="002D647C" w:rsidRPr="002D647C" w:rsidRDefault="002D647C" w:rsidP="002D647C">
            <w:pPr>
              <w:jc w:val="center"/>
              <w:rPr>
                <w:rFonts w:ascii="Arial Narrow" w:hAnsi="Arial Narrow" w:cs="Calibri"/>
                <w:color w:val="000000"/>
                <w:sz w:val="20"/>
                <w:szCs w:val="20"/>
              </w:rPr>
            </w:pPr>
            <w:r w:rsidRPr="002D647C">
              <w:rPr>
                <w:rFonts w:ascii="Arial Narrow" w:hAnsi="Arial Narrow" w:cs="Calibri"/>
                <w:color w:val="000000"/>
                <w:sz w:val="20"/>
                <w:szCs w:val="20"/>
              </w:rPr>
              <w:t>-1</w:t>
            </w:r>
          </w:p>
        </w:tc>
        <w:tc>
          <w:tcPr>
            <w:tcW w:w="990" w:type="dxa"/>
            <w:vAlign w:val="center"/>
          </w:tcPr>
          <w:p w14:paraId="114DC86B" w14:textId="6239F451" w:rsidR="002D647C" w:rsidRPr="002D647C" w:rsidRDefault="002D647C" w:rsidP="002D647C">
            <w:pPr>
              <w:jc w:val="center"/>
              <w:rPr>
                <w:rFonts w:ascii="Arial Narrow" w:hAnsi="Arial Narrow" w:cs="Calibri"/>
                <w:color w:val="000000"/>
                <w:sz w:val="20"/>
                <w:szCs w:val="20"/>
              </w:rPr>
            </w:pPr>
            <w:r w:rsidRPr="002D647C">
              <w:rPr>
                <w:rFonts w:ascii="Arial Narrow" w:hAnsi="Arial Narrow" w:cs="Calibri"/>
                <w:color w:val="000000"/>
                <w:sz w:val="20"/>
                <w:szCs w:val="20"/>
              </w:rPr>
              <w:t>-1</w:t>
            </w:r>
          </w:p>
        </w:tc>
        <w:tc>
          <w:tcPr>
            <w:tcW w:w="990" w:type="dxa"/>
            <w:vAlign w:val="center"/>
          </w:tcPr>
          <w:p w14:paraId="700E5CB4" w14:textId="21EF6ABE" w:rsidR="002D647C" w:rsidRPr="002D647C" w:rsidRDefault="002D647C" w:rsidP="002D647C">
            <w:pPr>
              <w:jc w:val="center"/>
              <w:rPr>
                <w:rFonts w:ascii="Arial Narrow" w:hAnsi="Arial Narrow"/>
                <w:color w:val="000000"/>
                <w:sz w:val="20"/>
                <w:szCs w:val="20"/>
                <w:highlight w:val="yellow"/>
              </w:rPr>
            </w:pPr>
            <w:r w:rsidRPr="002D647C">
              <w:rPr>
                <w:rFonts w:ascii="Arial Narrow" w:hAnsi="Arial Narrow" w:cs="Calibri"/>
                <w:color w:val="000000"/>
                <w:sz w:val="20"/>
                <w:szCs w:val="20"/>
              </w:rPr>
              <w:t>-1</w:t>
            </w:r>
          </w:p>
        </w:tc>
        <w:tc>
          <w:tcPr>
            <w:tcW w:w="3600" w:type="dxa"/>
            <w:vAlign w:val="center"/>
          </w:tcPr>
          <w:p w14:paraId="72074931" w14:textId="13630475" w:rsidR="002D647C" w:rsidRPr="002D647C" w:rsidRDefault="002D647C" w:rsidP="002D647C">
            <w:pPr>
              <w:jc w:val="left"/>
              <w:rPr>
                <w:rFonts w:ascii="Arial Narrow" w:hAnsi="Arial Narrow"/>
                <w:color w:val="000000"/>
                <w:sz w:val="20"/>
                <w:szCs w:val="20"/>
                <w:highlight w:val="yellow"/>
              </w:rPr>
            </w:pPr>
            <w:r w:rsidRPr="002D647C">
              <w:rPr>
                <w:rFonts w:ascii="Arial Narrow" w:hAnsi="Arial Narrow" w:cs="Calibri"/>
                <w:color w:val="000000"/>
                <w:sz w:val="20"/>
                <w:szCs w:val="20"/>
              </w:rPr>
              <w:t xml:space="preserve">At or near the time of benthic sample collection, ammonia levels were below water quality standards in each of the impaired streams. </w:t>
            </w:r>
          </w:p>
        </w:tc>
      </w:tr>
      <w:tr w:rsidR="002D647C" w:rsidRPr="007A0C83" w14:paraId="1D3C7E5E" w14:textId="77777777" w:rsidTr="002D647C">
        <w:trPr>
          <w:trHeight w:val="247"/>
        </w:trPr>
        <w:tc>
          <w:tcPr>
            <w:tcW w:w="2437" w:type="dxa"/>
            <w:vAlign w:val="center"/>
          </w:tcPr>
          <w:p w14:paraId="5C3D24A3" w14:textId="5B00B8C1" w:rsidR="002D647C" w:rsidRPr="002D647C" w:rsidRDefault="002D647C" w:rsidP="002D647C">
            <w:pPr>
              <w:jc w:val="left"/>
              <w:rPr>
                <w:rFonts w:ascii="Arial Narrow" w:hAnsi="Arial Narrow"/>
                <w:sz w:val="20"/>
                <w:szCs w:val="20"/>
                <w:highlight w:val="yellow"/>
              </w:rPr>
            </w:pPr>
            <w:r w:rsidRPr="002D647C">
              <w:rPr>
                <w:rFonts w:ascii="Arial Narrow" w:hAnsi="Arial Narrow" w:cs="Calibri"/>
                <w:color w:val="000000"/>
                <w:sz w:val="20"/>
                <w:szCs w:val="20"/>
              </w:rPr>
              <w:t>Stressor-Response Relationships from the Field</w:t>
            </w:r>
          </w:p>
        </w:tc>
        <w:tc>
          <w:tcPr>
            <w:tcW w:w="720" w:type="dxa"/>
            <w:vAlign w:val="center"/>
          </w:tcPr>
          <w:p w14:paraId="30B35EA7" w14:textId="74B31561" w:rsidR="002D647C" w:rsidRPr="002D647C" w:rsidRDefault="002D647C" w:rsidP="002D647C">
            <w:pPr>
              <w:jc w:val="center"/>
              <w:rPr>
                <w:rFonts w:ascii="Arial Narrow" w:hAnsi="Arial Narrow" w:cs="Calibri"/>
                <w:color w:val="000000"/>
                <w:sz w:val="20"/>
                <w:szCs w:val="20"/>
              </w:rPr>
            </w:pPr>
            <w:r w:rsidRPr="002D647C">
              <w:rPr>
                <w:rFonts w:ascii="Arial Narrow" w:hAnsi="Arial Narrow" w:cs="Calibri"/>
                <w:color w:val="000000"/>
                <w:sz w:val="20"/>
                <w:szCs w:val="20"/>
              </w:rPr>
              <w:t>-2</w:t>
            </w:r>
          </w:p>
        </w:tc>
        <w:tc>
          <w:tcPr>
            <w:tcW w:w="720" w:type="dxa"/>
            <w:vAlign w:val="center"/>
          </w:tcPr>
          <w:p w14:paraId="6C42F38C" w14:textId="0DAD9613" w:rsidR="002D647C" w:rsidRPr="002D647C" w:rsidRDefault="002D647C" w:rsidP="002D647C">
            <w:pPr>
              <w:jc w:val="center"/>
              <w:rPr>
                <w:rFonts w:ascii="Arial Narrow" w:hAnsi="Arial Narrow" w:cs="Calibri"/>
                <w:color w:val="000000"/>
                <w:sz w:val="20"/>
                <w:szCs w:val="20"/>
              </w:rPr>
            </w:pPr>
            <w:r w:rsidRPr="002D647C">
              <w:rPr>
                <w:rFonts w:ascii="Arial Narrow" w:hAnsi="Arial Narrow" w:cs="Calibri"/>
                <w:color w:val="000000"/>
                <w:sz w:val="20"/>
                <w:szCs w:val="20"/>
              </w:rPr>
              <w:t>-2</w:t>
            </w:r>
          </w:p>
        </w:tc>
        <w:tc>
          <w:tcPr>
            <w:tcW w:w="990" w:type="dxa"/>
            <w:vAlign w:val="center"/>
          </w:tcPr>
          <w:p w14:paraId="5F863B9E" w14:textId="0BF12FAA" w:rsidR="002D647C" w:rsidRPr="002D647C" w:rsidRDefault="002D647C" w:rsidP="002D647C">
            <w:pPr>
              <w:jc w:val="center"/>
              <w:rPr>
                <w:rFonts w:ascii="Arial Narrow" w:hAnsi="Arial Narrow" w:cs="Calibri"/>
                <w:color w:val="000000"/>
                <w:sz w:val="20"/>
                <w:szCs w:val="20"/>
              </w:rPr>
            </w:pPr>
            <w:r w:rsidRPr="002D647C">
              <w:rPr>
                <w:rFonts w:ascii="Arial Narrow" w:hAnsi="Arial Narrow" w:cs="Calibri"/>
                <w:color w:val="000000"/>
                <w:sz w:val="20"/>
                <w:szCs w:val="20"/>
              </w:rPr>
              <w:t>-2</w:t>
            </w:r>
          </w:p>
        </w:tc>
        <w:tc>
          <w:tcPr>
            <w:tcW w:w="990" w:type="dxa"/>
            <w:vAlign w:val="center"/>
          </w:tcPr>
          <w:p w14:paraId="3BA9FCAF" w14:textId="26F1CA18" w:rsidR="002D647C" w:rsidRPr="002D647C" w:rsidRDefault="002D647C" w:rsidP="002D647C">
            <w:pPr>
              <w:jc w:val="center"/>
              <w:rPr>
                <w:rFonts w:ascii="Arial Narrow" w:hAnsi="Arial Narrow"/>
                <w:color w:val="000000"/>
                <w:sz w:val="20"/>
                <w:szCs w:val="20"/>
                <w:highlight w:val="yellow"/>
              </w:rPr>
            </w:pPr>
            <w:r w:rsidRPr="002D647C">
              <w:rPr>
                <w:rFonts w:ascii="Arial Narrow" w:hAnsi="Arial Narrow" w:cs="Calibri"/>
                <w:color w:val="000000"/>
                <w:sz w:val="20"/>
                <w:szCs w:val="20"/>
              </w:rPr>
              <w:t>-2</w:t>
            </w:r>
          </w:p>
        </w:tc>
        <w:tc>
          <w:tcPr>
            <w:tcW w:w="3600" w:type="dxa"/>
            <w:vAlign w:val="center"/>
          </w:tcPr>
          <w:p w14:paraId="034F88B7" w14:textId="2CADE75F" w:rsidR="002D647C" w:rsidRPr="002D647C" w:rsidRDefault="002D647C" w:rsidP="002D647C">
            <w:pPr>
              <w:jc w:val="left"/>
              <w:rPr>
                <w:rFonts w:ascii="Arial Narrow" w:hAnsi="Arial Narrow"/>
                <w:color w:val="000000"/>
                <w:sz w:val="20"/>
                <w:szCs w:val="20"/>
                <w:highlight w:val="yellow"/>
              </w:rPr>
            </w:pPr>
            <w:r w:rsidRPr="002D647C">
              <w:rPr>
                <w:rFonts w:ascii="Arial Narrow" w:hAnsi="Arial Narrow" w:cs="Calibri"/>
                <w:color w:val="000000"/>
                <w:sz w:val="20"/>
                <w:szCs w:val="20"/>
              </w:rPr>
              <w:t>Ammonia was not significantly correlated with benthic health across sites.</w:t>
            </w:r>
          </w:p>
        </w:tc>
      </w:tr>
      <w:tr w:rsidR="002D647C" w:rsidRPr="007A0C83" w14:paraId="7027B59F" w14:textId="77777777" w:rsidTr="002D647C">
        <w:trPr>
          <w:trHeight w:val="247"/>
        </w:trPr>
        <w:tc>
          <w:tcPr>
            <w:tcW w:w="2437" w:type="dxa"/>
            <w:vAlign w:val="center"/>
          </w:tcPr>
          <w:p w14:paraId="34C8A43C" w14:textId="4AE30483" w:rsidR="002D647C" w:rsidRPr="002D647C" w:rsidRDefault="002D647C" w:rsidP="002D647C">
            <w:pPr>
              <w:jc w:val="left"/>
              <w:rPr>
                <w:rFonts w:ascii="Arial Narrow" w:hAnsi="Arial Narrow" w:cs="Calibri"/>
                <w:b/>
                <w:bCs/>
                <w:color w:val="000000"/>
                <w:sz w:val="20"/>
                <w:szCs w:val="20"/>
                <w:highlight w:val="yellow"/>
              </w:rPr>
            </w:pPr>
            <w:r w:rsidRPr="002D647C">
              <w:rPr>
                <w:rFonts w:ascii="Arial Narrow" w:hAnsi="Arial Narrow" w:cs="Calibri"/>
                <w:color w:val="000000"/>
                <w:sz w:val="20"/>
                <w:szCs w:val="20"/>
              </w:rPr>
              <w:t>Laboratory Tests of Site Media</w:t>
            </w:r>
          </w:p>
        </w:tc>
        <w:tc>
          <w:tcPr>
            <w:tcW w:w="720" w:type="dxa"/>
            <w:vAlign w:val="center"/>
          </w:tcPr>
          <w:p w14:paraId="1051523D" w14:textId="0230FABF" w:rsidR="002D647C" w:rsidRPr="002D647C" w:rsidRDefault="002D647C" w:rsidP="002D647C">
            <w:pPr>
              <w:jc w:val="center"/>
              <w:rPr>
                <w:rFonts w:ascii="Arial Narrow" w:hAnsi="Arial Narrow" w:cs="Calibri"/>
                <w:color w:val="000000"/>
                <w:sz w:val="20"/>
                <w:szCs w:val="20"/>
              </w:rPr>
            </w:pPr>
            <w:r w:rsidRPr="002D647C">
              <w:rPr>
                <w:rFonts w:ascii="Arial Narrow" w:hAnsi="Arial Narrow" w:cs="Calibri"/>
                <w:color w:val="000000"/>
                <w:sz w:val="20"/>
                <w:szCs w:val="20"/>
              </w:rPr>
              <w:t>0</w:t>
            </w:r>
          </w:p>
        </w:tc>
        <w:tc>
          <w:tcPr>
            <w:tcW w:w="720" w:type="dxa"/>
            <w:vAlign w:val="center"/>
          </w:tcPr>
          <w:p w14:paraId="1ACCA9BB" w14:textId="2C102D1B" w:rsidR="002D647C" w:rsidRPr="002D647C" w:rsidRDefault="002D647C" w:rsidP="002D647C">
            <w:pPr>
              <w:jc w:val="center"/>
              <w:rPr>
                <w:rFonts w:ascii="Arial Narrow" w:hAnsi="Arial Narrow" w:cs="Calibri"/>
                <w:color w:val="000000"/>
                <w:sz w:val="20"/>
                <w:szCs w:val="20"/>
              </w:rPr>
            </w:pPr>
            <w:r w:rsidRPr="002D647C">
              <w:rPr>
                <w:rFonts w:ascii="Arial Narrow" w:hAnsi="Arial Narrow" w:cs="Calibri"/>
                <w:color w:val="000000"/>
                <w:sz w:val="20"/>
                <w:szCs w:val="20"/>
              </w:rPr>
              <w:t>0</w:t>
            </w:r>
          </w:p>
        </w:tc>
        <w:tc>
          <w:tcPr>
            <w:tcW w:w="990" w:type="dxa"/>
            <w:vAlign w:val="center"/>
          </w:tcPr>
          <w:p w14:paraId="38982DEC" w14:textId="039F35BD" w:rsidR="002D647C" w:rsidRPr="002D647C" w:rsidRDefault="002D647C" w:rsidP="002D647C">
            <w:pPr>
              <w:jc w:val="center"/>
              <w:rPr>
                <w:rFonts w:ascii="Arial Narrow" w:hAnsi="Arial Narrow" w:cs="Calibri"/>
                <w:color w:val="000000"/>
                <w:sz w:val="20"/>
                <w:szCs w:val="20"/>
              </w:rPr>
            </w:pPr>
            <w:r w:rsidRPr="002D647C">
              <w:rPr>
                <w:rFonts w:ascii="Arial Narrow" w:hAnsi="Arial Narrow" w:cs="Calibri"/>
                <w:color w:val="000000"/>
                <w:sz w:val="20"/>
                <w:szCs w:val="20"/>
              </w:rPr>
              <w:t>-2</w:t>
            </w:r>
          </w:p>
        </w:tc>
        <w:tc>
          <w:tcPr>
            <w:tcW w:w="990" w:type="dxa"/>
            <w:vAlign w:val="center"/>
          </w:tcPr>
          <w:p w14:paraId="4126790C" w14:textId="0DDD3E5F" w:rsidR="002D647C" w:rsidRPr="002D647C" w:rsidRDefault="002D647C" w:rsidP="002D647C">
            <w:pPr>
              <w:jc w:val="center"/>
              <w:rPr>
                <w:rFonts w:ascii="Arial Narrow" w:hAnsi="Arial Narrow" w:cs="Calibri"/>
                <w:b/>
                <w:color w:val="000000"/>
                <w:sz w:val="20"/>
                <w:szCs w:val="20"/>
                <w:highlight w:val="yellow"/>
              </w:rPr>
            </w:pPr>
            <w:r w:rsidRPr="002D647C">
              <w:rPr>
                <w:rFonts w:ascii="Arial Narrow" w:hAnsi="Arial Narrow" w:cs="Calibri"/>
                <w:color w:val="000000"/>
                <w:sz w:val="20"/>
                <w:szCs w:val="20"/>
              </w:rPr>
              <w:t>-2</w:t>
            </w:r>
          </w:p>
        </w:tc>
        <w:tc>
          <w:tcPr>
            <w:tcW w:w="3600" w:type="dxa"/>
            <w:vAlign w:val="center"/>
          </w:tcPr>
          <w:p w14:paraId="7BFE91AE" w14:textId="7BAE8A84" w:rsidR="002D647C" w:rsidRPr="002D647C" w:rsidRDefault="002D647C" w:rsidP="002D647C">
            <w:pPr>
              <w:jc w:val="left"/>
              <w:rPr>
                <w:rFonts w:ascii="Arial Narrow" w:hAnsi="Arial Narrow"/>
                <w:color w:val="000000"/>
                <w:sz w:val="20"/>
                <w:szCs w:val="20"/>
                <w:highlight w:val="yellow"/>
              </w:rPr>
            </w:pPr>
            <w:r w:rsidRPr="002D647C">
              <w:rPr>
                <w:rFonts w:ascii="Arial Narrow" w:hAnsi="Arial Narrow" w:cs="Calibri"/>
                <w:color w:val="000000"/>
                <w:sz w:val="20"/>
                <w:szCs w:val="20"/>
              </w:rPr>
              <w:t xml:space="preserve">No toxicity (in IC25 endpoints) was observed in C. </w:t>
            </w:r>
            <w:proofErr w:type="spellStart"/>
            <w:r w:rsidRPr="002D647C">
              <w:rPr>
                <w:rFonts w:ascii="Arial Narrow" w:hAnsi="Arial Narrow" w:cs="Calibri"/>
                <w:color w:val="000000"/>
                <w:sz w:val="20"/>
                <w:szCs w:val="20"/>
              </w:rPr>
              <w:t>dubia</w:t>
            </w:r>
            <w:proofErr w:type="spellEnd"/>
            <w:r w:rsidRPr="002D647C">
              <w:rPr>
                <w:rFonts w:ascii="Arial Narrow" w:hAnsi="Arial Narrow" w:cs="Calibri"/>
                <w:color w:val="000000"/>
                <w:sz w:val="20"/>
                <w:szCs w:val="20"/>
              </w:rPr>
              <w:t xml:space="preserve"> and P. </w:t>
            </w:r>
            <w:proofErr w:type="spellStart"/>
            <w:r w:rsidRPr="002D647C">
              <w:rPr>
                <w:rFonts w:ascii="Arial Narrow" w:hAnsi="Arial Narrow" w:cs="Calibri"/>
                <w:color w:val="000000"/>
                <w:sz w:val="20"/>
                <w:szCs w:val="20"/>
              </w:rPr>
              <w:t>promelas</w:t>
            </w:r>
            <w:proofErr w:type="spellEnd"/>
            <w:r w:rsidRPr="002D647C">
              <w:rPr>
                <w:rFonts w:ascii="Arial Narrow" w:hAnsi="Arial Narrow" w:cs="Calibri"/>
                <w:color w:val="000000"/>
                <w:sz w:val="20"/>
                <w:szCs w:val="20"/>
              </w:rPr>
              <w:t xml:space="preserve"> laboratory toxicity testing of Roanoke River samples.</w:t>
            </w:r>
          </w:p>
        </w:tc>
      </w:tr>
      <w:tr w:rsidR="002D647C" w:rsidRPr="007A0C83" w14:paraId="0B3D6A3D" w14:textId="77777777" w:rsidTr="002D647C">
        <w:trPr>
          <w:trHeight w:val="247"/>
        </w:trPr>
        <w:tc>
          <w:tcPr>
            <w:tcW w:w="2437" w:type="dxa"/>
            <w:vAlign w:val="center"/>
          </w:tcPr>
          <w:p w14:paraId="3E6F86E1" w14:textId="3F0B4F8F" w:rsidR="002D647C" w:rsidRPr="002D647C" w:rsidRDefault="002D647C" w:rsidP="002D647C">
            <w:pPr>
              <w:jc w:val="left"/>
              <w:rPr>
                <w:rFonts w:ascii="Arial Narrow" w:hAnsi="Arial Narrow" w:cs="Calibri"/>
                <w:b/>
                <w:bCs/>
                <w:color w:val="000000"/>
                <w:sz w:val="20"/>
                <w:szCs w:val="20"/>
                <w:highlight w:val="yellow"/>
              </w:rPr>
            </w:pPr>
            <w:r w:rsidRPr="002D647C">
              <w:rPr>
                <w:rFonts w:ascii="Arial Narrow" w:hAnsi="Arial Narrow" w:cs="Calibri"/>
                <w:color w:val="000000"/>
                <w:sz w:val="20"/>
                <w:szCs w:val="20"/>
              </w:rPr>
              <w:t>Temporal Sequence</w:t>
            </w:r>
          </w:p>
        </w:tc>
        <w:tc>
          <w:tcPr>
            <w:tcW w:w="720" w:type="dxa"/>
            <w:vAlign w:val="center"/>
          </w:tcPr>
          <w:p w14:paraId="579631CA" w14:textId="5984D039" w:rsidR="002D647C" w:rsidRPr="002D647C" w:rsidRDefault="002D647C" w:rsidP="002D647C">
            <w:pPr>
              <w:jc w:val="center"/>
              <w:rPr>
                <w:rFonts w:ascii="Arial Narrow" w:hAnsi="Arial Narrow" w:cs="Calibri"/>
                <w:color w:val="000000"/>
                <w:sz w:val="20"/>
                <w:szCs w:val="20"/>
              </w:rPr>
            </w:pPr>
            <w:r w:rsidRPr="002D647C">
              <w:rPr>
                <w:rFonts w:ascii="Arial Narrow" w:hAnsi="Arial Narrow" w:cs="Calibri"/>
                <w:color w:val="000000"/>
                <w:sz w:val="20"/>
                <w:szCs w:val="20"/>
              </w:rPr>
              <w:t>-2</w:t>
            </w:r>
          </w:p>
        </w:tc>
        <w:tc>
          <w:tcPr>
            <w:tcW w:w="720" w:type="dxa"/>
            <w:vAlign w:val="center"/>
          </w:tcPr>
          <w:p w14:paraId="3800FA3C" w14:textId="27AD187A" w:rsidR="002D647C" w:rsidRPr="002D647C" w:rsidRDefault="002D647C" w:rsidP="002D647C">
            <w:pPr>
              <w:jc w:val="center"/>
              <w:rPr>
                <w:rFonts w:ascii="Arial Narrow" w:hAnsi="Arial Narrow" w:cs="Calibri"/>
                <w:color w:val="000000"/>
                <w:sz w:val="20"/>
                <w:szCs w:val="20"/>
              </w:rPr>
            </w:pPr>
            <w:r w:rsidRPr="002D647C">
              <w:rPr>
                <w:rFonts w:ascii="Arial Narrow" w:hAnsi="Arial Narrow" w:cs="Calibri"/>
                <w:color w:val="000000"/>
                <w:sz w:val="20"/>
                <w:szCs w:val="20"/>
              </w:rPr>
              <w:t>-2</w:t>
            </w:r>
          </w:p>
        </w:tc>
        <w:tc>
          <w:tcPr>
            <w:tcW w:w="990" w:type="dxa"/>
            <w:vAlign w:val="center"/>
          </w:tcPr>
          <w:p w14:paraId="188CA033" w14:textId="6E19A80C" w:rsidR="002D647C" w:rsidRPr="002D647C" w:rsidRDefault="002D647C" w:rsidP="002D647C">
            <w:pPr>
              <w:jc w:val="center"/>
              <w:rPr>
                <w:rFonts w:ascii="Arial Narrow" w:hAnsi="Arial Narrow" w:cs="Calibri"/>
                <w:color w:val="000000"/>
                <w:sz w:val="20"/>
                <w:szCs w:val="20"/>
              </w:rPr>
            </w:pPr>
            <w:r w:rsidRPr="002D647C">
              <w:rPr>
                <w:rFonts w:ascii="Arial Narrow" w:hAnsi="Arial Narrow" w:cs="Calibri"/>
                <w:color w:val="000000"/>
                <w:sz w:val="20"/>
                <w:szCs w:val="20"/>
              </w:rPr>
              <w:t>-2</w:t>
            </w:r>
          </w:p>
        </w:tc>
        <w:tc>
          <w:tcPr>
            <w:tcW w:w="990" w:type="dxa"/>
            <w:vAlign w:val="center"/>
          </w:tcPr>
          <w:p w14:paraId="65EA742E" w14:textId="5A6DC749" w:rsidR="002D647C" w:rsidRPr="002D647C" w:rsidRDefault="002D647C" w:rsidP="002D647C">
            <w:pPr>
              <w:jc w:val="center"/>
              <w:rPr>
                <w:rFonts w:ascii="Arial Narrow" w:hAnsi="Arial Narrow" w:cs="Calibri"/>
                <w:b/>
                <w:color w:val="000000"/>
                <w:sz w:val="20"/>
                <w:szCs w:val="20"/>
                <w:highlight w:val="yellow"/>
              </w:rPr>
            </w:pPr>
            <w:r w:rsidRPr="002D647C">
              <w:rPr>
                <w:rFonts w:ascii="Arial Narrow" w:hAnsi="Arial Narrow" w:cs="Calibri"/>
                <w:color w:val="000000"/>
                <w:sz w:val="20"/>
                <w:szCs w:val="20"/>
              </w:rPr>
              <w:t>-2</w:t>
            </w:r>
          </w:p>
        </w:tc>
        <w:tc>
          <w:tcPr>
            <w:tcW w:w="3600" w:type="dxa"/>
            <w:vAlign w:val="center"/>
          </w:tcPr>
          <w:p w14:paraId="6E77F6A1" w14:textId="0D3B6495" w:rsidR="002D647C" w:rsidRPr="002D647C" w:rsidRDefault="002D647C" w:rsidP="002D647C">
            <w:pPr>
              <w:jc w:val="left"/>
              <w:rPr>
                <w:rFonts w:ascii="Arial Narrow" w:hAnsi="Arial Narrow"/>
                <w:color w:val="000000"/>
                <w:sz w:val="20"/>
                <w:szCs w:val="20"/>
                <w:highlight w:val="yellow"/>
              </w:rPr>
            </w:pPr>
            <w:r w:rsidRPr="002D647C">
              <w:rPr>
                <w:rFonts w:ascii="Arial Narrow" w:hAnsi="Arial Narrow" w:cs="Calibri"/>
                <w:color w:val="000000"/>
                <w:sz w:val="20"/>
                <w:szCs w:val="20"/>
              </w:rPr>
              <w:t>Ammonia levels are generally highest in the late summer when water temperatures are highest, however, fall benthic scores were higher than spring scores in</w:t>
            </w:r>
            <w:r w:rsidR="00016EF2">
              <w:rPr>
                <w:rFonts w:ascii="Arial Narrow" w:hAnsi="Arial Narrow" w:cs="Calibri"/>
                <w:color w:val="000000"/>
                <w:sz w:val="20"/>
                <w:szCs w:val="20"/>
              </w:rPr>
              <w:t xml:space="preserve"> </w:t>
            </w:r>
            <w:r w:rsidRPr="002D647C">
              <w:rPr>
                <w:rFonts w:ascii="Arial Narrow" w:hAnsi="Arial Narrow" w:cs="Calibri"/>
                <w:color w:val="000000"/>
                <w:sz w:val="20"/>
                <w:szCs w:val="20"/>
              </w:rPr>
              <w:t>each of the impaired streams.</w:t>
            </w:r>
          </w:p>
        </w:tc>
      </w:tr>
      <w:tr w:rsidR="002D647C" w:rsidRPr="007A0C83" w14:paraId="197C645E" w14:textId="77777777" w:rsidTr="002D647C">
        <w:trPr>
          <w:trHeight w:val="247"/>
        </w:trPr>
        <w:tc>
          <w:tcPr>
            <w:tcW w:w="2437" w:type="dxa"/>
            <w:vAlign w:val="center"/>
          </w:tcPr>
          <w:p w14:paraId="7876DBD6" w14:textId="1BD7EF57" w:rsidR="002D647C" w:rsidRPr="002D647C" w:rsidRDefault="002D647C" w:rsidP="002D647C">
            <w:pPr>
              <w:jc w:val="left"/>
              <w:rPr>
                <w:rFonts w:ascii="Arial Narrow" w:hAnsi="Arial Narrow" w:cs="Calibri"/>
                <w:b/>
                <w:bCs/>
                <w:color w:val="000000"/>
                <w:sz w:val="20"/>
                <w:szCs w:val="20"/>
              </w:rPr>
            </w:pPr>
            <w:r w:rsidRPr="002D647C">
              <w:rPr>
                <w:rFonts w:ascii="Arial Narrow" w:hAnsi="Arial Narrow" w:cs="Calibri"/>
                <w:color w:val="000000"/>
                <w:sz w:val="20"/>
                <w:szCs w:val="20"/>
              </w:rPr>
              <w:t>Stressor-Response Relationships from Laboratory Studies</w:t>
            </w:r>
          </w:p>
        </w:tc>
        <w:tc>
          <w:tcPr>
            <w:tcW w:w="720" w:type="dxa"/>
            <w:vAlign w:val="center"/>
          </w:tcPr>
          <w:p w14:paraId="02DC8FB7" w14:textId="5F0DA072" w:rsidR="002D647C" w:rsidRPr="002D647C" w:rsidRDefault="002D647C" w:rsidP="002D647C">
            <w:pPr>
              <w:jc w:val="center"/>
              <w:rPr>
                <w:rFonts w:ascii="Arial Narrow" w:hAnsi="Arial Narrow" w:cs="Calibri"/>
                <w:b/>
                <w:color w:val="000000"/>
                <w:sz w:val="20"/>
                <w:szCs w:val="20"/>
              </w:rPr>
            </w:pPr>
            <w:r w:rsidRPr="002D647C">
              <w:rPr>
                <w:rFonts w:ascii="Arial Narrow" w:hAnsi="Arial Narrow" w:cs="Calibri"/>
                <w:color w:val="000000"/>
                <w:sz w:val="20"/>
                <w:szCs w:val="20"/>
              </w:rPr>
              <w:t>-3</w:t>
            </w:r>
          </w:p>
        </w:tc>
        <w:tc>
          <w:tcPr>
            <w:tcW w:w="720" w:type="dxa"/>
            <w:vAlign w:val="center"/>
          </w:tcPr>
          <w:p w14:paraId="62821367" w14:textId="78F50EC1" w:rsidR="002D647C" w:rsidRPr="002D647C" w:rsidRDefault="002D647C" w:rsidP="002D647C">
            <w:pPr>
              <w:jc w:val="center"/>
              <w:rPr>
                <w:rFonts w:ascii="Arial Narrow" w:hAnsi="Arial Narrow" w:cs="Calibri"/>
                <w:b/>
                <w:color w:val="000000"/>
                <w:sz w:val="20"/>
                <w:szCs w:val="20"/>
              </w:rPr>
            </w:pPr>
            <w:r w:rsidRPr="002D647C">
              <w:rPr>
                <w:rFonts w:ascii="Arial Narrow" w:hAnsi="Arial Narrow" w:cs="Calibri"/>
                <w:color w:val="000000"/>
                <w:sz w:val="20"/>
                <w:szCs w:val="20"/>
              </w:rPr>
              <w:t>-2</w:t>
            </w:r>
          </w:p>
        </w:tc>
        <w:tc>
          <w:tcPr>
            <w:tcW w:w="990" w:type="dxa"/>
            <w:vAlign w:val="center"/>
          </w:tcPr>
          <w:p w14:paraId="332F51E7" w14:textId="06C39E7E" w:rsidR="002D647C" w:rsidRPr="002D647C" w:rsidRDefault="002D647C" w:rsidP="002D647C">
            <w:pPr>
              <w:jc w:val="center"/>
              <w:rPr>
                <w:rFonts w:ascii="Arial Narrow" w:hAnsi="Arial Narrow" w:cs="Calibri"/>
                <w:b/>
                <w:color w:val="000000"/>
                <w:sz w:val="20"/>
                <w:szCs w:val="20"/>
              </w:rPr>
            </w:pPr>
            <w:r w:rsidRPr="002D647C">
              <w:rPr>
                <w:rFonts w:ascii="Arial Narrow" w:hAnsi="Arial Narrow" w:cs="Calibri"/>
                <w:color w:val="000000"/>
                <w:sz w:val="20"/>
                <w:szCs w:val="20"/>
              </w:rPr>
              <w:t>-3</w:t>
            </w:r>
          </w:p>
        </w:tc>
        <w:tc>
          <w:tcPr>
            <w:tcW w:w="990" w:type="dxa"/>
            <w:vAlign w:val="center"/>
          </w:tcPr>
          <w:p w14:paraId="3965E296" w14:textId="419D26ED" w:rsidR="002D647C" w:rsidRPr="002D647C" w:rsidRDefault="002D647C" w:rsidP="002D647C">
            <w:pPr>
              <w:jc w:val="center"/>
              <w:rPr>
                <w:rFonts w:ascii="Arial Narrow" w:hAnsi="Arial Narrow" w:cs="Calibri"/>
                <w:b/>
                <w:color w:val="000000"/>
                <w:sz w:val="20"/>
                <w:szCs w:val="20"/>
              </w:rPr>
            </w:pPr>
            <w:r w:rsidRPr="002D647C">
              <w:rPr>
                <w:rFonts w:ascii="Arial Narrow" w:hAnsi="Arial Narrow" w:cs="Calibri"/>
                <w:color w:val="000000"/>
                <w:sz w:val="20"/>
                <w:szCs w:val="20"/>
              </w:rPr>
              <w:t>-2</w:t>
            </w:r>
          </w:p>
        </w:tc>
        <w:tc>
          <w:tcPr>
            <w:tcW w:w="3600" w:type="dxa"/>
            <w:vAlign w:val="center"/>
          </w:tcPr>
          <w:p w14:paraId="14B25BE7" w14:textId="09D6CC55" w:rsidR="002D647C" w:rsidRPr="002D647C" w:rsidRDefault="002D647C" w:rsidP="002D647C">
            <w:pPr>
              <w:jc w:val="left"/>
              <w:rPr>
                <w:rFonts w:ascii="Arial Narrow" w:hAnsi="Arial Narrow"/>
                <w:color w:val="000000"/>
                <w:sz w:val="20"/>
                <w:szCs w:val="20"/>
                <w:highlight w:val="yellow"/>
              </w:rPr>
            </w:pPr>
            <w:r w:rsidRPr="002D647C">
              <w:rPr>
                <w:rFonts w:ascii="Arial Narrow" w:hAnsi="Arial Narrow" w:cs="Calibri"/>
                <w:color w:val="000000"/>
                <w:sz w:val="20"/>
                <w:szCs w:val="20"/>
              </w:rPr>
              <w:t xml:space="preserve">All ammonia values in all streams were below water quality standards. Ammonia levels in Tinker Creek and Roanoke River (198.08) approached water quality standards. </w:t>
            </w:r>
          </w:p>
        </w:tc>
      </w:tr>
      <w:tr w:rsidR="002D647C" w:rsidRPr="007A0C83" w14:paraId="670F87B9" w14:textId="77777777" w:rsidTr="002D647C">
        <w:trPr>
          <w:trHeight w:val="247"/>
        </w:trPr>
        <w:tc>
          <w:tcPr>
            <w:tcW w:w="2437" w:type="dxa"/>
            <w:vAlign w:val="center"/>
          </w:tcPr>
          <w:p w14:paraId="5D92BAC9" w14:textId="21B71124" w:rsidR="002D647C" w:rsidRPr="002D647C" w:rsidRDefault="002D647C" w:rsidP="002D647C">
            <w:pPr>
              <w:jc w:val="left"/>
              <w:rPr>
                <w:rFonts w:ascii="Arial Narrow" w:hAnsi="Arial Narrow" w:cs="Calibri"/>
                <w:b/>
                <w:bCs/>
                <w:color w:val="000000"/>
                <w:sz w:val="20"/>
                <w:szCs w:val="20"/>
              </w:rPr>
            </w:pPr>
            <w:r w:rsidRPr="002D647C">
              <w:rPr>
                <w:rFonts w:ascii="Arial Narrow" w:hAnsi="Arial Narrow" w:cs="Calibri"/>
                <w:color w:val="000000"/>
                <w:sz w:val="20"/>
                <w:szCs w:val="20"/>
              </w:rPr>
              <w:t>Consistency of Evidence</w:t>
            </w:r>
          </w:p>
        </w:tc>
        <w:tc>
          <w:tcPr>
            <w:tcW w:w="720" w:type="dxa"/>
            <w:vAlign w:val="center"/>
          </w:tcPr>
          <w:p w14:paraId="61149858" w14:textId="74C3EE3F" w:rsidR="002D647C" w:rsidRPr="002D647C" w:rsidRDefault="002D647C" w:rsidP="002D647C">
            <w:pPr>
              <w:jc w:val="center"/>
              <w:rPr>
                <w:rFonts w:ascii="Arial Narrow" w:hAnsi="Arial Narrow" w:cs="Calibri"/>
                <w:b/>
                <w:color w:val="000000"/>
                <w:sz w:val="20"/>
                <w:szCs w:val="20"/>
              </w:rPr>
            </w:pPr>
            <w:r w:rsidRPr="002D647C">
              <w:rPr>
                <w:rFonts w:ascii="Arial Narrow" w:hAnsi="Arial Narrow" w:cs="Calibri"/>
                <w:color w:val="000000"/>
                <w:sz w:val="20"/>
                <w:szCs w:val="20"/>
              </w:rPr>
              <w:t>-3</w:t>
            </w:r>
          </w:p>
        </w:tc>
        <w:tc>
          <w:tcPr>
            <w:tcW w:w="720" w:type="dxa"/>
            <w:vAlign w:val="center"/>
          </w:tcPr>
          <w:p w14:paraId="6E255450" w14:textId="2E5DE589" w:rsidR="002D647C" w:rsidRPr="002D647C" w:rsidRDefault="002D647C" w:rsidP="002D647C">
            <w:pPr>
              <w:jc w:val="center"/>
              <w:rPr>
                <w:rFonts w:ascii="Arial Narrow" w:hAnsi="Arial Narrow" w:cs="Calibri"/>
                <w:b/>
                <w:color w:val="000000"/>
                <w:sz w:val="20"/>
                <w:szCs w:val="20"/>
              </w:rPr>
            </w:pPr>
            <w:r w:rsidRPr="002D647C">
              <w:rPr>
                <w:rFonts w:ascii="Arial Narrow" w:hAnsi="Arial Narrow" w:cs="Calibri"/>
                <w:color w:val="000000"/>
                <w:sz w:val="20"/>
                <w:szCs w:val="20"/>
              </w:rPr>
              <w:t>-3</w:t>
            </w:r>
          </w:p>
        </w:tc>
        <w:tc>
          <w:tcPr>
            <w:tcW w:w="990" w:type="dxa"/>
            <w:vAlign w:val="center"/>
          </w:tcPr>
          <w:p w14:paraId="292073EE" w14:textId="7AF94FF1" w:rsidR="002D647C" w:rsidRPr="002D647C" w:rsidRDefault="002D647C" w:rsidP="002D647C">
            <w:pPr>
              <w:jc w:val="center"/>
              <w:rPr>
                <w:rFonts w:ascii="Arial Narrow" w:hAnsi="Arial Narrow" w:cs="Calibri"/>
                <w:b/>
                <w:color w:val="000000"/>
                <w:sz w:val="20"/>
                <w:szCs w:val="20"/>
              </w:rPr>
            </w:pPr>
            <w:r w:rsidRPr="002D647C">
              <w:rPr>
                <w:rFonts w:ascii="Arial Narrow" w:hAnsi="Arial Narrow" w:cs="Calibri"/>
                <w:color w:val="000000"/>
                <w:sz w:val="20"/>
                <w:szCs w:val="20"/>
              </w:rPr>
              <w:t>-3</w:t>
            </w:r>
          </w:p>
        </w:tc>
        <w:tc>
          <w:tcPr>
            <w:tcW w:w="990" w:type="dxa"/>
            <w:vAlign w:val="center"/>
          </w:tcPr>
          <w:p w14:paraId="5D0C3678" w14:textId="5383F7E4" w:rsidR="002D647C" w:rsidRPr="002D647C" w:rsidRDefault="002D647C" w:rsidP="002D647C">
            <w:pPr>
              <w:jc w:val="center"/>
              <w:rPr>
                <w:rFonts w:ascii="Arial Narrow" w:hAnsi="Arial Narrow" w:cs="Calibri"/>
                <w:b/>
                <w:color w:val="000000"/>
                <w:sz w:val="20"/>
                <w:szCs w:val="20"/>
              </w:rPr>
            </w:pPr>
            <w:r w:rsidRPr="002D647C">
              <w:rPr>
                <w:rFonts w:ascii="Arial Narrow" w:hAnsi="Arial Narrow" w:cs="Calibri"/>
                <w:color w:val="000000"/>
                <w:sz w:val="20"/>
                <w:szCs w:val="20"/>
              </w:rPr>
              <w:t>-3</w:t>
            </w:r>
          </w:p>
        </w:tc>
        <w:tc>
          <w:tcPr>
            <w:tcW w:w="3600" w:type="dxa"/>
            <w:vAlign w:val="center"/>
          </w:tcPr>
          <w:p w14:paraId="38927E99" w14:textId="425FCB8A" w:rsidR="002D647C" w:rsidRPr="002D647C" w:rsidRDefault="002D647C" w:rsidP="002D647C">
            <w:pPr>
              <w:jc w:val="left"/>
              <w:rPr>
                <w:rFonts w:ascii="Arial Narrow" w:hAnsi="Arial Narrow"/>
                <w:color w:val="000000"/>
                <w:sz w:val="20"/>
                <w:szCs w:val="20"/>
                <w:highlight w:val="yellow"/>
              </w:rPr>
            </w:pPr>
            <w:r w:rsidRPr="002D647C">
              <w:rPr>
                <w:rFonts w:ascii="Arial Narrow" w:hAnsi="Arial Narrow" w:cs="Calibri"/>
                <w:color w:val="000000"/>
                <w:sz w:val="20"/>
                <w:szCs w:val="20"/>
              </w:rPr>
              <w:t>Evidence consistently refuted ammonia as a stressor.</w:t>
            </w:r>
          </w:p>
        </w:tc>
      </w:tr>
      <w:tr w:rsidR="002D647C" w:rsidRPr="002D647C" w14:paraId="4185CCEC" w14:textId="77777777" w:rsidTr="002D647C">
        <w:trPr>
          <w:trHeight w:val="247"/>
        </w:trPr>
        <w:tc>
          <w:tcPr>
            <w:tcW w:w="2437" w:type="dxa"/>
            <w:vAlign w:val="center"/>
          </w:tcPr>
          <w:p w14:paraId="611D9CB6" w14:textId="118E3957" w:rsidR="002D647C" w:rsidRPr="002D647C" w:rsidRDefault="002D647C" w:rsidP="002D647C">
            <w:pPr>
              <w:jc w:val="right"/>
              <w:rPr>
                <w:rFonts w:ascii="Arial Narrow" w:hAnsi="Arial Narrow" w:cs="Calibri"/>
                <w:b/>
                <w:bCs/>
                <w:color w:val="000000"/>
                <w:sz w:val="20"/>
                <w:szCs w:val="20"/>
              </w:rPr>
            </w:pPr>
            <w:r w:rsidRPr="002D647C">
              <w:rPr>
                <w:rFonts w:ascii="Arial Narrow" w:hAnsi="Arial Narrow" w:cs="Calibri"/>
                <w:b/>
                <w:bCs/>
                <w:color w:val="000000"/>
                <w:sz w:val="20"/>
                <w:szCs w:val="20"/>
              </w:rPr>
              <w:t>Sum</w:t>
            </w:r>
          </w:p>
        </w:tc>
        <w:tc>
          <w:tcPr>
            <w:tcW w:w="720" w:type="dxa"/>
            <w:vAlign w:val="center"/>
          </w:tcPr>
          <w:p w14:paraId="4811CE47" w14:textId="18F7761C" w:rsidR="002D647C" w:rsidRPr="002D647C" w:rsidRDefault="002D647C" w:rsidP="002D647C">
            <w:pPr>
              <w:jc w:val="center"/>
              <w:rPr>
                <w:rFonts w:ascii="Arial Narrow" w:hAnsi="Arial Narrow" w:cs="Calibri"/>
                <w:b/>
                <w:color w:val="000000"/>
                <w:sz w:val="20"/>
                <w:szCs w:val="20"/>
              </w:rPr>
            </w:pPr>
            <w:r w:rsidRPr="002D647C">
              <w:rPr>
                <w:rFonts w:ascii="Arial Narrow" w:hAnsi="Arial Narrow" w:cs="Calibri"/>
                <w:b/>
                <w:color w:val="000000"/>
                <w:sz w:val="20"/>
                <w:szCs w:val="20"/>
              </w:rPr>
              <w:t>-14</w:t>
            </w:r>
          </w:p>
        </w:tc>
        <w:tc>
          <w:tcPr>
            <w:tcW w:w="720" w:type="dxa"/>
            <w:vAlign w:val="center"/>
          </w:tcPr>
          <w:p w14:paraId="6E2363AA" w14:textId="495181BC" w:rsidR="002D647C" w:rsidRPr="002D647C" w:rsidRDefault="002D647C" w:rsidP="002D647C">
            <w:pPr>
              <w:jc w:val="center"/>
              <w:rPr>
                <w:rFonts w:ascii="Arial Narrow" w:hAnsi="Arial Narrow" w:cs="Calibri"/>
                <w:b/>
                <w:color w:val="000000"/>
                <w:sz w:val="20"/>
                <w:szCs w:val="20"/>
              </w:rPr>
            </w:pPr>
            <w:r w:rsidRPr="002D647C">
              <w:rPr>
                <w:rFonts w:ascii="Arial Narrow" w:hAnsi="Arial Narrow" w:cs="Calibri"/>
                <w:b/>
                <w:color w:val="000000"/>
                <w:sz w:val="20"/>
                <w:szCs w:val="20"/>
              </w:rPr>
              <w:t>-13</w:t>
            </w:r>
          </w:p>
        </w:tc>
        <w:tc>
          <w:tcPr>
            <w:tcW w:w="990" w:type="dxa"/>
            <w:vAlign w:val="center"/>
          </w:tcPr>
          <w:p w14:paraId="5EB363D9" w14:textId="0BF04933" w:rsidR="002D647C" w:rsidRPr="002D647C" w:rsidRDefault="002D647C" w:rsidP="002D647C">
            <w:pPr>
              <w:jc w:val="center"/>
              <w:rPr>
                <w:rFonts w:ascii="Arial Narrow" w:hAnsi="Arial Narrow" w:cs="Calibri"/>
                <w:b/>
                <w:color w:val="000000"/>
                <w:sz w:val="20"/>
                <w:szCs w:val="20"/>
              </w:rPr>
            </w:pPr>
            <w:r w:rsidRPr="002D647C">
              <w:rPr>
                <w:rFonts w:ascii="Arial Narrow" w:hAnsi="Arial Narrow" w:cs="Calibri"/>
                <w:b/>
                <w:color w:val="000000"/>
                <w:sz w:val="20"/>
                <w:szCs w:val="20"/>
              </w:rPr>
              <w:t>-16</w:t>
            </w:r>
          </w:p>
        </w:tc>
        <w:tc>
          <w:tcPr>
            <w:tcW w:w="990" w:type="dxa"/>
            <w:vAlign w:val="center"/>
          </w:tcPr>
          <w:p w14:paraId="230A55AC" w14:textId="35E3A072" w:rsidR="002D647C" w:rsidRPr="002D647C" w:rsidRDefault="002D647C" w:rsidP="002D647C">
            <w:pPr>
              <w:jc w:val="center"/>
              <w:rPr>
                <w:rFonts w:ascii="Arial Narrow" w:hAnsi="Arial Narrow" w:cs="Calibri"/>
                <w:b/>
                <w:color w:val="000000"/>
                <w:sz w:val="20"/>
                <w:szCs w:val="20"/>
              </w:rPr>
            </w:pPr>
            <w:r w:rsidRPr="002D647C">
              <w:rPr>
                <w:rFonts w:ascii="Arial Narrow" w:hAnsi="Arial Narrow" w:cs="Calibri"/>
                <w:b/>
                <w:color w:val="000000"/>
                <w:sz w:val="20"/>
                <w:szCs w:val="20"/>
              </w:rPr>
              <w:t>-15</w:t>
            </w:r>
          </w:p>
        </w:tc>
        <w:tc>
          <w:tcPr>
            <w:tcW w:w="3600" w:type="dxa"/>
            <w:vAlign w:val="center"/>
          </w:tcPr>
          <w:p w14:paraId="5E857928" w14:textId="77777777" w:rsidR="002D647C" w:rsidRPr="002D647C" w:rsidRDefault="002D647C" w:rsidP="002D647C">
            <w:pPr>
              <w:jc w:val="left"/>
              <w:rPr>
                <w:rFonts w:ascii="Arial Narrow" w:hAnsi="Arial Narrow"/>
                <w:b/>
                <w:color w:val="000000"/>
                <w:sz w:val="20"/>
                <w:szCs w:val="20"/>
                <w:highlight w:val="yellow"/>
              </w:rPr>
            </w:pPr>
          </w:p>
        </w:tc>
      </w:tr>
    </w:tbl>
    <w:p w14:paraId="64927E60" w14:textId="77777777" w:rsidR="008A1F50" w:rsidRPr="007A0C83" w:rsidRDefault="008A1F50" w:rsidP="005E4B50">
      <w:pPr>
        <w:pStyle w:val="BlockText"/>
        <w:spacing w:before="0" w:after="0" w:line="240" w:lineRule="auto"/>
        <w:rPr>
          <w:highlight w:val="yellow"/>
        </w:rPr>
      </w:pPr>
    </w:p>
    <w:p w14:paraId="63072362" w14:textId="77777777" w:rsidR="008A1F50" w:rsidRPr="00AE674D" w:rsidRDefault="008A1F50" w:rsidP="00B32C1C">
      <w:pPr>
        <w:pStyle w:val="Heading2"/>
      </w:pPr>
      <w:bookmarkStart w:id="250" w:name="_Toc162948201"/>
      <w:r w:rsidRPr="00AE674D">
        <w:t>Dissolved Metals</w:t>
      </w:r>
      <w:bookmarkEnd w:id="250"/>
    </w:p>
    <w:p w14:paraId="23E53FC5" w14:textId="68191AC3" w:rsidR="008A1F50" w:rsidRPr="00AE674D" w:rsidRDefault="008A1F50" w:rsidP="008A1F50">
      <w:pPr>
        <w:pStyle w:val="BlockText"/>
      </w:pPr>
      <w:r w:rsidRPr="00AE674D">
        <w:fldChar w:fldCharType="begin"/>
      </w:r>
      <w:r w:rsidRPr="00AE674D">
        <w:instrText xml:space="preserve"> REF _Ref50728591 \h  \* MERGEFORMAT </w:instrText>
      </w:r>
      <w:r w:rsidRPr="00AE674D">
        <w:fldChar w:fldCharType="separate"/>
      </w:r>
      <w:r w:rsidR="004A78BF" w:rsidRPr="00AE674D">
        <w:t xml:space="preserve">Table </w:t>
      </w:r>
      <w:r w:rsidR="004A78BF">
        <w:rPr>
          <w:noProof/>
        </w:rPr>
        <w:t>41</w:t>
      </w:r>
      <w:r w:rsidRPr="00AE674D">
        <w:fldChar w:fldCharType="end"/>
      </w:r>
      <w:r w:rsidRPr="00AE674D">
        <w:t xml:space="preserve"> shows the causal analysis results for dissolved metals</w:t>
      </w:r>
      <w:r w:rsidR="007D6043">
        <w:t>.</w:t>
      </w:r>
      <w:r w:rsidRPr="00AE674D">
        <w:t xml:space="preserve"> Total causal analysis scores </w:t>
      </w:r>
      <w:r w:rsidR="006A06F0">
        <w:t xml:space="preserve">ranged from -15 to -12, indicating </w:t>
      </w:r>
      <w:r w:rsidRPr="00AE674D">
        <w:t xml:space="preserve">that there is strong evidence that dissolved metals are a </w:t>
      </w:r>
      <w:r w:rsidR="007D6043">
        <w:t>non-</w:t>
      </w:r>
      <w:r w:rsidRPr="00AE674D">
        <w:t xml:space="preserve">stressor in </w:t>
      </w:r>
      <w:r w:rsidR="006A06F0">
        <w:t xml:space="preserve">Roanoke River Project </w:t>
      </w:r>
      <w:r w:rsidRPr="00AE674D">
        <w:t xml:space="preserve">streams. </w:t>
      </w:r>
      <w:r w:rsidR="006A06F0" w:rsidRPr="00AE674D">
        <w:t xml:space="preserve">All metals </w:t>
      </w:r>
      <w:r w:rsidR="006A06F0">
        <w:t xml:space="preserve">were </w:t>
      </w:r>
      <w:r w:rsidR="006A06F0" w:rsidRPr="00AE674D">
        <w:t>below water quality standards and reference toxicity values</w:t>
      </w:r>
      <w:r w:rsidR="0047736D">
        <w:t>,</w:t>
      </w:r>
      <w:r w:rsidR="000D0ABF">
        <w:t xml:space="preserve"> and t</w:t>
      </w:r>
      <w:r w:rsidRPr="00AE674D">
        <w:t xml:space="preserve">he CCU </w:t>
      </w:r>
      <w:r w:rsidR="007D6043">
        <w:t xml:space="preserve">for combined effects </w:t>
      </w:r>
      <w:r w:rsidRPr="00AE674D">
        <w:t xml:space="preserve">was in the no probability range for stressor effects. For these reasons and others explained in </w:t>
      </w:r>
      <w:r w:rsidRPr="00AE674D">
        <w:fldChar w:fldCharType="begin"/>
      </w:r>
      <w:r w:rsidRPr="00AE674D">
        <w:instrText xml:space="preserve"> REF _Ref50728591 \h  \* MERGEFORMAT </w:instrText>
      </w:r>
      <w:r w:rsidRPr="00AE674D">
        <w:fldChar w:fldCharType="separate"/>
      </w:r>
      <w:r w:rsidR="004A78BF" w:rsidRPr="00AE674D">
        <w:t xml:space="preserve">Table </w:t>
      </w:r>
      <w:r w:rsidR="004A78BF">
        <w:rPr>
          <w:noProof/>
        </w:rPr>
        <w:t>41</w:t>
      </w:r>
      <w:r w:rsidRPr="00AE674D">
        <w:fldChar w:fldCharType="end"/>
      </w:r>
      <w:r w:rsidRPr="00AE674D">
        <w:t xml:space="preserve">, dissolved metals were categorized as non-stressors in </w:t>
      </w:r>
      <w:r w:rsidR="000D0ABF">
        <w:t xml:space="preserve">Roanoke River Project </w:t>
      </w:r>
      <w:r w:rsidR="007D6043">
        <w:t xml:space="preserve">streams. </w:t>
      </w:r>
    </w:p>
    <w:p w14:paraId="2CCC21E3" w14:textId="77777777" w:rsidR="008A1F50" w:rsidRPr="00AE674D" w:rsidRDefault="008A1F50" w:rsidP="008A1F50">
      <w:pPr>
        <w:pStyle w:val="Caption"/>
      </w:pPr>
    </w:p>
    <w:p w14:paraId="2E3CD995" w14:textId="73A8B157" w:rsidR="008A1F50" w:rsidRPr="00AE674D" w:rsidRDefault="008A1F50" w:rsidP="008A1F50">
      <w:pPr>
        <w:pStyle w:val="Caption"/>
      </w:pPr>
      <w:bookmarkStart w:id="251" w:name="_Ref50728591"/>
      <w:bookmarkStart w:id="252" w:name="_Toc162948308"/>
      <w:r w:rsidRPr="00AE674D">
        <w:t xml:space="preserve">Table </w:t>
      </w:r>
      <w:r w:rsidRPr="00AE674D">
        <w:rPr>
          <w:noProof/>
        </w:rPr>
        <w:fldChar w:fldCharType="begin"/>
      </w:r>
      <w:r w:rsidRPr="00AE674D">
        <w:rPr>
          <w:noProof/>
        </w:rPr>
        <w:instrText xml:space="preserve"> SEQ Table \* ARABIC </w:instrText>
      </w:r>
      <w:r w:rsidRPr="00AE674D">
        <w:rPr>
          <w:noProof/>
        </w:rPr>
        <w:fldChar w:fldCharType="separate"/>
      </w:r>
      <w:r w:rsidR="004A78BF">
        <w:rPr>
          <w:noProof/>
        </w:rPr>
        <w:t>41</w:t>
      </w:r>
      <w:r w:rsidRPr="00AE674D">
        <w:rPr>
          <w:noProof/>
        </w:rPr>
        <w:fldChar w:fldCharType="end"/>
      </w:r>
      <w:bookmarkEnd w:id="251"/>
      <w:r w:rsidRPr="00AE674D">
        <w:t>. Causal analysis results for dissolved metals.</w:t>
      </w:r>
      <w:bookmarkEnd w:id="252"/>
    </w:p>
    <w:tbl>
      <w:tblPr>
        <w:tblW w:w="9457"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7"/>
        <w:gridCol w:w="720"/>
        <w:gridCol w:w="720"/>
        <w:gridCol w:w="990"/>
        <w:gridCol w:w="990"/>
        <w:gridCol w:w="3600"/>
      </w:tblGrid>
      <w:tr w:rsidR="00250E0C" w:rsidRPr="007A0C83" w14:paraId="7E7539CE" w14:textId="77777777" w:rsidTr="002D647C">
        <w:trPr>
          <w:cantSplit/>
          <w:trHeight w:val="1080"/>
        </w:trPr>
        <w:tc>
          <w:tcPr>
            <w:tcW w:w="2437" w:type="dxa"/>
            <w:shd w:val="clear" w:color="auto" w:fill="D9D9D9" w:themeFill="background1" w:themeFillShade="D9"/>
            <w:vAlign w:val="center"/>
          </w:tcPr>
          <w:p w14:paraId="23AF96F5" w14:textId="77777777" w:rsidR="00250E0C" w:rsidRPr="00396EC1" w:rsidRDefault="00250E0C" w:rsidP="002D647C">
            <w:pPr>
              <w:jc w:val="center"/>
              <w:rPr>
                <w:rFonts w:ascii="Arial Narrow" w:hAnsi="Arial Narrow"/>
                <w:b/>
                <w:sz w:val="20"/>
                <w:szCs w:val="20"/>
              </w:rPr>
            </w:pPr>
            <w:r w:rsidRPr="00396EC1">
              <w:rPr>
                <w:rFonts w:ascii="Arial Narrow" w:hAnsi="Arial Narrow"/>
                <w:b/>
                <w:sz w:val="20"/>
                <w:szCs w:val="20"/>
              </w:rPr>
              <w:t>Evidence</w:t>
            </w:r>
          </w:p>
        </w:tc>
        <w:tc>
          <w:tcPr>
            <w:tcW w:w="720" w:type="dxa"/>
            <w:shd w:val="clear" w:color="auto" w:fill="D9D9D9" w:themeFill="background1" w:themeFillShade="D9"/>
            <w:vAlign w:val="center"/>
          </w:tcPr>
          <w:p w14:paraId="223EF226" w14:textId="77777777" w:rsidR="00250E0C" w:rsidRPr="00396EC1" w:rsidRDefault="00250E0C" w:rsidP="002D647C">
            <w:pPr>
              <w:jc w:val="center"/>
              <w:rPr>
                <w:rFonts w:ascii="Arial Narrow" w:hAnsi="Arial Narrow"/>
                <w:b/>
                <w:sz w:val="20"/>
                <w:szCs w:val="20"/>
              </w:rPr>
            </w:pPr>
            <w:r>
              <w:rPr>
                <w:rFonts w:ascii="Arial Narrow" w:hAnsi="Arial Narrow"/>
                <w:b/>
                <w:sz w:val="20"/>
                <w:szCs w:val="20"/>
              </w:rPr>
              <w:t>Wolf Creek</w:t>
            </w:r>
          </w:p>
        </w:tc>
        <w:tc>
          <w:tcPr>
            <w:tcW w:w="720" w:type="dxa"/>
            <w:shd w:val="clear" w:color="auto" w:fill="D9D9D9" w:themeFill="background1" w:themeFillShade="D9"/>
            <w:vAlign w:val="center"/>
          </w:tcPr>
          <w:p w14:paraId="63DC57AC" w14:textId="77777777" w:rsidR="00250E0C" w:rsidRPr="00396EC1" w:rsidRDefault="00250E0C" w:rsidP="002D647C">
            <w:pPr>
              <w:jc w:val="center"/>
              <w:rPr>
                <w:rFonts w:ascii="Arial Narrow" w:hAnsi="Arial Narrow"/>
                <w:b/>
                <w:sz w:val="20"/>
                <w:szCs w:val="20"/>
              </w:rPr>
            </w:pPr>
            <w:r>
              <w:rPr>
                <w:rFonts w:ascii="Arial Narrow" w:hAnsi="Arial Narrow"/>
                <w:b/>
                <w:sz w:val="20"/>
                <w:szCs w:val="20"/>
              </w:rPr>
              <w:t>Tinker Creek</w:t>
            </w:r>
          </w:p>
        </w:tc>
        <w:tc>
          <w:tcPr>
            <w:tcW w:w="990" w:type="dxa"/>
            <w:shd w:val="clear" w:color="auto" w:fill="D9D9D9" w:themeFill="background1" w:themeFillShade="D9"/>
            <w:vAlign w:val="center"/>
          </w:tcPr>
          <w:p w14:paraId="171C4059" w14:textId="77777777" w:rsidR="00250E0C" w:rsidRPr="00396EC1" w:rsidRDefault="00250E0C" w:rsidP="002D647C">
            <w:pPr>
              <w:jc w:val="center"/>
              <w:rPr>
                <w:rFonts w:ascii="Arial Narrow" w:hAnsi="Arial Narrow"/>
                <w:b/>
                <w:sz w:val="20"/>
                <w:szCs w:val="20"/>
              </w:rPr>
            </w:pPr>
            <w:r>
              <w:rPr>
                <w:rFonts w:ascii="Arial Narrow" w:hAnsi="Arial Narrow"/>
                <w:b/>
                <w:sz w:val="20"/>
                <w:szCs w:val="20"/>
              </w:rPr>
              <w:t>Roanoke River (202.20)</w:t>
            </w:r>
          </w:p>
        </w:tc>
        <w:tc>
          <w:tcPr>
            <w:tcW w:w="990" w:type="dxa"/>
            <w:shd w:val="clear" w:color="auto" w:fill="D9D9D9" w:themeFill="background1" w:themeFillShade="D9"/>
            <w:vAlign w:val="center"/>
          </w:tcPr>
          <w:p w14:paraId="31DD4829" w14:textId="77777777" w:rsidR="00250E0C" w:rsidRPr="00396EC1" w:rsidRDefault="00250E0C" w:rsidP="002D647C">
            <w:pPr>
              <w:jc w:val="center"/>
              <w:rPr>
                <w:rFonts w:ascii="Arial Narrow" w:hAnsi="Arial Narrow"/>
                <w:b/>
                <w:sz w:val="20"/>
                <w:szCs w:val="20"/>
              </w:rPr>
            </w:pPr>
            <w:r>
              <w:rPr>
                <w:rFonts w:ascii="Arial Narrow" w:hAnsi="Arial Narrow"/>
                <w:b/>
                <w:sz w:val="20"/>
                <w:szCs w:val="20"/>
              </w:rPr>
              <w:t>Roanoke River (198.08)</w:t>
            </w:r>
          </w:p>
        </w:tc>
        <w:tc>
          <w:tcPr>
            <w:tcW w:w="3600" w:type="dxa"/>
            <w:shd w:val="clear" w:color="auto" w:fill="D9D9D9" w:themeFill="background1" w:themeFillShade="D9"/>
            <w:vAlign w:val="center"/>
          </w:tcPr>
          <w:p w14:paraId="11261EB8" w14:textId="77777777" w:rsidR="00250E0C" w:rsidRPr="00613B31" w:rsidRDefault="00250E0C" w:rsidP="002D647C">
            <w:pPr>
              <w:jc w:val="center"/>
              <w:rPr>
                <w:rFonts w:ascii="Arial Narrow" w:hAnsi="Arial Narrow"/>
                <w:b/>
                <w:sz w:val="20"/>
                <w:szCs w:val="20"/>
              </w:rPr>
            </w:pPr>
            <w:r w:rsidRPr="00396EC1">
              <w:rPr>
                <w:rFonts w:ascii="Arial Narrow" w:hAnsi="Arial Narrow"/>
                <w:b/>
                <w:sz w:val="20"/>
                <w:szCs w:val="20"/>
              </w:rPr>
              <w:t>Explanation</w:t>
            </w:r>
          </w:p>
        </w:tc>
      </w:tr>
      <w:tr w:rsidR="002D647C" w:rsidRPr="007A0C83" w14:paraId="0BAFF159" w14:textId="77777777" w:rsidTr="002D647C">
        <w:trPr>
          <w:trHeight w:val="247"/>
        </w:trPr>
        <w:tc>
          <w:tcPr>
            <w:tcW w:w="2437" w:type="dxa"/>
            <w:vAlign w:val="center"/>
          </w:tcPr>
          <w:p w14:paraId="7237802E" w14:textId="62D2CA76" w:rsidR="002D647C" w:rsidRPr="002D647C" w:rsidRDefault="002D647C" w:rsidP="002D647C">
            <w:pPr>
              <w:jc w:val="left"/>
              <w:rPr>
                <w:rFonts w:ascii="Arial Narrow" w:hAnsi="Arial Narrow"/>
                <w:sz w:val="20"/>
                <w:szCs w:val="20"/>
                <w:highlight w:val="yellow"/>
              </w:rPr>
            </w:pPr>
            <w:r w:rsidRPr="002D647C">
              <w:rPr>
                <w:rFonts w:ascii="Arial Narrow" w:hAnsi="Arial Narrow" w:cs="Calibri"/>
                <w:color w:val="000000"/>
                <w:sz w:val="20"/>
                <w:szCs w:val="20"/>
              </w:rPr>
              <w:t>Spatial Co-occurrence</w:t>
            </w:r>
          </w:p>
        </w:tc>
        <w:tc>
          <w:tcPr>
            <w:tcW w:w="720" w:type="dxa"/>
            <w:vAlign w:val="center"/>
          </w:tcPr>
          <w:p w14:paraId="563D57BA" w14:textId="6BFD7D4F" w:rsidR="002D647C" w:rsidRPr="002D647C" w:rsidRDefault="002D647C" w:rsidP="002D647C">
            <w:pPr>
              <w:jc w:val="center"/>
              <w:rPr>
                <w:rFonts w:ascii="Arial Narrow" w:hAnsi="Arial Narrow" w:cs="Calibri"/>
                <w:color w:val="000000"/>
                <w:sz w:val="20"/>
                <w:szCs w:val="20"/>
              </w:rPr>
            </w:pPr>
            <w:r w:rsidRPr="002D647C">
              <w:rPr>
                <w:rFonts w:ascii="Arial Narrow" w:hAnsi="Arial Narrow" w:cs="Calibri"/>
                <w:color w:val="000000"/>
                <w:sz w:val="20"/>
                <w:szCs w:val="20"/>
              </w:rPr>
              <w:t>-3</w:t>
            </w:r>
          </w:p>
        </w:tc>
        <w:tc>
          <w:tcPr>
            <w:tcW w:w="720" w:type="dxa"/>
            <w:vAlign w:val="center"/>
          </w:tcPr>
          <w:p w14:paraId="0A5B4D85" w14:textId="5318CBCF" w:rsidR="002D647C" w:rsidRPr="002D647C" w:rsidRDefault="002D647C" w:rsidP="002D647C">
            <w:pPr>
              <w:jc w:val="center"/>
              <w:rPr>
                <w:rFonts w:ascii="Arial Narrow" w:hAnsi="Arial Narrow" w:cs="Calibri"/>
                <w:color w:val="000000"/>
                <w:sz w:val="20"/>
                <w:szCs w:val="20"/>
              </w:rPr>
            </w:pPr>
            <w:r w:rsidRPr="002D647C">
              <w:rPr>
                <w:rFonts w:ascii="Arial Narrow" w:hAnsi="Arial Narrow" w:cs="Calibri"/>
                <w:color w:val="000000"/>
                <w:sz w:val="20"/>
                <w:szCs w:val="20"/>
              </w:rPr>
              <w:t>-3</w:t>
            </w:r>
          </w:p>
        </w:tc>
        <w:tc>
          <w:tcPr>
            <w:tcW w:w="990" w:type="dxa"/>
            <w:vAlign w:val="center"/>
          </w:tcPr>
          <w:p w14:paraId="6BB99DB6" w14:textId="7E12BB71" w:rsidR="002D647C" w:rsidRPr="002D647C" w:rsidRDefault="002D647C" w:rsidP="002D647C">
            <w:pPr>
              <w:jc w:val="center"/>
              <w:rPr>
                <w:rFonts w:ascii="Arial Narrow" w:hAnsi="Arial Narrow" w:cs="Calibri"/>
                <w:color w:val="000000"/>
                <w:sz w:val="20"/>
                <w:szCs w:val="20"/>
              </w:rPr>
            </w:pPr>
            <w:r w:rsidRPr="002D647C">
              <w:rPr>
                <w:rFonts w:ascii="Arial Narrow" w:hAnsi="Arial Narrow" w:cs="Calibri"/>
                <w:color w:val="000000"/>
                <w:sz w:val="20"/>
                <w:szCs w:val="20"/>
              </w:rPr>
              <w:t>-3</w:t>
            </w:r>
          </w:p>
        </w:tc>
        <w:tc>
          <w:tcPr>
            <w:tcW w:w="990" w:type="dxa"/>
            <w:vAlign w:val="center"/>
          </w:tcPr>
          <w:p w14:paraId="4AE44A60" w14:textId="38ECDB20" w:rsidR="002D647C" w:rsidRPr="002D647C" w:rsidRDefault="002D647C" w:rsidP="002D647C">
            <w:pPr>
              <w:jc w:val="center"/>
              <w:rPr>
                <w:rFonts w:ascii="Arial Narrow" w:hAnsi="Arial Narrow"/>
                <w:color w:val="000000"/>
                <w:sz w:val="20"/>
                <w:szCs w:val="20"/>
                <w:highlight w:val="yellow"/>
              </w:rPr>
            </w:pPr>
            <w:r w:rsidRPr="002D647C">
              <w:rPr>
                <w:rFonts w:ascii="Arial Narrow" w:hAnsi="Arial Narrow" w:cs="Calibri"/>
                <w:color w:val="000000"/>
                <w:sz w:val="20"/>
                <w:szCs w:val="20"/>
              </w:rPr>
              <w:t>-3</w:t>
            </w:r>
          </w:p>
        </w:tc>
        <w:tc>
          <w:tcPr>
            <w:tcW w:w="3600" w:type="dxa"/>
            <w:vAlign w:val="center"/>
          </w:tcPr>
          <w:p w14:paraId="33061713" w14:textId="0103498F" w:rsidR="002D647C" w:rsidRPr="002D647C" w:rsidRDefault="002D647C" w:rsidP="002D647C">
            <w:pPr>
              <w:jc w:val="left"/>
              <w:rPr>
                <w:rFonts w:ascii="Arial Narrow" w:hAnsi="Arial Narrow"/>
                <w:color w:val="000000"/>
                <w:sz w:val="20"/>
                <w:szCs w:val="20"/>
                <w:highlight w:val="yellow"/>
              </w:rPr>
            </w:pPr>
            <w:r w:rsidRPr="002D647C">
              <w:rPr>
                <w:rFonts w:ascii="Arial Narrow" w:hAnsi="Arial Narrow" w:cs="Calibri"/>
                <w:color w:val="000000"/>
                <w:sz w:val="20"/>
                <w:szCs w:val="20"/>
              </w:rPr>
              <w:t xml:space="preserve">In all streams, SCI scores were impaired but dissolved metal CCU values were in the no probability range for stressor effects. </w:t>
            </w:r>
          </w:p>
        </w:tc>
      </w:tr>
      <w:tr w:rsidR="002D647C" w:rsidRPr="007A0C83" w14:paraId="3A3870A8" w14:textId="77777777" w:rsidTr="002D647C">
        <w:trPr>
          <w:trHeight w:val="247"/>
        </w:trPr>
        <w:tc>
          <w:tcPr>
            <w:tcW w:w="2437" w:type="dxa"/>
            <w:vAlign w:val="center"/>
          </w:tcPr>
          <w:p w14:paraId="77CA94B5" w14:textId="33B7D9BE" w:rsidR="002D647C" w:rsidRPr="002D647C" w:rsidRDefault="002D647C" w:rsidP="002D647C">
            <w:pPr>
              <w:jc w:val="left"/>
              <w:rPr>
                <w:rFonts w:ascii="Arial Narrow" w:hAnsi="Arial Narrow"/>
                <w:sz w:val="20"/>
                <w:szCs w:val="20"/>
                <w:highlight w:val="yellow"/>
              </w:rPr>
            </w:pPr>
            <w:r w:rsidRPr="002D647C">
              <w:rPr>
                <w:rFonts w:ascii="Arial Narrow" w:hAnsi="Arial Narrow" w:cs="Calibri"/>
                <w:color w:val="000000"/>
                <w:sz w:val="20"/>
                <w:szCs w:val="20"/>
              </w:rPr>
              <w:t>Temporal Co-occurrence</w:t>
            </w:r>
          </w:p>
        </w:tc>
        <w:tc>
          <w:tcPr>
            <w:tcW w:w="720" w:type="dxa"/>
            <w:vAlign w:val="center"/>
          </w:tcPr>
          <w:p w14:paraId="31B7D87E" w14:textId="5683F6A2" w:rsidR="002D647C" w:rsidRPr="002D647C" w:rsidRDefault="002D647C" w:rsidP="002D647C">
            <w:pPr>
              <w:jc w:val="center"/>
              <w:rPr>
                <w:rFonts w:ascii="Arial Narrow" w:hAnsi="Arial Narrow" w:cs="Calibri"/>
                <w:color w:val="000000"/>
                <w:sz w:val="20"/>
                <w:szCs w:val="20"/>
              </w:rPr>
            </w:pPr>
            <w:r w:rsidRPr="002D647C">
              <w:rPr>
                <w:rFonts w:ascii="Arial Narrow" w:hAnsi="Arial Narrow" w:cs="Calibri"/>
                <w:color w:val="000000"/>
                <w:sz w:val="20"/>
                <w:szCs w:val="20"/>
              </w:rPr>
              <w:t>-1</w:t>
            </w:r>
          </w:p>
        </w:tc>
        <w:tc>
          <w:tcPr>
            <w:tcW w:w="720" w:type="dxa"/>
            <w:vAlign w:val="center"/>
          </w:tcPr>
          <w:p w14:paraId="74F9339C" w14:textId="5E7B9F86" w:rsidR="002D647C" w:rsidRPr="002D647C" w:rsidRDefault="002D647C" w:rsidP="002D647C">
            <w:pPr>
              <w:jc w:val="center"/>
              <w:rPr>
                <w:rFonts w:ascii="Arial Narrow" w:hAnsi="Arial Narrow" w:cs="Calibri"/>
                <w:color w:val="000000"/>
                <w:sz w:val="20"/>
                <w:szCs w:val="20"/>
              </w:rPr>
            </w:pPr>
            <w:r w:rsidRPr="002D647C">
              <w:rPr>
                <w:rFonts w:ascii="Arial Narrow" w:hAnsi="Arial Narrow" w:cs="Calibri"/>
                <w:color w:val="000000"/>
                <w:sz w:val="20"/>
                <w:szCs w:val="20"/>
              </w:rPr>
              <w:t>0</w:t>
            </w:r>
          </w:p>
        </w:tc>
        <w:tc>
          <w:tcPr>
            <w:tcW w:w="990" w:type="dxa"/>
            <w:vAlign w:val="center"/>
          </w:tcPr>
          <w:p w14:paraId="173DDFB6" w14:textId="6F763A9F" w:rsidR="002D647C" w:rsidRPr="002D647C" w:rsidRDefault="002D647C" w:rsidP="002D647C">
            <w:pPr>
              <w:jc w:val="center"/>
              <w:rPr>
                <w:rFonts w:ascii="Arial Narrow" w:hAnsi="Arial Narrow" w:cs="Calibri"/>
                <w:color w:val="000000"/>
                <w:sz w:val="20"/>
                <w:szCs w:val="20"/>
              </w:rPr>
            </w:pPr>
            <w:r w:rsidRPr="002D647C">
              <w:rPr>
                <w:rFonts w:ascii="Arial Narrow" w:hAnsi="Arial Narrow" w:cs="Calibri"/>
                <w:color w:val="000000"/>
                <w:sz w:val="20"/>
                <w:szCs w:val="20"/>
              </w:rPr>
              <w:t>-1</w:t>
            </w:r>
          </w:p>
        </w:tc>
        <w:tc>
          <w:tcPr>
            <w:tcW w:w="990" w:type="dxa"/>
            <w:vAlign w:val="center"/>
          </w:tcPr>
          <w:p w14:paraId="3BBBFC4B" w14:textId="00031812" w:rsidR="002D647C" w:rsidRPr="002D647C" w:rsidRDefault="002D647C" w:rsidP="002D647C">
            <w:pPr>
              <w:jc w:val="center"/>
              <w:rPr>
                <w:rFonts w:ascii="Arial Narrow" w:hAnsi="Arial Narrow"/>
                <w:color w:val="000000"/>
                <w:sz w:val="20"/>
                <w:szCs w:val="20"/>
                <w:highlight w:val="yellow"/>
              </w:rPr>
            </w:pPr>
            <w:r w:rsidRPr="002D647C">
              <w:rPr>
                <w:rFonts w:ascii="Arial Narrow" w:hAnsi="Arial Narrow" w:cs="Calibri"/>
                <w:color w:val="000000"/>
                <w:sz w:val="20"/>
                <w:szCs w:val="20"/>
              </w:rPr>
              <w:t>-1</w:t>
            </w:r>
          </w:p>
        </w:tc>
        <w:tc>
          <w:tcPr>
            <w:tcW w:w="3600" w:type="dxa"/>
            <w:vAlign w:val="center"/>
          </w:tcPr>
          <w:p w14:paraId="35CAA569" w14:textId="6AAA7FBD" w:rsidR="002D647C" w:rsidRPr="002D647C" w:rsidRDefault="002D647C" w:rsidP="002D647C">
            <w:pPr>
              <w:jc w:val="left"/>
              <w:rPr>
                <w:rFonts w:ascii="Arial Narrow" w:hAnsi="Arial Narrow"/>
                <w:color w:val="000000"/>
                <w:sz w:val="20"/>
                <w:szCs w:val="20"/>
                <w:highlight w:val="yellow"/>
              </w:rPr>
            </w:pPr>
            <w:r w:rsidRPr="002D647C">
              <w:rPr>
                <w:rFonts w:ascii="Arial Narrow" w:hAnsi="Arial Narrow" w:cs="Calibri"/>
                <w:color w:val="000000"/>
                <w:sz w:val="20"/>
                <w:szCs w:val="20"/>
              </w:rPr>
              <w:t>At or near the time of benthic sample collection, metals cumulative criteria units were well below one in Wolf Creek and Roanoke River.</w:t>
            </w:r>
          </w:p>
        </w:tc>
      </w:tr>
      <w:tr w:rsidR="002D647C" w:rsidRPr="007A0C83" w14:paraId="24A8105E" w14:textId="77777777" w:rsidTr="002D647C">
        <w:trPr>
          <w:trHeight w:val="247"/>
        </w:trPr>
        <w:tc>
          <w:tcPr>
            <w:tcW w:w="2437" w:type="dxa"/>
            <w:vAlign w:val="center"/>
          </w:tcPr>
          <w:p w14:paraId="094BE568" w14:textId="06225BB8" w:rsidR="002D647C" w:rsidRPr="002D647C" w:rsidRDefault="002D647C" w:rsidP="002D647C">
            <w:pPr>
              <w:jc w:val="left"/>
              <w:rPr>
                <w:rFonts w:ascii="Arial Narrow" w:hAnsi="Arial Narrow" w:cs="Calibri"/>
                <w:b/>
                <w:bCs/>
                <w:color w:val="000000"/>
                <w:sz w:val="20"/>
                <w:szCs w:val="20"/>
                <w:highlight w:val="yellow"/>
              </w:rPr>
            </w:pPr>
            <w:r w:rsidRPr="002D647C">
              <w:rPr>
                <w:rFonts w:ascii="Arial Narrow" w:hAnsi="Arial Narrow" w:cs="Calibri"/>
                <w:color w:val="000000"/>
                <w:sz w:val="20"/>
                <w:szCs w:val="20"/>
              </w:rPr>
              <w:t>Laboratory Tests of Site Media</w:t>
            </w:r>
          </w:p>
        </w:tc>
        <w:tc>
          <w:tcPr>
            <w:tcW w:w="720" w:type="dxa"/>
            <w:vAlign w:val="center"/>
          </w:tcPr>
          <w:p w14:paraId="3FAC7D41" w14:textId="6F254C8D" w:rsidR="002D647C" w:rsidRPr="002D647C" w:rsidRDefault="002D647C" w:rsidP="002D647C">
            <w:pPr>
              <w:jc w:val="center"/>
              <w:rPr>
                <w:rFonts w:ascii="Arial Narrow" w:hAnsi="Arial Narrow" w:cs="Calibri"/>
                <w:color w:val="000000"/>
                <w:sz w:val="20"/>
                <w:szCs w:val="20"/>
              </w:rPr>
            </w:pPr>
            <w:r w:rsidRPr="002D647C">
              <w:rPr>
                <w:rFonts w:ascii="Arial Narrow" w:hAnsi="Arial Narrow" w:cs="Calibri"/>
                <w:color w:val="000000"/>
                <w:sz w:val="20"/>
                <w:szCs w:val="20"/>
              </w:rPr>
              <w:t>0</w:t>
            </w:r>
          </w:p>
        </w:tc>
        <w:tc>
          <w:tcPr>
            <w:tcW w:w="720" w:type="dxa"/>
            <w:vAlign w:val="center"/>
          </w:tcPr>
          <w:p w14:paraId="574E0279" w14:textId="04F6AB99" w:rsidR="002D647C" w:rsidRPr="002D647C" w:rsidRDefault="002D647C" w:rsidP="002D647C">
            <w:pPr>
              <w:jc w:val="center"/>
              <w:rPr>
                <w:rFonts w:ascii="Arial Narrow" w:hAnsi="Arial Narrow" w:cs="Calibri"/>
                <w:color w:val="000000"/>
                <w:sz w:val="20"/>
                <w:szCs w:val="20"/>
              </w:rPr>
            </w:pPr>
            <w:r w:rsidRPr="002D647C">
              <w:rPr>
                <w:rFonts w:ascii="Arial Narrow" w:hAnsi="Arial Narrow" w:cs="Calibri"/>
                <w:color w:val="000000"/>
                <w:sz w:val="20"/>
                <w:szCs w:val="20"/>
              </w:rPr>
              <w:t>0</w:t>
            </w:r>
          </w:p>
        </w:tc>
        <w:tc>
          <w:tcPr>
            <w:tcW w:w="990" w:type="dxa"/>
            <w:vAlign w:val="center"/>
          </w:tcPr>
          <w:p w14:paraId="66C1D052" w14:textId="0621AF21" w:rsidR="002D647C" w:rsidRPr="002D647C" w:rsidRDefault="002D647C" w:rsidP="002D647C">
            <w:pPr>
              <w:jc w:val="center"/>
              <w:rPr>
                <w:rFonts w:ascii="Arial Narrow" w:hAnsi="Arial Narrow" w:cs="Calibri"/>
                <w:color w:val="000000"/>
                <w:sz w:val="20"/>
                <w:szCs w:val="20"/>
              </w:rPr>
            </w:pPr>
            <w:r w:rsidRPr="002D647C">
              <w:rPr>
                <w:rFonts w:ascii="Arial Narrow" w:hAnsi="Arial Narrow" w:cs="Calibri"/>
                <w:color w:val="000000"/>
                <w:sz w:val="20"/>
                <w:szCs w:val="20"/>
              </w:rPr>
              <w:t>-2</w:t>
            </w:r>
          </w:p>
        </w:tc>
        <w:tc>
          <w:tcPr>
            <w:tcW w:w="990" w:type="dxa"/>
            <w:vAlign w:val="center"/>
          </w:tcPr>
          <w:p w14:paraId="3461B700" w14:textId="55482E59" w:rsidR="002D647C" w:rsidRPr="002D647C" w:rsidRDefault="002D647C" w:rsidP="002D647C">
            <w:pPr>
              <w:jc w:val="center"/>
              <w:rPr>
                <w:rFonts w:ascii="Arial Narrow" w:hAnsi="Arial Narrow" w:cs="Calibri"/>
                <w:b/>
                <w:color w:val="000000"/>
                <w:sz w:val="20"/>
                <w:szCs w:val="20"/>
                <w:highlight w:val="yellow"/>
              </w:rPr>
            </w:pPr>
            <w:r w:rsidRPr="002D647C">
              <w:rPr>
                <w:rFonts w:ascii="Arial Narrow" w:hAnsi="Arial Narrow" w:cs="Calibri"/>
                <w:color w:val="000000"/>
                <w:sz w:val="20"/>
                <w:szCs w:val="20"/>
              </w:rPr>
              <w:t>-2</w:t>
            </w:r>
          </w:p>
        </w:tc>
        <w:tc>
          <w:tcPr>
            <w:tcW w:w="3600" w:type="dxa"/>
            <w:vAlign w:val="center"/>
          </w:tcPr>
          <w:p w14:paraId="23B65358" w14:textId="4D26F05C" w:rsidR="002D647C" w:rsidRPr="002D647C" w:rsidRDefault="002D647C" w:rsidP="002D647C">
            <w:pPr>
              <w:jc w:val="left"/>
              <w:rPr>
                <w:rFonts w:ascii="Arial Narrow" w:hAnsi="Arial Narrow"/>
                <w:color w:val="000000"/>
                <w:sz w:val="20"/>
                <w:szCs w:val="20"/>
                <w:highlight w:val="yellow"/>
              </w:rPr>
            </w:pPr>
            <w:r w:rsidRPr="002D647C">
              <w:rPr>
                <w:rFonts w:ascii="Arial Narrow" w:hAnsi="Arial Narrow" w:cs="Calibri"/>
                <w:color w:val="000000"/>
                <w:sz w:val="20"/>
                <w:szCs w:val="20"/>
              </w:rPr>
              <w:t xml:space="preserve">No toxicity (in IC25 endpoints) was observed in C. </w:t>
            </w:r>
            <w:proofErr w:type="spellStart"/>
            <w:r w:rsidRPr="002D647C">
              <w:rPr>
                <w:rFonts w:ascii="Arial Narrow" w:hAnsi="Arial Narrow" w:cs="Calibri"/>
                <w:color w:val="000000"/>
                <w:sz w:val="20"/>
                <w:szCs w:val="20"/>
              </w:rPr>
              <w:t>dubia</w:t>
            </w:r>
            <w:proofErr w:type="spellEnd"/>
            <w:r w:rsidRPr="002D647C">
              <w:rPr>
                <w:rFonts w:ascii="Arial Narrow" w:hAnsi="Arial Narrow" w:cs="Calibri"/>
                <w:color w:val="000000"/>
                <w:sz w:val="20"/>
                <w:szCs w:val="20"/>
              </w:rPr>
              <w:t xml:space="preserve"> and P. </w:t>
            </w:r>
            <w:proofErr w:type="spellStart"/>
            <w:r w:rsidRPr="002D647C">
              <w:rPr>
                <w:rFonts w:ascii="Arial Narrow" w:hAnsi="Arial Narrow" w:cs="Calibri"/>
                <w:color w:val="000000"/>
                <w:sz w:val="20"/>
                <w:szCs w:val="20"/>
              </w:rPr>
              <w:t>promelas</w:t>
            </w:r>
            <w:proofErr w:type="spellEnd"/>
            <w:r w:rsidRPr="002D647C">
              <w:rPr>
                <w:rFonts w:ascii="Arial Narrow" w:hAnsi="Arial Narrow" w:cs="Calibri"/>
                <w:color w:val="000000"/>
                <w:sz w:val="20"/>
                <w:szCs w:val="20"/>
              </w:rPr>
              <w:t xml:space="preserve"> laboratory toxicity testing of Roanoke River samples.</w:t>
            </w:r>
          </w:p>
        </w:tc>
      </w:tr>
      <w:tr w:rsidR="002D647C" w:rsidRPr="007A0C83" w14:paraId="2BE8F715" w14:textId="77777777" w:rsidTr="002D647C">
        <w:trPr>
          <w:trHeight w:val="247"/>
        </w:trPr>
        <w:tc>
          <w:tcPr>
            <w:tcW w:w="2437" w:type="dxa"/>
            <w:vAlign w:val="center"/>
          </w:tcPr>
          <w:p w14:paraId="5AC7301C" w14:textId="09BAA63B" w:rsidR="002D647C" w:rsidRPr="002D647C" w:rsidRDefault="002D647C" w:rsidP="002D647C">
            <w:pPr>
              <w:jc w:val="left"/>
              <w:rPr>
                <w:rFonts w:ascii="Arial Narrow" w:hAnsi="Arial Narrow" w:cs="Calibri"/>
                <w:b/>
                <w:bCs/>
                <w:color w:val="000000"/>
                <w:sz w:val="20"/>
                <w:szCs w:val="20"/>
              </w:rPr>
            </w:pPr>
            <w:r w:rsidRPr="002D647C">
              <w:rPr>
                <w:rFonts w:ascii="Arial Narrow" w:hAnsi="Arial Narrow" w:cs="Calibri"/>
                <w:color w:val="000000"/>
                <w:sz w:val="20"/>
                <w:szCs w:val="20"/>
              </w:rPr>
              <w:t>Stressor-Response Relationships from Other Field Studies</w:t>
            </w:r>
          </w:p>
        </w:tc>
        <w:tc>
          <w:tcPr>
            <w:tcW w:w="720" w:type="dxa"/>
            <w:vAlign w:val="center"/>
          </w:tcPr>
          <w:p w14:paraId="268D8FCB" w14:textId="5887E293" w:rsidR="002D647C" w:rsidRPr="002D647C" w:rsidRDefault="002D647C" w:rsidP="002D647C">
            <w:pPr>
              <w:jc w:val="center"/>
              <w:rPr>
                <w:rFonts w:ascii="Arial Narrow" w:hAnsi="Arial Narrow" w:cs="Calibri"/>
                <w:b/>
                <w:color w:val="000000"/>
                <w:sz w:val="20"/>
                <w:szCs w:val="20"/>
              </w:rPr>
            </w:pPr>
            <w:r w:rsidRPr="002D647C">
              <w:rPr>
                <w:rFonts w:ascii="Arial Narrow" w:hAnsi="Arial Narrow" w:cs="Calibri"/>
                <w:color w:val="000000"/>
                <w:sz w:val="20"/>
                <w:szCs w:val="20"/>
              </w:rPr>
              <w:t>-3</w:t>
            </w:r>
          </w:p>
        </w:tc>
        <w:tc>
          <w:tcPr>
            <w:tcW w:w="720" w:type="dxa"/>
            <w:vAlign w:val="center"/>
          </w:tcPr>
          <w:p w14:paraId="1FD22E9F" w14:textId="700C03A1" w:rsidR="002D647C" w:rsidRPr="002D647C" w:rsidRDefault="002D647C" w:rsidP="002D647C">
            <w:pPr>
              <w:jc w:val="center"/>
              <w:rPr>
                <w:rFonts w:ascii="Arial Narrow" w:hAnsi="Arial Narrow" w:cs="Calibri"/>
                <w:b/>
                <w:color w:val="000000"/>
                <w:sz w:val="20"/>
                <w:szCs w:val="20"/>
              </w:rPr>
            </w:pPr>
            <w:r w:rsidRPr="002D647C">
              <w:rPr>
                <w:rFonts w:ascii="Arial Narrow" w:hAnsi="Arial Narrow" w:cs="Calibri"/>
                <w:color w:val="000000"/>
                <w:sz w:val="20"/>
                <w:szCs w:val="20"/>
              </w:rPr>
              <w:t>-3</w:t>
            </w:r>
          </w:p>
        </w:tc>
        <w:tc>
          <w:tcPr>
            <w:tcW w:w="990" w:type="dxa"/>
            <w:vAlign w:val="center"/>
          </w:tcPr>
          <w:p w14:paraId="5D53555D" w14:textId="17F43CB7" w:rsidR="002D647C" w:rsidRPr="002D647C" w:rsidRDefault="002D647C" w:rsidP="002D647C">
            <w:pPr>
              <w:jc w:val="center"/>
              <w:rPr>
                <w:rFonts w:ascii="Arial Narrow" w:hAnsi="Arial Narrow" w:cs="Calibri"/>
                <w:b/>
                <w:color w:val="000000"/>
                <w:sz w:val="20"/>
                <w:szCs w:val="20"/>
              </w:rPr>
            </w:pPr>
            <w:r w:rsidRPr="002D647C">
              <w:rPr>
                <w:rFonts w:ascii="Arial Narrow" w:hAnsi="Arial Narrow" w:cs="Calibri"/>
                <w:color w:val="000000"/>
                <w:sz w:val="20"/>
                <w:szCs w:val="20"/>
              </w:rPr>
              <w:t>-3</w:t>
            </w:r>
          </w:p>
        </w:tc>
        <w:tc>
          <w:tcPr>
            <w:tcW w:w="990" w:type="dxa"/>
            <w:vAlign w:val="center"/>
          </w:tcPr>
          <w:p w14:paraId="60FEB530" w14:textId="0FC9EA76" w:rsidR="002D647C" w:rsidRPr="002D647C" w:rsidRDefault="002D647C" w:rsidP="002D647C">
            <w:pPr>
              <w:jc w:val="center"/>
              <w:rPr>
                <w:rFonts w:ascii="Arial Narrow" w:hAnsi="Arial Narrow" w:cs="Calibri"/>
                <w:b/>
                <w:color w:val="000000"/>
                <w:sz w:val="20"/>
                <w:szCs w:val="20"/>
              </w:rPr>
            </w:pPr>
            <w:r w:rsidRPr="002D647C">
              <w:rPr>
                <w:rFonts w:ascii="Arial Narrow" w:hAnsi="Arial Narrow" w:cs="Calibri"/>
                <w:color w:val="000000"/>
                <w:sz w:val="20"/>
                <w:szCs w:val="20"/>
              </w:rPr>
              <w:t>-3</w:t>
            </w:r>
          </w:p>
        </w:tc>
        <w:tc>
          <w:tcPr>
            <w:tcW w:w="3600" w:type="dxa"/>
            <w:vAlign w:val="center"/>
          </w:tcPr>
          <w:p w14:paraId="2679DB90" w14:textId="50346A43" w:rsidR="002D647C" w:rsidRPr="002D647C" w:rsidRDefault="002D647C" w:rsidP="002D647C">
            <w:pPr>
              <w:jc w:val="left"/>
              <w:rPr>
                <w:rFonts w:ascii="Arial Narrow" w:hAnsi="Arial Narrow"/>
                <w:color w:val="000000"/>
                <w:sz w:val="20"/>
                <w:szCs w:val="20"/>
                <w:highlight w:val="yellow"/>
              </w:rPr>
            </w:pPr>
            <w:r w:rsidRPr="002D647C">
              <w:rPr>
                <w:rFonts w:ascii="Arial Narrow" w:hAnsi="Arial Narrow" w:cs="Calibri"/>
                <w:color w:val="000000"/>
                <w:sz w:val="20"/>
                <w:szCs w:val="20"/>
              </w:rPr>
              <w:t xml:space="preserve">Cumulative criteria units for dissolved metals were in the no probability range for stressor effects in all streams. </w:t>
            </w:r>
          </w:p>
        </w:tc>
      </w:tr>
      <w:tr w:rsidR="002D647C" w:rsidRPr="007A0C83" w14:paraId="6CB923B4" w14:textId="77777777" w:rsidTr="002D647C">
        <w:trPr>
          <w:trHeight w:val="247"/>
        </w:trPr>
        <w:tc>
          <w:tcPr>
            <w:tcW w:w="2437" w:type="dxa"/>
            <w:vAlign w:val="center"/>
          </w:tcPr>
          <w:p w14:paraId="235BBD51" w14:textId="1A6EFB55" w:rsidR="002D647C" w:rsidRPr="002D647C" w:rsidRDefault="002D647C" w:rsidP="002D647C">
            <w:pPr>
              <w:jc w:val="left"/>
              <w:rPr>
                <w:rFonts w:ascii="Arial Narrow" w:hAnsi="Arial Narrow" w:cs="Calibri"/>
                <w:b/>
                <w:bCs/>
                <w:color w:val="000000"/>
                <w:sz w:val="20"/>
                <w:szCs w:val="20"/>
              </w:rPr>
            </w:pPr>
            <w:r w:rsidRPr="002D647C">
              <w:rPr>
                <w:rFonts w:ascii="Arial Narrow" w:hAnsi="Arial Narrow" w:cs="Calibri"/>
                <w:color w:val="000000"/>
                <w:sz w:val="20"/>
                <w:szCs w:val="20"/>
              </w:rPr>
              <w:t>Stressor-Response Relationships from Laboratory Studies</w:t>
            </w:r>
          </w:p>
        </w:tc>
        <w:tc>
          <w:tcPr>
            <w:tcW w:w="720" w:type="dxa"/>
            <w:vAlign w:val="center"/>
          </w:tcPr>
          <w:p w14:paraId="117A9A5B" w14:textId="321C18B2" w:rsidR="002D647C" w:rsidRPr="002D647C" w:rsidRDefault="002D647C" w:rsidP="002D647C">
            <w:pPr>
              <w:jc w:val="center"/>
              <w:rPr>
                <w:rFonts w:ascii="Arial Narrow" w:hAnsi="Arial Narrow" w:cs="Calibri"/>
                <w:b/>
                <w:color w:val="000000"/>
                <w:sz w:val="20"/>
                <w:szCs w:val="20"/>
              </w:rPr>
            </w:pPr>
            <w:r w:rsidRPr="002D647C">
              <w:rPr>
                <w:rFonts w:ascii="Arial Narrow" w:hAnsi="Arial Narrow" w:cs="Calibri"/>
                <w:color w:val="000000"/>
                <w:sz w:val="20"/>
                <w:szCs w:val="20"/>
              </w:rPr>
              <w:t>-3</w:t>
            </w:r>
          </w:p>
        </w:tc>
        <w:tc>
          <w:tcPr>
            <w:tcW w:w="720" w:type="dxa"/>
            <w:vAlign w:val="center"/>
          </w:tcPr>
          <w:p w14:paraId="278044F1" w14:textId="4F97A10A" w:rsidR="002D647C" w:rsidRPr="002D647C" w:rsidRDefault="002D647C" w:rsidP="002D647C">
            <w:pPr>
              <w:jc w:val="center"/>
              <w:rPr>
                <w:rFonts w:ascii="Arial Narrow" w:hAnsi="Arial Narrow" w:cs="Calibri"/>
                <w:b/>
                <w:color w:val="000000"/>
                <w:sz w:val="20"/>
                <w:szCs w:val="20"/>
              </w:rPr>
            </w:pPr>
            <w:r w:rsidRPr="002D647C">
              <w:rPr>
                <w:rFonts w:ascii="Arial Narrow" w:hAnsi="Arial Narrow" w:cs="Calibri"/>
                <w:color w:val="000000"/>
                <w:sz w:val="20"/>
                <w:szCs w:val="20"/>
              </w:rPr>
              <w:t>-3</w:t>
            </w:r>
          </w:p>
        </w:tc>
        <w:tc>
          <w:tcPr>
            <w:tcW w:w="990" w:type="dxa"/>
            <w:vAlign w:val="center"/>
          </w:tcPr>
          <w:p w14:paraId="7EE187A5" w14:textId="22EB09CC" w:rsidR="002D647C" w:rsidRPr="002D647C" w:rsidRDefault="002D647C" w:rsidP="002D647C">
            <w:pPr>
              <w:jc w:val="center"/>
              <w:rPr>
                <w:rFonts w:ascii="Arial Narrow" w:hAnsi="Arial Narrow" w:cs="Calibri"/>
                <w:b/>
                <w:color w:val="000000"/>
                <w:sz w:val="20"/>
                <w:szCs w:val="20"/>
              </w:rPr>
            </w:pPr>
            <w:r w:rsidRPr="002D647C">
              <w:rPr>
                <w:rFonts w:ascii="Arial Narrow" w:hAnsi="Arial Narrow" w:cs="Calibri"/>
                <w:color w:val="000000"/>
                <w:sz w:val="20"/>
                <w:szCs w:val="20"/>
              </w:rPr>
              <w:t>-3</w:t>
            </w:r>
          </w:p>
        </w:tc>
        <w:tc>
          <w:tcPr>
            <w:tcW w:w="990" w:type="dxa"/>
            <w:vAlign w:val="center"/>
          </w:tcPr>
          <w:p w14:paraId="2D1DCAB1" w14:textId="1278726B" w:rsidR="002D647C" w:rsidRPr="002D647C" w:rsidRDefault="002D647C" w:rsidP="002D647C">
            <w:pPr>
              <w:jc w:val="center"/>
              <w:rPr>
                <w:rFonts w:ascii="Arial Narrow" w:hAnsi="Arial Narrow" w:cs="Calibri"/>
                <w:b/>
                <w:color w:val="000000"/>
                <w:sz w:val="20"/>
                <w:szCs w:val="20"/>
              </w:rPr>
            </w:pPr>
            <w:r w:rsidRPr="002D647C">
              <w:rPr>
                <w:rFonts w:ascii="Arial Narrow" w:hAnsi="Arial Narrow" w:cs="Calibri"/>
                <w:color w:val="000000"/>
                <w:sz w:val="20"/>
                <w:szCs w:val="20"/>
              </w:rPr>
              <w:t>-3</w:t>
            </w:r>
          </w:p>
        </w:tc>
        <w:tc>
          <w:tcPr>
            <w:tcW w:w="3600" w:type="dxa"/>
            <w:vAlign w:val="center"/>
          </w:tcPr>
          <w:p w14:paraId="6AF5A49E" w14:textId="353EDE35" w:rsidR="002D647C" w:rsidRPr="002D647C" w:rsidRDefault="002D647C" w:rsidP="002D647C">
            <w:pPr>
              <w:jc w:val="left"/>
              <w:rPr>
                <w:rFonts w:ascii="Arial Narrow" w:hAnsi="Arial Narrow"/>
                <w:color w:val="000000"/>
                <w:sz w:val="20"/>
                <w:szCs w:val="20"/>
                <w:highlight w:val="yellow"/>
              </w:rPr>
            </w:pPr>
            <w:r w:rsidRPr="002D647C">
              <w:rPr>
                <w:rFonts w:ascii="Arial Narrow" w:hAnsi="Arial Narrow" w:cs="Calibri"/>
                <w:color w:val="000000"/>
                <w:sz w:val="20"/>
                <w:szCs w:val="20"/>
              </w:rPr>
              <w:t xml:space="preserve">All dissolved metals values were below water quality standards and published effect thresholds. </w:t>
            </w:r>
          </w:p>
        </w:tc>
      </w:tr>
      <w:tr w:rsidR="002D647C" w:rsidRPr="007A0C83" w14:paraId="22E8242A" w14:textId="77777777" w:rsidTr="002D647C">
        <w:trPr>
          <w:trHeight w:val="247"/>
        </w:trPr>
        <w:tc>
          <w:tcPr>
            <w:tcW w:w="2437" w:type="dxa"/>
            <w:vAlign w:val="center"/>
          </w:tcPr>
          <w:p w14:paraId="7036BECD" w14:textId="6F4D9B55" w:rsidR="002D647C" w:rsidRPr="002D647C" w:rsidRDefault="002D647C" w:rsidP="002D647C">
            <w:pPr>
              <w:jc w:val="left"/>
              <w:rPr>
                <w:rFonts w:ascii="Arial Narrow" w:hAnsi="Arial Narrow" w:cs="Calibri"/>
                <w:b/>
                <w:bCs/>
                <w:color w:val="000000"/>
                <w:sz w:val="20"/>
                <w:szCs w:val="20"/>
              </w:rPr>
            </w:pPr>
            <w:r w:rsidRPr="002D647C">
              <w:rPr>
                <w:rFonts w:ascii="Arial Narrow" w:hAnsi="Arial Narrow" w:cs="Calibri"/>
                <w:color w:val="000000"/>
                <w:sz w:val="20"/>
                <w:szCs w:val="20"/>
              </w:rPr>
              <w:t>Consistency of Evidence</w:t>
            </w:r>
          </w:p>
        </w:tc>
        <w:tc>
          <w:tcPr>
            <w:tcW w:w="720" w:type="dxa"/>
            <w:vAlign w:val="center"/>
          </w:tcPr>
          <w:p w14:paraId="7F42A0B3" w14:textId="150CCA79" w:rsidR="002D647C" w:rsidRPr="002D647C" w:rsidRDefault="002D647C" w:rsidP="002D647C">
            <w:pPr>
              <w:jc w:val="center"/>
              <w:rPr>
                <w:rFonts w:ascii="Arial Narrow" w:hAnsi="Arial Narrow" w:cs="Calibri"/>
                <w:b/>
                <w:color w:val="000000"/>
                <w:sz w:val="20"/>
                <w:szCs w:val="20"/>
              </w:rPr>
            </w:pPr>
            <w:r w:rsidRPr="002D647C">
              <w:rPr>
                <w:rFonts w:ascii="Arial Narrow" w:hAnsi="Arial Narrow" w:cs="Calibri"/>
                <w:color w:val="000000"/>
                <w:sz w:val="20"/>
                <w:szCs w:val="20"/>
              </w:rPr>
              <w:t>-3</w:t>
            </w:r>
          </w:p>
        </w:tc>
        <w:tc>
          <w:tcPr>
            <w:tcW w:w="720" w:type="dxa"/>
            <w:vAlign w:val="center"/>
          </w:tcPr>
          <w:p w14:paraId="3A1BF853" w14:textId="36B6D386" w:rsidR="002D647C" w:rsidRPr="002D647C" w:rsidRDefault="002D647C" w:rsidP="002D647C">
            <w:pPr>
              <w:jc w:val="center"/>
              <w:rPr>
                <w:rFonts w:ascii="Arial Narrow" w:hAnsi="Arial Narrow" w:cs="Calibri"/>
                <w:b/>
                <w:color w:val="000000"/>
                <w:sz w:val="20"/>
                <w:szCs w:val="20"/>
              </w:rPr>
            </w:pPr>
            <w:r w:rsidRPr="002D647C">
              <w:rPr>
                <w:rFonts w:ascii="Arial Narrow" w:hAnsi="Arial Narrow" w:cs="Calibri"/>
                <w:color w:val="000000"/>
                <w:sz w:val="20"/>
                <w:szCs w:val="20"/>
              </w:rPr>
              <w:t>-3</w:t>
            </w:r>
          </w:p>
        </w:tc>
        <w:tc>
          <w:tcPr>
            <w:tcW w:w="990" w:type="dxa"/>
            <w:vAlign w:val="center"/>
          </w:tcPr>
          <w:p w14:paraId="5E126762" w14:textId="344B11AC" w:rsidR="002D647C" w:rsidRPr="002D647C" w:rsidRDefault="002D647C" w:rsidP="002D647C">
            <w:pPr>
              <w:jc w:val="center"/>
              <w:rPr>
                <w:rFonts w:ascii="Arial Narrow" w:hAnsi="Arial Narrow" w:cs="Calibri"/>
                <w:b/>
                <w:color w:val="000000"/>
                <w:sz w:val="20"/>
                <w:szCs w:val="20"/>
              </w:rPr>
            </w:pPr>
            <w:r w:rsidRPr="002D647C">
              <w:rPr>
                <w:rFonts w:ascii="Arial Narrow" w:hAnsi="Arial Narrow" w:cs="Calibri"/>
                <w:color w:val="000000"/>
                <w:sz w:val="20"/>
                <w:szCs w:val="20"/>
              </w:rPr>
              <w:t>-3</w:t>
            </w:r>
          </w:p>
        </w:tc>
        <w:tc>
          <w:tcPr>
            <w:tcW w:w="990" w:type="dxa"/>
            <w:vAlign w:val="center"/>
          </w:tcPr>
          <w:p w14:paraId="031515A3" w14:textId="5C7BA50A" w:rsidR="002D647C" w:rsidRPr="002D647C" w:rsidRDefault="002D647C" w:rsidP="002D647C">
            <w:pPr>
              <w:jc w:val="center"/>
              <w:rPr>
                <w:rFonts w:ascii="Arial Narrow" w:hAnsi="Arial Narrow" w:cs="Calibri"/>
                <w:b/>
                <w:color w:val="000000"/>
                <w:sz w:val="20"/>
                <w:szCs w:val="20"/>
              </w:rPr>
            </w:pPr>
            <w:r w:rsidRPr="002D647C">
              <w:rPr>
                <w:rFonts w:ascii="Arial Narrow" w:hAnsi="Arial Narrow" w:cs="Calibri"/>
                <w:color w:val="000000"/>
                <w:sz w:val="20"/>
                <w:szCs w:val="20"/>
              </w:rPr>
              <w:t>-3</w:t>
            </w:r>
          </w:p>
        </w:tc>
        <w:tc>
          <w:tcPr>
            <w:tcW w:w="3600" w:type="dxa"/>
            <w:vAlign w:val="center"/>
          </w:tcPr>
          <w:p w14:paraId="5AEBCB6E" w14:textId="142B5635" w:rsidR="002D647C" w:rsidRPr="002D647C" w:rsidRDefault="002D647C" w:rsidP="002D647C">
            <w:pPr>
              <w:jc w:val="left"/>
              <w:rPr>
                <w:rFonts w:ascii="Arial Narrow" w:hAnsi="Arial Narrow"/>
                <w:color w:val="000000"/>
                <w:sz w:val="20"/>
                <w:szCs w:val="20"/>
                <w:highlight w:val="yellow"/>
              </w:rPr>
            </w:pPr>
            <w:r w:rsidRPr="002D647C">
              <w:rPr>
                <w:rFonts w:ascii="Arial Narrow" w:hAnsi="Arial Narrow" w:cs="Calibri"/>
                <w:color w:val="000000"/>
                <w:sz w:val="20"/>
                <w:szCs w:val="20"/>
              </w:rPr>
              <w:t>Evidence consistently refuted dissolved metals as a stressor in all streams.</w:t>
            </w:r>
          </w:p>
        </w:tc>
      </w:tr>
      <w:tr w:rsidR="002D647C" w:rsidRPr="002D647C" w14:paraId="70BC171A" w14:textId="77777777" w:rsidTr="002D647C">
        <w:trPr>
          <w:trHeight w:val="247"/>
        </w:trPr>
        <w:tc>
          <w:tcPr>
            <w:tcW w:w="2437" w:type="dxa"/>
            <w:vAlign w:val="center"/>
          </w:tcPr>
          <w:p w14:paraId="3994EF64" w14:textId="6CCC4570" w:rsidR="002D647C" w:rsidRPr="002D647C" w:rsidRDefault="002D647C" w:rsidP="002D647C">
            <w:pPr>
              <w:jc w:val="right"/>
              <w:rPr>
                <w:rFonts w:ascii="Arial Narrow" w:hAnsi="Arial Narrow" w:cs="Calibri"/>
                <w:b/>
                <w:bCs/>
                <w:color w:val="000000"/>
                <w:sz w:val="20"/>
                <w:szCs w:val="20"/>
              </w:rPr>
            </w:pPr>
            <w:r w:rsidRPr="002D647C">
              <w:rPr>
                <w:rFonts w:ascii="Arial Narrow" w:hAnsi="Arial Narrow" w:cs="Calibri"/>
                <w:b/>
                <w:bCs/>
                <w:color w:val="000000"/>
                <w:sz w:val="20"/>
                <w:szCs w:val="20"/>
              </w:rPr>
              <w:t>Sum</w:t>
            </w:r>
          </w:p>
        </w:tc>
        <w:tc>
          <w:tcPr>
            <w:tcW w:w="720" w:type="dxa"/>
            <w:vAlign w:val="center"/>
          </w:tcPr>
          <w:p w14:paraId="21B0ADBD" w14:textId="13A29894" w:rsidR="002D647C" w:rsidRPr="002D647C" w:rsidRDefault="002D647C" w:rsidP="002D647C">
            <w:pPr>
              <w:jc w:val="center"/>
              <w:rPr>
                <w:rFonts w:ascii="Arial Narrow" w:hAnsi="Arial Narrow" w:cs="Calibri"/>
                <w:b/>
                <w:color w:val="000000"/>
                <w:sz w:val="20"/>
                <w:szCs w:val="20"/>
              </w:rPr>
            </w:pPr>
            <w:r w:rsidRPr="002D647C">
              <w:rPr>
                <w:rFonts w:ascii="Arial Narrow" w:hAnsi="Arial Narrow" w:cs="Calibri"/>
                <w:b/>
                <w:color w:val="000000"/>
                <w:sz w:val="20"/>
                <w:szCs w:val="20"/>
              </w:rPr>
              <w:t>-13</w:t>
            </w:r>
          </w:p>
        </w:tc>
        <w:tc>
          <w:tcPr>
            <w:tcW w:w="720" w:type="dxa"/>
            <w:vAlign w:val="center"/>
          </w:tcPr>
          <w:p w14:paraId="12060068" w14:textId="04FD03AD" w:rsidR="002D647C" w:rsidRPr="002D647C" w:rsidRDefault="002D647C" w:rsidP="002D647C">
            <w:pPr>
              <w:jc w:val="center"/>
              <w:rPr>
                <w:rFonts w:ascii="Arial Narrow" w:hAnsi="Arial Narrow" w:cs="Calibri"/>
                <w:b/>
                <w:color w:val="000000"/>
                <w:sz w:val="20"/>
                <w:szCs w:val="20"/>
              </w:rPr>
            </w:pPr>
            <w:r w:rsidRPr="002D647C">
              <w:rPr>
                <w:rFonts w:ascii="Arial Narrow" w:hAnsi="Arial Narrow" w:cs="Calibri"/>
                <w:b/>
                <w:color w:val="000000"/>
                <w:sz w:val="20"/>
                <w:szCs w:val="20"/>
              </w:rPr>
              <w:t>-12</w:t>
            </w:r>
          </w:p>
        </w:tc>
        <w:tc>
          <w:tcPr>
            <w:tcW w:w="990" w:type="dxa"/>
            <w:vAlign w:val="center"/>
          </w:tcPr>
          <w:p w14:paraId="0B4A59F8" w14:textId="27C27130" w:rsidR="002D647C" w:rsidRPr="002D647C" w:rsidRDefault="002D647C" w:rsidP="002D647C">
            <w:pPr>
              <w:jc w:val="center"/>
              <w:rPr>
                <w:rFonts w:ascii="Arial Narrow" w:hAnsi="Arial Narrow" w:cs="Calibri"/>
                <w:b/>
                <w:color w:val="000000"/>
                <w:sz w:val="20"/>
                <w:szCs w:val="20"/>
              </w:rPr>
            </w:pPr>
            <w:r w:rsidRPr="002D647C">
              <w:rPr>
                <w:rFonts w:ascii="Arial Narrow" w:hAnsi="Arial Narrow" w:cs="Calibri"/>
                <w:b/>
                <w:color w:val="000000"/>
                <w:sz w:val="20"/>
                <w:szCs w:val="20"/>
              </w:rPr>
              <w:t>-15</w:t>
            </w:r>
          </w:p>
        </w:tc>
        <w:tc>
          <w:tcPr>
            <w:tcW w:w="990" w:type="dxa"/>
            <w:vAlign w:val="center"/>
          </w:tcPr>
          <w:p w14:paraId="3E6A3DCF" w14:textId="7B30DA78" w:rsidR="002D647C" w:rsidRPr="002D647C" w:rsidRDefault="002D647C" w:rsidP="002D647C">
            <w:pPr>
              <w:jc w:val="center"/>
              <w:rPr>
                <w:rFonts w:ascii="Arial Narrow" w:hAnsi="Arial Narrow" w:cs="Calibri"/>
                <w:b/>
                <w:color w:val="000000"/>
                <w:sz w:val="20"/>
                <w:szCs w:val="20"/>
              </w:rPr>
            </w:pPr>
            <w:r w:rsidRPr="002D647C">
              <w:rPr>
                <w:rFonts w:ascii="Arial Narrow" w:hAnsi="Arial Narrow" w:cs="Calibri"/>
                <w:b/>
                <w:color w:val="000000"/>
                <w:sz w:val="20"/>
                <w:szCs w:val="20"/>
              </w:rPr>
              <w:t>-15</w:t>
            </w:r>
          </w:p>
        </w:tc>
        <w:tc>
          <w:tcPr>
            <w:tcW w:w="3600" w:type="dxa"/>
            <w:vAlign w:val="center"/>
          </w:tcPr>
          <w:p w14:paraId="0CD20951" w14:textId="77777777" w:rsidR="002D647C" w:rsidRPr="002D647C" w:rsidRDefault="002D647C" w:rsidP="002D647C">
            <w:pPr>
              <w:jc w:val="left"/>
              <w:rPr>
                <w:rFonts w:ascii="Arial Narrow" w:hAnsi="Arial Narrow"/>
                <w:b/>
                <w:color w:val="000000"/>
                <w:sz w:val="20"/>
                <w:szCs w:val="20"/>
                <w:highlight w:val="yellow"/>
              </w:rPr>
            </w:pPr>
          </w:p>
        </w:tc>
      </w:tr>
    </w:tbl>
    <w:p w14:paraId="5AD9CB1D" w14:textId="5AE38A57" w:rsidR="008A1F50" w:rsidRDefault="008A1F50" w:rsidP="005E4B50">
      <w:pPr>
        <w:pStyle w:val="BlockText"/>
        <w:spacing w:before="0" w:after="0" w:line="240" w:lineRule="auto"/>
        <w:rPr>
          <w:highlight w:val="yellow"/>
        </w:rPr>
      </w:pPr>
    </w:p>
    <w:p w14:paraId="5786BA28" w14:textId="23B42122" w:rsidR="00F9161C" w:rsidRPr="00AE674D" w:rsidRDefault="00655E75" w:rsidP="00F9161C">
      <w:pPr>
        <w:pStyle w:val="Heading2"/>
      </w:pPr>
      <w:bookmarkStart w:id="253" w:name="_Toc162948202"/>
      <w:r>
        <w:t>PFAS</w:t>
      </w:r>
      <w:bookmarkEnd w:id="253"/>
    </w:p>
    <w:p w14:paraId="66A08199" w14:textId="1CE4C248" w:rsidR="00F9161C" w:rsidRDefault="00655E75" w:rsidP="00F9161C">
      <w:pPr>
        <w:pStyle w:val="BlockText"/>
      </w:pPr>
      <w:r>
        <w:fldChar w:fldCharType="begin"/>
      </w:r>
      <w:r>
        <w:instrText xml:space="preserve"> REF _Ref158020214 \h </w:instrText>
      </w:r>
      <w:r>
        <w:fldChar w:fldCharType="separate"/>
      </w:r>
      <w:r w:rsidR="004A78BF" w:rsidRPr="00AE674D">
        <w:t xml:space="preserve">Table </w:t>
      </w:r>
      <w:r w:rsidR="004A78BF">
        <w:rPr>
          <w:noProof/>
        </w:rPr>
        <w:t>42</w:t>
      </w:r>
      <w:r>
        <w:fldChar w:fldCharType="end"/>
      </w:r>
      <w:r w:rsidR="00F9161C" w:rsidRPr="00AE674D">
        <w:t xml:space="preserve"> shows the causal analysis results for </w:t>
      </w:r>
      <w:r>
        <w:t>p</w:t>
      </w:r>
      <w:r w:rsidRPr="00C711F3">
        <w:t>er- and polyfluoroalkyl substances</w:t>
      </w:r>
      <w:r>
        <w:t xml:space="preserve"> (PFAS)</w:t>
      </w:r>
      <w:r w:rsidR="00F9161C">
        <w:t>.</w:t>
      </w:r>
      <w:r w:rsidR="00F9161C" w:rsidRPr="00AE674D">
        <w:t xml:space="preserve"> Total causal analysis scores </w:t>
      </w:r>
      <w:r w:rsidR="00F9161C">
        <w:t>ranged from -1</w:t>
      </w:r>
      <w:r>
        <w:t>0</w:t>
      </w:r>
      <w:r w:rsidR="00F9161C">
        <w:t xml:space="preserve"> to </w:t>
      </w:r>
      <w:r>
        <w:t>0</w:t>
      </w:r>
      <w:r w:rsidR="00F9161C">
        <w:t xml:space="preserve">, indicating </w:t>
      </w:r>
      <w:r w:rsidR="00F9161C" w:rsidRPr="00AE674D">
        <w:t xml:space="preserve">that there is </w:t>
      </w:r>
      <w:r>
        <w:t xml:space="preserve">moderate </w:t>
      </w:r>
      <w:r w:rsidR="00F9161C" w:rsidRPr="00AE674D">
        <w:t xml:space="preserve">evidence that </w:t>
      </w:r>
      <w:r>
        <w:t xml:space="preserve">PFAS </w:t>
      </w:r>
      <w:r w:rsidR="00F9161C" w:rsidRPr="00AE674D">
        <w:t xml:space="preserve">are a </w:t>
      </w:r>
      <w:r w:rsidR="00F9161C">
        <w:t>non-</w:t>
      </w:r>
      <w:r w:rsidR="00F9161C" w:rsidRPr="00AE674D">
        <w:t xml:space="preserve">stressor in </w:t>
      </w:r>
      <w:r>
        <w:t xml:space="preserve">the </w:t>
      </w:r>
      <w:r w:rsidR="00F9161C">
        <w:t xml:space="preserve">Roanoke River </w:t>
      </w:r>
      <w:r>
        <w:t xml:space="preserve">and Tinker Creek. No PFAS data were available for Wolf Creek. While PFAS compounds were present in the Roanoke River and Tinker Creek, the highest concentrations were observed at upstream, unimpaired stations. Levels in these streams were also well below EPA-recommended water quality criteria for aquatic life. </w:t>
      </w:r>
      <w:r w:rsidR="00F9161C" w:rsidRPr="00AE674D">
        <w:t xml:space="preserve">For these reasons and others explained in </w:t>
      </w:r>
      <w:r>
        <w:fldChar w:fldCharType="begin"/>
      </w:r>
      <w:r>
        <w:instrText xml:space="preserve"> REF _Ref158020214 \h </w:instrText>
      </w:r>
      <w:r>
        <w:fldChar w:fldCharType="separate"/>
      </w:r>
      <w:r w:rsidR="004A78BF" w:rsidRPr="00AE674D">
        <w:t xml:space="preserve">Table </w:t>
      </w:r>
      <w:r w:rsidR="004A78BF">
        <w:rPr>
          <w:noProof/>
        </w:rPr>
        <w:t>42</w:t>
      </w:r>
      <w:r>
        <w:fldChar w:fldCharType="end"/>
      </w:r>
      <w:r w:rsidR="00F9161C" w:rsidRPr="00AE674D">
        <w:t xml:space="preserve">, </w:t>
      </w:r>
      <w:r>
        <w:t>PFAS</w:t>
      </w:r>
      <w:r w:rsidR="00F9161C" w:rsidRPr="00AE674D">
        <w:t xml:space="preserve"> were categorized as non-stressors in </w:t>
      </w:r>
      <w:r w:rsidR="00F9161C">
        <w:t xml:space="preserve">Roanoke River Project streams. </w:t>
      </w:r>
    </w:p>
    <w:p w14:paraId="74253380" w14:textId="77777777" w:rsidR="0093755C" w:rsidRPr="00AE674D" w:rsidRDefault="0093755C" w:rsidP="00F9161C">
      <w:pPr>
        <w:pStyle w:val="BlockText"/>
      </w:pPr>
    </w:p>
    <w:p w14:paraId="3698A818" w14:textId="77777777" w:rsidR="00F9161C" w:rsidRPr="00AE674D" w:rsidRDefault="00F9161C" w:rsidP="00F9161C">
      <w:pPr>
        <w:pStyle w:val="Caption"/>
      </w:pPr>
    </w:p>
    <w:p w14:paraId="19756E92" w14:textId="7DE8726E" w:rsidR="00F9161C" w:rsidRPr="00AE674D" w:rsidRDefault="00F9161C" w:rsidP="00F9161C">
      <w:pPr>
        <w:pStyle w:val="Caption"/>
      </w:pPr>
      <w:bookmarkStart w:id="254" w:name="_Ref158020214"/>
      <w:bookmarkStart w:id="255" w:name="_Toc162948309"/>
      <w:r w:rsidRPr="00AE674D">
        <w:t xml:space="preserve">Table </w:t>
      </w:r>
      <w:r w:rsidRPr="00AE674D">
        <w:rPr>
          <w:noProof/>
        </w:rPr>
        <w:fldChar w:fldCharType="begin"/>
      </w:r>
      <w:r w:rsidRPr="00AE674D">
        <w:rPr>
          <w:noProof/>
        </w:rPr>
        <w:instrText xml:space="preserve"> SEQ Table \* ARABIC </w:instrText>
      </w:r>
      <w:r w:rsidRPr="00AE674D">
        <w:rPr>
          <w:noProof/>
        </w:rPr>
        <w:fldChar w:fldCharType="separate"/>
      </w:r>
      <w:r w:rsidR="004A78BF">
        <w:rPr>
          <w:noProof/>
        </w:rPr>
        <w:t>42</w:t>
      </w:r>
      <w:r w:rsidRPr="00AE674D">
        <w:rPr>
          <w:noProof/>
        </w:rPr>
        <w:fldChar w:fldCharType="end"/>
      </w:r>
      <w:bookmarkEnd w:id="254"/>
      <w:r w:rsidRPr="00AE674D">
        <w:t xml:space="preserve">. Causal analysis results for </w:t>
      </w:r>
      <w:r w:rsidR="00655E75">
        <w:t>PFAS</w:t>
      </w:r>
      <w:r w:rsidRPr="00AE674D">
        <w:t>.</w:t>
      </w:r>
      <w:bookmarkEnd w:id="255"/>
    </w:p>
    <w:tbl>
      <w:tblPr>
        <w:tblW w:w="9457"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7"/>
        <w:gridCol w:w="720"/>
        <w:gridCol w:w="720"/>
        <w:gridCol w:w="990"/>
        <w:gridCol w:w="990"/>
        <w:gridCol w:w="3600"/>
      </w:tblGrid>
      <w:tr w:rsidR="00F9161C" w:rsidRPr="00655E75" w14:paraId="76194870" w14:textId="77777777" w:rsidTr="00655E75">
        <w:trPr>
          <w:cantSplit/>
          <w:trHeight w:val="1080"/>
        </w:trPr>
        <w:tc>
          <w:tcPr>
            <w:tcW w:w="2437" w:type="dxa"/>
            <w:shd w:val="clear" w:color="auto" w:fill="D9D9D9" w:themeFill="background1" w:themeFillShade="D9"/>
            <w:vAlign w:val="center"/>
          </w:tcPr>
          <w:p w14:paraId="491FA650" w14:textId="77777777" w:rsidR="00F9161C" w:rsidRPr="00655E75" w:rsidRDefault="00F9161C" w:rsidP="00655E75">
            <w:pPr>
              <w:jc w:val="center"/>
              <w:rPr>
                <w:rFonts w:ascii="Arial Narrow" w:hAnsi="Arial Narrow"/>
                <w:b/>
                <w:sz w:val="20"/>
                <w:szCs w:val="20"/>
              </w:rPr>
            </w:pPr>
            <w:r w:rsidRPr="00655E75">
              <w:rPr>
                <w:rFonts w:ascii="Arial Narrow" w:hAnsi="Arial Narrow"/>
                <w:b/>
                <w:sz w:val="20"/>
                <w:szCs w:val="20"/>
              </w:rPr>
              <w:t>Evidence</w:t>
            </w:r>
          </w:p>
        </w:tc>
        <w:tc>
          <w:tcPr>
            <w:tcW w:w="720" w:type="dxa"/>
            <w:shd w:val="clear" w:color="auto" w:fill="D9D9D9" w:themeFill="background1" w:themeFillShade="D9"/>
            <w:vAlign w:val="center"/>
          </w:tcPr>
          <w:p w14:paraId="5E3C2BA5" w14:textId="77777777" w:rsidR="00F9161C" w:rsidRPr="00655E75" w:rsidRDefault="00F9161C" w:rsidP="00655E75">
            <w:pPr>
              <w:jc w:val="center"/>
              <w:rPr>
                <w:rFonts w:ascii="Arial Narrow" w:hAnsi="Arial Narrow"/>
                <w:b/>
                <w:sz w:val="20"/>
                <w:szCs w:val="20"/>
              </w:rPr>
            </w:pPr>
            <w:r w:rsidRPr="00655E75">
              <w:rPr>
                <w:rFonts w:ascii="Arial Narrow" w:hAnsi="Arial Narrow"/>
                <w:b/>
                <w:sz w:val="20"/>
                <w:szCs w:val="20"/>
              </w:rPr>
              <w:t>Wolf Creek</w:t>
            </w:r>
          </w:p>
        </w:tc>
        <w:tc>
          <w:tcPr>
            <w:tcW w:w="720" w:type="dxa"/>
            <w:shd w:val="clear" w:color="auto" w:fill="D9D9D9" w:themeFill="background1" w:themeFillShade="D9"/>
            <w:vAlign w:val="center"/>
          </w:tcPr>
          <w:p w14:paraId="456337F3" w14:textId="77777777" w:rsidR="00F9161C" w:rsidRPr="00655E75" w:rsidRDefault="00F9161C" w:rsidP="00655E75">
            <w:pPr>
              <w:jc w:val="center"/>
              <w:rPr>
                <w:rFonts w:ascii="Arial Narrow" w:hAnsi="Arial Narrow"/>
                <w:b/>
                <w:sz w:val="20"/>
                <w:szCs w:val="20"/>
              </w:rPr>
            </w:pPr>
            <w:r w:rsidRPr="00655E75">
              <w:rPr>
                <w:rFonts w:ascii="Arial Narrow" w:hAnsi="Arial Narrow"/>
                <w:b/>
                <w:sz w:val="20"/>
                <w:szCs w:val="20"/>
              </w:rPr>
              <w:t>Tinker Creek</w:t>
            </w:r>
          </w:p>
        </w:tc>
        <w:tc>
          <w:tcPr>
            <w:tcW w:w="990" w:type="dxa"/>
            <w:shd w:val="clear" w:color="auto" w:fill="D9D9D9" w:themeFill="background1" w:themeFillShade="D9"/>
            <w:vAlign w:val="center"/>
          </w:tcPr>
          <w:p w14:paraId="0A664B68" w14:textId="77777777" w:rsidR="00F9161C" w:rsidRPr="00655E75" w:rsidRDefault="00F9161C" w:rsidP="00655E75">
            <w:pPr>
              <w:jc w:val="center"/>
              <w:rPr>
                <w:rFonts w:ascii="Arial Narrow" w:hAnsi="Arial Narrow"/>
                <w:b/>
                <w:sz w:val="20"/>
                <w:szCs w:val="20"/>
              </w:rPr>
            </w:pPr>
            <w:r w:rsidRPr="00655E75">
              <w:rPr>
                <w:rFonts w:ascii="Arial Narrow" w:hAnsi="Arial Narrow"/>
                <w:b/>
                <w:sz w:val="20"/>
                <w:szCs w:val="20"/>
              </w:rPr>
              <w:t>Roanoke River (202.20)</w:t>
            </w:r>
          </w:p>
        </w:tc>
        <w:tc>
          <w:tcPr>
            <w:tcW w:w="990" w:type="dxa"/>
            <w:shd w:val="clear" w:color="auto" w:fill="D9D9D9" w:themeFill="background1" w:themeFillShade="D9"/>
            <w:vAlign w:val="center"/>
          </w:tcPr>
          <w:p w14:paraId="11679E5D" w14:textId="77777777" w:rsidR="00F9161C" w:rsidRPr="00655E75" w:rsidRDefault="00F9161C" w:rsidP="00655E75">
            <w:pPr>
              <w:jc w:val="center"/>
              <w:rPr>
                <w:rFonts w:ascii="Arial Narrow" w:hAnsi="Arial Narrow"/>
                <w:b/>
                <w:sz w:val="20"/>
                <w:szCs w:val="20"/>
              </w:rPr>
            </w:pPr>
            <w:r w:rsidRPr="00655E75">
              <w:rPr>
                <w:rFonts w:ascii="Arial Narrow" w:hAnsi="Arial Narrow"/>
                <w:b/>
                <w:sz w:val="20"/>
                <w:szCs w:val="20"/>
              </w:rPr>
              <w:t>Roanoke River (198.08)</w:t>
            </w:r>
          </w:p>
        </w:tc>
        <w:tc>
          <w:tcPr>
            <w:tcW w:w="3600" w:type="dxa"/>
            <w:shd w:val="clear" w:color="auto" w:fill="D9D9D9" w:themeFill="background1" w:themeFillShade="D9"/>
            <w:vAlign w:val="center"/>
          </w:tcPr>
          <w:p w14:paraId="4F33177F" w14:textId="77777777" w:rsidR="00F9161C" w:rsidRPr="00655E75" w:rsidRDefault="00F9161C" w:rsidP="00655E75">
            <w:pPr>
              <w:jc w:val="center"/>
              <w:rPr>
                <w:rFonts w:ascii="Arial Narrow" w:hAnsi="Arial Narrow"/>
                <w:b/>
                <w:sz w:val="20"/>
                <w:szCs w:val="20"/>
              </w:rPr>
            </w:pPr>
            <w:r w:rsidRPr="00655E75">
              <w:rPr>
                <w:rFonts w:ascii="Arial Narrow" w:hAnsi="Arial Narrow"/>
                <w:b/>
                <w:sz w:val="20"/>
                <w:szCs w:val="20"/>
              </w:rPr>
              <w:t>Explanation</w:t>
            </w:r>
          </w:p>
        </w:tc>
      </w:tr>
      <w:tr w:rsidR="00655E75" w:rsidRPr="00655E75" w14:paraId="0630908A" w14:textId="77777777" w:rsidTr="00655E75">
        <w:trPr>
          <w:trHeight w:val="247"/>
        </w:trPr>
        <w:tc>
          <w:tcPr>
            <w:tcW w:w="2437" w:type="dxa"/>
            <w:vAlign w:val="center"/>
          </w:tcPr>
          <w:p w14:paraId="42FCE0B5" w14:textId="77777777" w:rsidR="00655E75" w:rsidRPr="00655E75" w:rsidRDefault="00655E75" w:rsidP="00655E75">
            <w:pPr>
              <w:jc w:val="left"/>
              <w:rPr>
                <w:rFonts w:ascii="Arial Narrow" w:hAnsi="Arial Narrow"/>
                <w:sz w:val="20"/>
                <w:szCs w:val="20"/>
                <w:highlight w:val="yellow"/>
              </w:rPr>
            </w:pPr>
            <w:r w:rsidRPr="00655E75">
              <w:rPr>
                <w:rFonts w:ascii="Arial Narrow" w:hAnsi="Arial Narrow" w:cs="Calibri"/>
                <w:color w:val="000000"/>
                <w:sz w:val="20"/>
                <w:szCs w:val="20"/>
              </w:rPr>
              <w:t>Spatial Co-occurrence</w:t>
            </w:r>
          </w:p>
        </w:tc>
        <w:tc>
          <w:tcPr>
            <w:tcW w:w="720" w:type="dxa"/>
            <w:vAlign w:val="center"/>
          </w:tcPr>
          <w:p w14:paraId="7A454882" w14:textId="4839D37C" w:rsidR="00655E75" w:rsidRPr="00655E75" w:rsidRDefault="00655E75" w:rsidP="00655E75">
            <w:pPr>
              <w:jc w:val="center"/>
              <w:rPr>
                <w:rFonts w:ascii="Arial Narrow" w:hAnsi="Arial Narrow" w:cs="Calibri"/>
                <w:color w:val="000000"/>
                <w:sz w:val="20"/>
                <w:szCs w:val="20"/>
              </w:rPr>
            </w:pPr>
            <w:r w:rsidRPr="00655E75">
              <w:rPr>
                <w:rFonts w:ascii="Arial Narrow" w:hAnsi="Arial Narrow" w:cs="Calibri"/>
                <w:color w:val="000000"/>
                <w:sz w:val="20"/>
                <w:szCs w:val="20"/>
              </w:rPr>
              <w:t>0</w:t>
            </w:r>
          </w:p>
        </w:tc>
        <w:tc>
          <w:tcPr>
            <w:tcW w:w="720" w:type="dxa"/>
            <w:vAlign w:val="center"/>
          </w:tcPr>
          <w:p w14:paraId="4EFB8B60" w14:textId="72ED7934" w:rsidR="00655E75" w:rsidRPr="00655E75" w:rsidRDefault="00655E75" w:rsidP="00655E75">
            <w:pPr>
              <w:jc w:val="center"/>
              <w:rPr>
                <w:rFonts w:ascii="Arial Narrow" w:hAnsi="Arial Narrow" w:cs="Calibri"/>
                <w:color w:val="000000"/>
                <w:sz w:val="20"/>
                <w:szCs w:val="20"/>
              </w:rPr>
            </w:pPr>
            <w:r w:rsidRPr="00655E75">
              <w:rPr>
                <w:rFonts w:ascii="Arial Narrow" w:hAnsi="Arial Narrow" w:cs="Calibri"/>
                <w:color w:val="000000"/>
                <w:sz w:val="20"/>
                <w:szCs w:val="20"/>
              </w:rPr>
              <w:t>-3</w:t>
            </w:r>
          </w:p>
        </w:tc>
        <w:tc>
          <w:tcPr>
            <w:tcW w:w="990" w:type="dxa"/>
            <w:vAlign w:val="center"/>
          </w:tcPr>
          <w:p w14:paraId="231ECE4C" w14:textId="5BDFBD9B" w:rsidR="00655E75" w:rsidRPr="00655E75" w:rsidRDefault="00655E75" w:rsidP="00655E75">
            <w:pPr>
              <w:jc w:val="center"/>
              <w:rPr>
                <w:rFonts w:ascii="Arial Narrow" w:hAnsi="Arial Narrow" w:cs="Calibri"/>
                <w:color w:val="000000"/>
                <w:sz w:val="20"/>
                <w:szCs w:val="20"/>
              </w:rPr>
            </w:pPr>
            <w:r w:rsidRPr="00655E75">
              <w:rPr>
                <w:rFonts w:ascii="Arial Narrow" w:hAnsi="Arial Narrow" w:cs="Calibri"/>
                <w:color w:val="000000"/>
                <w:sz w:val="20"/>
                <w:szCs w:val="20"/>
              </w:rPr>
              <w:t>-3</w:t>
            </w:r>
          </w:p>
        </w:tc>
        <w:tc>
          <w:tcPr>
            <w:tcW w:w="990" w:type="dxa"/>
            <w:vAlign w:val="center"/>
          </w:tcPr>
          <w:p w14:paraId="6FDD0D14" w14:textId="26BEC7F4" w:rsidR="00655E75" w:rsidRPr="00655E75" w:rsidRDefault="00655E75" w:rsidP="00655E75">
            <w:pPr>
              <w:jc w:val="center"/>
              <w:rPr>
                <w:rFonts w:ascii="Arial Narrow" w:hAnsi="Arial Narrow"/>
                <w:color w:val="000000"/>
                <w:sz w:val="20"/>
                <w:szCs w:val="20"/>
                <w:highlight w:val="yellow"/>
              </w:rPr>
            </w:pPr>
            <w:r w:rsidRPr="00655E75">
              <w:rPr>
                <w:rFonts w:ascii="Arial Narrow" w:hAnsi="Arial Narrow" w:cs="Calibri"/>
                <w:color w:val="000000"/>
                <w:sz w:val="20"/>
                <w:szCs w:val="20"/>
              </w:rPr>
              <w:t>-3</w:t>
            </w:r>
          </w:p>
        </w:tc>
        <w:tc>
          <w:tcPr>
            <w:tcW w:w="3600" w:type="dxa"/>
            <w:vAlign w:val="center"/>
          </w:tcPr>
          <w:p w14:paraId="0E4B9F72" w14:textId="0B149471" w:rsidR="00655E75" w:rsidRPr="00655E75" w:rsidRDefault="00655E75" w:rsidP="00655E75">
            <w:pPr>
              <w:jc w:val="left"/>
              <w:rPr>
                <w:rFonts w:ascii="Arial Narrow" w:hAnsi="Arial Narrow"/>
                <w:color w:val="000000"/>
                <w:sz w:val="20"/>
                <w:szCs w:val="20"/>
                <w:highlight w:val="yellow"/>
              </w:rPr>
            </w:pPr>
            <w:r w:rsidRPr="00655E75">
              <w:rPr>
                <w:rFonts w:ascii="Arial Narrow" w:hAnsi="Arial Narrow" w:cs="Calibri"/>
                <w:color w:val="000000"/>
                <w:sz w:val="20"/>
                <w:szCs w:val="20"/>
              </w:rPr>
              <w:t>PFAS compounds were identified in Tinker Creek and Roanoke River stations, but the highest concentrations were observed at upstream unimpaired stations. No PFAS data was collected in Wolf Creek</w:t>
            </w:r>
          </w:p>
        </w:tc>
      </w:tr>
      <w:tr w:rsidR="00655E75" w:rsidRPr="00655E75" w14:paraId="7AE2E457" w14:textId="77777777" w:rsidTr="00655E75">
        <w:trPr>
          <w:trHeight w:val="247"/>
        </w:trPr>
        <w:tc>
          <w:tcPr>
            <w:tcW w:w="2437" w:type="dxa"/>
            <w:vAlign w:val="center"/>
          </w:tcPr>
          <w:p w14:paraId="1025B37C" w14:textId="77777777" w:rsidR="00655E75" w:rsidRPr="00655E75" w:rsidRDefault="00655E75" w:rsidP="00655E75">
            <w:pPr>
              <w:jc w:val="left"/>
              <w:rPr>
                <w:rFonts w:ascii="Arial Narrow" w:hAnsi="Arial Narrow"/>
                <w:sz w:val="20"/>
                <w:szCs w:val="20"/>
                <w:highlight w:val="yellow"/>
              </w:rPr>
            </w:pPr>
            <w:r w:rsidRPr="00655E75">
              <w:rPr>
                <w:rFonts w:ascii="Arial Narrow" w:hAnsi="Arial Narrow" w:cs="Calibri"/>
                <w:color w:val="000000"/>
                <w:sz w:val="20"/>
                <w:szCs w:val="20"/>
              </w:rPr>
              <w:t>Temporal Co-occurrence</w:t>
            </w:r>
          </w:p>
        </w:tc>
        <w:tc>
          <w:tcPr>
            <w:tcW w:w="720" w:type="dxa"/>
            <w:vAlign w:val="center"/>
          </w:tcPr>
          <w:p w14:paraId="11635C1D" w14:textId="2DC72C91" w:rsidR="00655E75" w:rsidRPr="00655E75" w:rsidRDefault="00655E75" w:rsidP="00655E75">
            <w:pPr>
              <w:jc w:val="center"/>
              <w:rPr>
                <w:rFonts w:ascii="Arial Narrow" w:hAnsi="Arial Narrow" w:cs="Calibri"/>
                <w:color w:val="000000"/>
                <w:sz w:val="20"/>
                <w:szCs w:val="20"/>
              </w:rPr>
            </w:pPr>
            <w:r w:rsidRPr="00655E75">
              <w:rPr>
                <w:rFonts w:ascii="Arial Narrow" w:hAnsi="Arial Narrow" w:cs="Calibri"/>
                <w:color w:val="000000"/>
                <w:sz w:val="20"/>
                <w:szCs w:val="20"/>
              </w:rPr>
              <w:t>0</w:t>
            </w:r>
          </w:p>
        </w:tc>
        <w:tc>
          <w:tcPr>
            <w:tcW w:w="720" w:type="dxa"/>
            <w:vAlign w:val="center"/>
          </w:tcPr>
          <w:p w14:paraId="2BD183A0" w14:textId="68103A6F" w:rsidR="00655E75" w:rsidRPr="00655E75" w:rsidRDefault="00655E75" w:rsidP="00655E75">
            <w:pPr>
              <w:jc w:val="center"/>
              <w:rPr>
                <w:rFonts w:ascii="Arial Narrow" w:hAnsi="Arial Narrow" w:cs="Calibri"/>
                <w:color w:val="000000"/>
                <w:sz w:val="20"/>
                <w:szCs w:val="20"/>
              </w:rPr>
            </w:pPr>
            <w:r w:rsidRPr="00655E75">
              <w:rPr>
                <w:rFonts w:ascii="Arial Narrow" w:hAnsi="Arial Narrow" w:cs="Calibri"/>
                <w:color w:val="000000"/>
                <w:sz w:val="20"/>
                <w:szCs w:val="20"/>
              </w:rPr>
              <w:t>0</w:t>
            </w:r>
          </w:p>
        </w:tc>
        <w:tc>
          <w:tcPr>
            <w:tcW w:w="990" w:type="dxa"/>
            <w:vAlign w:val="center"/>
          </w:tcPr>
          <w:p w14:paraId="1FB368B8" w14:textId="503B73D1" w:rsidR="00655E75" w:rsidRPr="00655E75" w:rsidRDefault="00655E75" w:rsidP="00655E75">
            <w:pPr>
              <w:jc w:val="center"/>
              <w:rPr>
                <w:rFonts w:ascii="Arial Narrow" w:hAnsi="Arial Narrow" w:cs="Calibri"/>
                <w:color w:val="000000"/>
                <w:sz w:val="20"/>
                <w:szCs w:val="20"/>
              </w:rPr>
            </w:pPr>
            <w:r w:rsidRPr="00655E75">
              <w:rPr>
                <w:rFonts w:ascii="Arial Narrow" w:hAnsi="Arial Narrow" w:cs="Calibri"/>
                <w:color w:val="000000"/>
                <w:sz w:val="20"/>
                <w:szCs w:val="20"/>
              </w:rPr>
              <w:t>-1</w:t>
            </w:r>
          </w:p>
        </w:tc>
        <w:tc>
          <w:tcPr>
            <w:tcW w:w="990" w:type="dxa"/>
            <w:vAlign w:val="center"/>
          </w:tcPr>
          <w:p w14:paraId="40C51B48" w14:textId="3B6DB55F" w:rsidR="00655E75" w:rsidRPr="00655E75" w:rsidRDefault="00655E75" w:rsidP="00655E75">
            <w:pPr>
              <w:jc w:val="center"/>
              <w:rPr>
                <w:rFonts w:ascii="Arial Narrow" w:hAnsi="Arial Narrow"/>
                <w:color w:val="000000"/>
                <w:sz w:val="20"/>
                <w:szCs w:val="20"/>
                <w:highlight w:val="yellow"/>
              </w:rPr>
            </w:pPr>
            <w:r w:rsidRPr="00655E75">
              <w:rPr>
                <w:rFonts w:ascii="Arial Narrow" w:hAnsi="Arial Narrow" w:cs="Calibri"/>
                <w:color w:val="000000"/>
                <w:sz w:val="20"/>
                <w:szCs w:val="20"/>
              </w:rPr>
              <w:t>-1</w:t>
            </w:r>
          </w:p>
        </w:tc>
        <w:tc>
          <w:tcPr>
            <w:tcW w:w="3600" w:type="dxa"/>
            <w:vAlign w:val="center"/>
          </w:tcPr>
          <w:p w14:paraId="64B47B16" w14:textId="2B07F43B" w:rsidR="00655E75" w:rsidRPr="00655E75" w:rsidRDefault="00655E75" w:rsidP="00655E75">
            <w:pPr>
              <w:jc w:val="left"/>
              <w:rPr>
                <w:rFonts w:ascii="Arial Narrow" w:hAnsi="Arial Narrow"/>
                <w:color w:val="000000"/>
                <w:sz w:val="20"/>
                <w:szCs w:val="20"/>
                <w:highlight w:val="yellow"/>
              </w:rPr>
            </w:pPr>
            <w:r w:rsidRPr="00655E75">
              <w:rPr>
                <w:rFonts w:ascii="Arial Narrow" w:hAnsi="Arial Narrow" w:cs="Calibri"/>
                <w:color w:val="000000"/>
                <w:sz w:val="20"/>
                <w:szCs w:val="20"/>
              </w:rPr>
              <w:t>PFAS discharges were first identified in the Roanoke River system in 2020. While the discharge may have started sooner, impairment in the Roanoke River dates back at least two decades.</w:t>
            </w:r>
          </w:p>
        </w:tc>
      </w:tr>
      <w:tr w:rsidR="00F9161C" w:rsidRPr="00655E75" w14:paraId="76702B2E" w14:textId="77777777" w:rsidTr="00655E75">
        <w:trPr>
          <w:trHeight w:val="247"/>
        </w:trPr>
        <w:tc>
          <w:tcPr>
            <w:tcW w:w="2437" w:type="dxa"/>
            <w:vAlign w:val="center"/>
          </w:tcPr>
          <w:p w14:paraId="6D5EC647" w14:textId="77777777" w:rsidR="00F9161C" w:rsidRPr="00655E75" w:rsidRDefault="00F9161C" w:rsidP="00655E75">
            <w:pPr>
              <w:jc w:val="left"/>
              <w:rPr>
                <w:rFonts w:ascii="Arial Narrow" w:hAnsi="Arial Narrow" w:cs="Calibri"/>
                <w:b/>
                <w:bCs/>
                <w:color w:val="000000"/>
                <w:sz w:val="20"/>
                <w:szCs w:val="20"/>
                <w:highlight w:val="yellow"/>
              </w:rPr>
            </w:pPr>
            <w:r w:rsidRPr="00655E75">
              <w:rPr>
                <w:rFonts w:ascii="Arial Narrow" w:hAnsi="Arial Narrow" w:cs="Calibri"/>
                <w:color w:val="000000"/>
                <w:sz w:val="20"/>
                <w:szCs w:val="20"/>
              </w:rPr>
              <w:t>Laboratory Tests of Site Media</w:t>
            </w:r>
          </w:p>
        </w:tc>
        <w:tc>
          <w:tcPr>
            <w:tcW w:w="720" w:type="dxa"/>
            <w:vAlign w:val="center"/>
          </w:tcPr>
          <w:p w14:paraId="67E9888D" w14:textId="77777777" w:rsidR="00F9161C" w:rsidRPr="00655E75" w:rsidRDefault="00F9161C" w:rsidP="00655E75">
            <w:pPr>
              <w:jc w:val="center"/>
              <w:rPr>
                <w:rFonts w:ascii="Arial Narrow" w:hAnsi="Arial Narrow" w:cs="Calibri"/>
                <w:color w:val="000000"/>
                <w:sz w:val="20"/>
                <w:szCs w:val="20"/>
              </w:rPr>
            </w:pPr>
            <w:r w:rsidRPr="00655E75">
              <w:rPr>
                <w:rFonts w:ascii="Arial Narrow" w:hAnsi="Arial Narrow" w:cs="Calibri"/>
                <w:color w:val="000000"/>
                <w:sz w:val="20"/>
                <w:szCs w:val="20"/>
              </w:rPr>
              <w:t>0</w:t>
            </w:r>
          </w:p>
        </w:tc>
        <w:tc>
          <w:tcPr>
            <w:tcW w:w="720" w:type="dxa"/>
            <w:vAlign w:val="center"/>
          </w:tcPr>
          <w:p w14:paraId="052885AF" w14:textId="77777777" w:rsidR="00F9161C" w:rsidRPr="00655E75" w:rsidRDefault="00F9161C" w:rsidP="00655E75">
            <w:pPr>
              <w:jc w:val="center"/>
              <w:rPr>
                <w:rFonts w:ascii="Arial Narrow" w:hAnsi="Arial Narrow" w:cs="Calibri"/>
                <w:color w:val="000000"/>
                <w:sz w:val="20"/>
                <w:szCs w:val="20"/>
              </w:rPr>
            </w:pPr>
            <w:r w:rsidRPr="00655E75">
              <w:rPr>
                <w:rFonts w:ascii="Arial Narrow" w:hAnsi="Arial Narrow" w:cs="Calibri"/>
                <w:color w:val="000000"/>
                <w:sz w:val="20"/>
                <w:szCs w:val="20"/>
              </w:rPr>
              <w:t>0</w:t>
            </w:r>
          </w:p>
        </w:tc>
        <w:tc>
          <w:tcPr>
            <w:tcW w:w="990" w:type="dxa"/>
            <w:vAlign w:val="center"/>
          </w:tcPr>
          <w:p w14:paraId="7E9D32BB" w14:textId="77777777" w:rsidR="00F9161C" w:rsidRPr="00655E75" w:rsidRDefault="00F9161C" w:rsidP="00655E75">
            <w:pPr>
              <w:jc w:val="center"/>
              <w:rPr>
                <w:rFonts w:ascii="Arial Narrow" w:hAnsi="Arial Narrow" w:cs="Calibri"/>
                <w:color w:val="000000"/>
                <w:sz w:val="20"/>
                <w:szCs w:val="20"/>
              </w:rPr>
            </w:pPr>
            <w:r w:rsidRPr="00655E75">
              <w:rPr>
                <w:rFonts w:ascii="Arial Narrow" w:hAnsi="Arial Narrow" w:cs="Calibri"/>
                <w:color w:val="000000"/>
                <w:sz w:val="20"/>
                <w:szCs w:val="20"/>
              </w:rPr>
              <w:t>-2</w:t>
            </w:r>
          </w:p>
        </w:tc>
        <w:tc>
          <w:tcPr>
            <w:tcW w:w="990" w:type="dxa"/>
            <w:vAlign w:val="center"/>
          </w:tcPr>
          <w:p w14:paraId="6FB03DEC" w14:textId="77777777" w:rsidR="00F9161C" w:rsidRPr="00655E75" w:rsidRDefault="00F9161C" w:rsidP="00655E75">
            <w:pPr>
              <w:jc w:val="center"/>
              <w:rPr>
                <w:rFonts w:ascii="Arial Narrow" w:hAnsi="Arial Narrow" w:cs="Calibri"/>
                <w:b/>
                <w:color w:val="000000"/>
                <w:sz w:val="20"/>
                <w:szCs w:val="20"/>
                <w:highlight w:val="yellow"/>
              </w:rPr>
            </w:pPr>
            <w:r w:rsidRPr="00655E75">
              <w:rPr>
                <w:rFonts w:ascii="Arial Narrow" w:hAnsi="Arial Narrow" w:cs="Calibri"/>
                <w:color w:val="000000"/>
                <w:sz w:val="20"/>
                <w:szCs w:val="20"/>
              </w:rPr>
              <w:t>-2</w:t>
            </w:r>
          </w:p>
        </w:tc>
        <w:tc>
          <w:tcPr>
            <w:tcW w:w="3600" w:type="dxa"/>
            <w:vAlign w:val="center"/>
          </w:tcPr>
          <w:p w14:paraId="574468AA" w14:textId="77777777" w:rsidR="00F9161C" w:rsidRPr="00655E75" w:rsidRDefault="00F9161C" w:rsidP="00655E75">
            <w:pPr>
              <w:jc w:val="left"/>
              <w:rPr>
                <w:rFonts w:ascii="Arial Narrow" w:hAnsi="Arial Narrow"/>
                <w:color w:val="000000"/>
                <w:sz w:val="20"/>
                <w:szCs w:val="20"/>
                <w:highlight w:val="yellow"/>
              </w:rPr>
            </w:pPr>
            <w:r w:rsidRPr="00655E75">
              <w:rPr>
                <w:rFonts w:ascii="Arial Narrow" w:hAnsi="Arial Narrow" w:cs="Calibri"/>
                <w:color w:val="000000"/>
                <w:sz w:val="20"/>
                <w:szCs w:val="20"/>
              </w:rPr>
              <w:t xml:space="preserve">No toxicity (in IC25 endpoints) was observed in C. </w:t>
            </w:r>
            <w:proofErr w:type="spellStart"/>
            <w:r w:rsidRPr="00655E75">
              <w:rPr>
                <w:rFonts w:ascii="Arial Narrow" w:hAnsi="Arial Narrow" w:cs="Calibri"/>
                <w:color w:val="000000"/>
                <w:sz w:val="20"/>
                <w:szCs w:val="20"/>
              </w:rPr>
              <w:t>dubia</w:t>
            </w:r>
            <w:proofErr w:type="spellEnd"/>
            <w:r w:rsidRPr="00655E75">
              <w:rPr>
                <w:rFonts w:ascii="Arial Narrow" w:hAnsi="Arial Narrow" w:cs="Calibri"/>
                <w:color w:val="000000"/>
                <w:sz w:val="20"/>
                <w:szCs w:val="20"/>
              </w:rPr>
              <w:t xml:space="preserve"> and P. </w:t>
            </w:r>
            <w:proofErr w:type="spellStart"/>
            <w:r w:rsidRPr="00655E75">
              <w:rPr>
                <w:rFonts w:ascii="Arial Narrow" w:hAnsi="Arial Narrow" w:cs="Calibri"/>
                <w:color w:val="000000"/>
                <w:sz w:val="20"/>
                <w:szCs w:val="20"/>
              </w:rPr>
              <w:t>promelas</w:t>
            </w:r>
            <w:proofErr w:type="spellEnd"/>
            <w:r w:rsidRPr="00655E75">
              <w:rPr>
                <w:rFonts w:ascii="Arial Narrow" w:hAnsi="Arial Narrow" w:cs="Calibri"/>
                <w:color w:val="000000"/>
                <w:sz w:val="20"/>
                <w:szCs w:val="20"/>
              </w:rPr>
              <w:t xml:space="preserve"> laboratory toxicity testing of Roanoke River samples.</w:t>
            </w:r>
          </w:p>
        </w:tc>
      </w:tr>
      <w:tr w:rsidR="00655E75" w:rsidRPr="00655E75" w14:paraId="122EF8B0" w14:textId="77777777" w:rsidTr="00655E75">
        <w:trPr>
          <w:trHeight w:val="247"/>
        </w:trPr>
        <w:tc>
          <w:tcPr>
            <w:tcW w:w="2437" w:type="dxa"/>
            <w:vAlign w:val="center"/>
          </w:tcPr>
          <w:p w14:paraId="62AA6DE7" w14:textId="77777777" w:rsidR="00655E75" w:rsidRPr="00655E75" w:rsidRDefault="00655E75" w:rsidP="00655E75">
            <w:pPr>
              <w:jc w:val="left"/>
              <w:rPr>
                <w:rFonts w:ascii="Arial Narrow" w:hAnsi="Arial Narrow" w:cs="Calibri"/>
                <w:b/>
                <w:bCs/>
                <w:color w:val="000000"/>
                <w:sz w:val="20"/>
                <w:szCs w:val="20"/>
              </w:rPr>
            </w:pPr>
            <w:r w:rsidRPr="00655E75">
              <w:rPr>
                <w:rFonts w:ascii="Arial Narrow" w:hAnsi="Arial Narrow" w:cs="Calibri"/>
                <w:color w:val="000000"/>
                <w:sz w:val="20"/>
                <w:szCs w:val="20"/>
              </w:rPr>
              <w:t>Stressor-Response Relationships from Laboratory Studies</w:t>
            </w:r>
          </w:p>
        </w:tc>
        <w:tc>
          <w:tcPr>
            <w:tcW w:w="720" w:type="dxa"/>
            <w:vAlign w:val="center"/>
          </w:tcPr>
          <w:p w14:paraId="3F47231D" w14:textId="3FB8508B" w:rsidR="00655E75" w:rsidRPr="00655E75" w:rsidRDefault="00655E75" w:rsidP="00655E75">
            <w:pPr>
              <w:jc w:val="center"/>
              <w:rPr>
                <w:rFonts w:ascii="Arial Narrow" w:hAnsi="Arial Narrow" w:cs="Calibri"/>
                <w:b/>
                <w:color w:val="000000"/>
                <w:sz w:val="20"/>
                <w:szCs w:val="20"/>
              </w:rPr>
            </w:pPr>
            <w:r w:rsidRPr="00655E75">
              <w:rPr>
                <w:rFonts w:ascii="Arial Narrow" w:hAnsi="Arial Narrow" w:cs="Calibri"/>
                <w:color w:val="000000"/>
                <w:sz w:val="20"/>
                <w:szCs w:val="20"/>
              </w:rPr>
              <w:t>0</w:t>
            </w:r>
          </w:p>
        </w:tc>
        <w:tc>
          <w:tcPr>
            <w:tcW w:w="720" w:type="dxa"/>
            <w:vAlign w:val="center"/>
          </w:tcPr>
          <w:p w14:paraId="271AF477" w14:textId="3E307A99" w:rsidR="00655E75" w:rsidRPr="00655E75" w:rsidRDefault="00655E75" w:rsidP="00655E75">
            <w:pPr>
              <w:jc w:val="center"/>
              <w:rPr>
                <w:rFonts w:ascii="Arial Narrow" w:hAnsi="Arial Narrow" w:cs="Calibri"/>
                <w:b/>
                <w:color w:val="000000"/>
                <w:sz w:val="20"/>
                <w:szCs w:val="20"/>
              </w:rPr>
            </w:pPr>
            <w:r w:rsidRPr="00655E75">
              <w:rPr>
                <w:rFonts w:ascii="Arial Narrow" w:hAnsi="Arial Narrow" w:cs="Calibri"/>
                <w:color w:val="000000"/>
                <w:sz w:val="20"/>
                <w:szCs w:val="20"/>
              </w:rPr>
              <w:t>-2</w:t>
            </w:r>
          </w:p>
        </w:tc>
        <w:tc>
          <w:tcPr>
            <w:tcW w:w="990" w:type="dxa"/>
            <w:vAlign w:val="center"/>
          </w:tcPr>
          <w:p w14:paraId="50214668" w14:textId="6C8B619A" w:rsidR="00655E75" w:rsidRPr="00655E75" w:rsidRDefault="00655E75" w:rsidP="00655E75">
            <w:pPr>
              <w:jc w:val="center"/>
              <w:rPr>
                <w:rFonts w:ascii="Arial Narrow" w:hAnsi="Arial Narrow" w:cs="Calibri"/>
                <w:b/>
                <w:color w:val="000000"/>
                <w:sz w:val="20"/>
                <w:szCs w:val="20"/>
              </w:rPr>
            </w:pPr>
            <w:r w:rsidRPr="00655E75">
              <w:rPr>
                <w:rFonts w:ascii="Arial Narrow" w:hAnsi="Arial Narrow" w:cs="Calibri"/>
                <w:color w:val="000000"/>
                <w:sz w:val="20"/>
                <w:szCs w:val="20"/>
              </w:rPr>
              <w:t>-2</w:t>
            </w:r>
          </w:p>
        </w:tc>
        <w:tc>
          <w:tcPr>
            <w:tcW w:w="990" w:type="dxa"/>
            <w:vAlign w:val="center"/>
          </w:tcPr>
          <w:p w14:paraId="2796E112" w14:textId="4C274AB1" w:rsidR="00655E75" w:rsidRPr="00655E75" w:rsidRDefault="00655E75" w:rsidP="00655E75">
            <w:pPr>
              <w:jc w:val="center"/>
              <w:rPr>
                <w:rFonts w:ascii="Arial Narrow" w:hAnsi="Arial Narrow" w:cs="Calibri"/>
                <w:b/>
                <w:color w:val="000000"/>
                <w:sz w:val="20"/>
                <w:szCs w:val="20"/>
              </w:rPr>
            </w:pPr>
            <w:r w:rsidRPr="00655E75">
              <w:rPr>
                <w:rFonts w:ascii="Arial Narrow" w:hAnsi="Arial Narrow" w:cs="Calibri"/>
                <w:color w:val="000000"/>
                <w:sz w:val="20"/>
                <w:szCs w:val="20"/>
              </w:rPr>
              <w:t>-2</w:t>
            </w:r>
          </w:p>
        </w:tc>
        <w:tc>
          <w:tcPr>
            <w:tcW w:w="3600" w:type="dxa"/>
            <w:vAlign w:val="center"/>
          </w:tcPr>
          <w:p w14:paraId="6245287C" w14:textId="5676AA15" w:rsidR="00655E75" w:rsidRPr="00655E75" w:rsidRDefault="00655E75" w:rsidP="00655E75">
            <w:pPr>
              <w:jc w:val="left"/>
              <w:rPr>
                <w:rFonts w:ascii="Arial Narrow" w:hAnsi="Arial Narrow"/>
                <w:color w:val="000000"/>
                <w:sz w:val="20"/>
                <w:szCs w:val="20"/>
                <w:highlight w:val="yellow"/>
              </w:rPr>
            </w:pPr>
            <w:r w:rsidRPr="00655E75">
              <w:rPr>
                <w:rFonts w:ascii="Arial Narrow" w:hAnsi="Arial Narrow" w:cs="Calibri"/>
                <w:color w:val="000000"/>
                <w:sz w:val="20"/>
                <w:szCs w:val="20"/>
              </w:rPr>
              <w:t>PFAS levels observed were well below EPA-recommended water quality criteria for PFOA and PFOS.</w:t>
            </w:r>
          </w:p>
        </w:tc>
      </w:tr>
      <w:tr w:rsidR="00655E75" w:rsidRPr="00655E75" w14:paraId="2BF2B142" w14:textId="77777777" w:rsidTr="00655E75">
        <w:trPr>
          <w:trHeight w:val="247"/>
        </w:trPr>
        <w:tc>
          <w:tcPr>
            <w:tcW w:w="2437" w:type="dxa"/>
            <w:vAlign w:val="center"/>
          </w:tcPr>
          <w:p w14:paraId="2F073109" w14:textId="77777777" w:rsidR="00655E75" w:rsidRPr="00655E75" w:rsidRDefault="00655E75" w:rsidP="00655E75">
            <w:pPr>
              <w:jc w:val="left"/>
              <w:rPr>
                <w:rFonts w:ascii="Arial Narrow" w:hAnsi="Arial Narrow" w:cs="Calibri"/>
                <w:b/>
                <w:bCs/>
                <w:color w:val="000000"/>
                <w:sz w:val="20"/>
                <w:szCs w:val="20"/>
              </w:rPr>
            </w:pPr>
            <w:r w:rsidRPr="00655E75">
              <w:rPr>
                <w:rFonts w:ascii="Arial Narrow" w:hAnsi="Arial Narrow" w:cs="Calibri"/>
                <w:color w:val="000000"/>
                <w:sz w:val="20"/>
                <w:szCs w:val="20"/>
              </w:rPr>
              <w:t>Consistency of Evidence</w:t>
            </w:r>
          </w:p>
        </w:tc>
        <w:tc>
          <w:tcPr>
            <w:tcW w:w="720" w:type="dxa"/>
            <w:vAlign w:val="center"/>
          </w:tcPr>
          <w:p w14:paraId="41F0E97B" w14:textId="74F347BA" w:rsidR="00655E75" w:rsidRPr="00655E75" w:rsidRDefault="00655E75" w:rsidP="00655E75">
            <w:pPr>
              <w:jc w:val="center"/>
              <w:rPr>
                <w:rFonts w:ascii="Arial Narrow" w:hAnsi="Arial Narrow" w:cs="Calibri"/>
                <w:b/>
                <w:color w:val="000000"/>
                <w:sz w:val="20"/>
                <w:szCs w:val="20"/>
              </w:rPr>
            </w:pPr>
            <w:r w:rsidRPr="00655E75">
              <w:rPr>
                <w:rFonts w:ascii="Arial Narrow" w:hAnsi="Arial Narrow" w:cs="Calibri"/>
                <w:color w:val="000000"/>
                <w:sz w:val="20"/>
                <w:szCs w:val="20"/>
              </w:rPr>
              <w:t>0</w:t>
            </w:r>
          </w:p>
        </w:tc>
        <w:tc>
          <w:tcPr>
            <w:tcW w:w="720" w:type="dxa"/>
            <w:vAlign w:val="center"/>
          </w:tcPr>
          <w:p w14:paraId="5239EAE6" w14:textId="6E2A06AD" w:rsidR="00655E75" w:rsidRPr="00655E75" w:rsidRDefault="00655E75" w:rsidP="00655E75">
            <w:pPr>
              <w:jc w:val="center"/>
              <w:rPr>
                <w:rFonts w:ascii="Arial Narrow" w:hAnsi="Arial Narrow" w:cs="Calibri"/>
                <w:b/>
                <w:color w:val="000000"/>
                <w:sz w:val="20"/>
                <w:szCs w:val="20"/>
              </w:rPr>
            </w:pPr>
            <w:r w:rsidRPr="00655E75">
              <w:rPr>
                <w:rFonts w:ascii="Arial Narrow" w:hAnsi="Arial Narrow" w:cs="Calibri"/>
                <w:color w:val="000000"/>
                <w:sz w:val="20"/>
                <w:szCs w:val="20"/>
              </w:rPr>
              <w:t>-2</w:t>
            </w:r>
          </w:p>
        </w:tc>
        <w:tc>
          <w:tcPr>
            <w:tcW w:w="990" w:type="dxa"/>
            <w:vAlign w:val="center"/>
          </w:tcPr>
          <w:p w14:paraId="12F563E2" w14:textId="3CFEC85E" w:rsidR="00655E75" w:rsidRPr="00655E75" w:rsidRDefault="00655E75" w:rsidP="00655E75">
            <w:pPr>
              <w:jc w:val="center"/>
              <w:rPr>
                <w:rFonts w:ascii="Arial Narrow" w:hAnsi="Arial Narrow" w:cs="Calibri"/>
                <w:b/>
                <w:color w:val="000000"/>
                <w:sz w:val="20"/>
                <w:szCs w:val="20"/>
              </w:rPr>
            </w:pPr>
            <w:r w:rsidRPr="00655E75">
              <w:rPr>
                <w:rFonts w:ascii="Arial Narrow" w:hAnsi="Arial Narrow" w:cs="Calibri"/>
                <w:color w:val="000000"/>
                <w:sz w:val="20"/>
                <w:szCs w:val="20"/>
              </w:rPr>
              <w:t>-2</w:t>
            </w:r>
          </w:p>
        </w:tc>
        <w:tc>
          <w:tcPr>
            <w:tcW w:w="990" w:type="dxa"/>
            <w:vAlign w:val="center"/>
          </w:tcPr>
          <w:p w14:paraId="6B057EE9" w14:textId="27204DFE" w:rsidR="00655E75" w:rsidRPr="00655E75" w:rsidRDefault="00655E75" w:rsidP="00655E75">
            <w:pPr>
              <w:jc w:val="center"/>
              <w:rPr>
                <w:rFonts w:ascii="Arial Narrow" w:hAnsi="Arial Narrow" w:cs="Calibri"/>
                <w:b/>
                <w:color w:val="000000"/>
                <w:sz w:val="20"/>
                <w:szCs w:val="20"/>
              </w:rPr>
            </w:pPr>
            <w:r w:rsidRPr="00655E75">
              <w:rPr>
                <w:rFonts w:ascii="Arial Narrow" w:hAnsi="Arial Narrow" w:cs="Calibri"/>
                <w:color w:val="000000"/>
                <w:sz w:val="20"/>
                <w:szCs w:val="20"/>
              </w:rPr>
              <w:t>-2</w:t>
            </w:r>
          </w:p>
        </w:tc>
        <w:tc>
          <w:tcPr>
            <w:tcW w:w="3600" w:type="dxa"/>
            <w:vAlign w:val="center"/>
          </w:tcPr>
          <w:p w14:paraId="4CE2981F" w14:textId="0C3D26D8" w:rsidR="00655E75" w:rsidRPr="00655E75" w:rsidRDefault="00655E75" w:rsidP="00655E75">
            <w:pPr>
              <w:jc w:val="left"/>
              <w:rPr>
                <w:rFonts w:ascii="Arial Narrow" w:hAnsi="Arial Narrow"/>
                <w:color w:val="000000"/>
                <w:sz w:val="20"/>
                <w:szCs w:val="20"/>
                <w:highlight w:val="yellow"/>
              </w:rPr>
            </w:pPr>
            <w:r w:rsidRPr="00655E75">
              <w:rPr>
                <w:rFonts w:ascii="Arial Narrow" w:hAnsi="Arial Narrow" w:cs="Calibri"/>
                <w:color w:val="000000"/>
                <w:sz w:val="20"/>
                <w:szCs w:val="20"/>
              </w:rPr>
              <w:t>Evidence consistently refuted PFAS as a stressor in Tinker Creek and the Roanoke River.</w:t>
            </w:r>
          </w:p>
        </w:tc>
      </w:tr>
      <w:tr w:rsidR="00655E75" w:rsidRPr="00655E75" w14:paraId="21D9F26E" w14:textId="77777777" w:rsidTr="00655E75">
        <w:trPr>
          <w:trHeight w:val="247"/>
        </w:trPr>
        <w:tc>
          <w:tcPr>
            <w:tcW w:w="2437" w:type="dxa"/>
            <w:vAlign w:val="center"/>
          </w:tcPr>
          <w:p w14:paraId="1886FC35" w14:textId="77777777" w:rsidR="00655E75" w:rsidRPr="00655E75" w:rsidRDefault="00655E75" w:rsidP="00655E75">
            <w:pPr>
              <w:jc w:val="left"/>
              <w:rPr>
                <w:rFonts w:ascii="Arial Narrow" w:hAnsi="Arial Narrow" w:cs="Calibri"/>
                <w:b/>
                <w:bCs/>
                <w:color w:val="000000"/>
                <w:sz w:val="20"/>
                <w:szCs w:val="20"/>
              </w:rPr>
            </w:pPr>
            <w:r w:rsidRPr="00655E75">
              <w:rPr>
                <w:rFonts w:ascii="Arial Narrow" w:hAnsi="Arial Narrow" w:cs="Calibri"/>
                <w:b/>
                <w:bCs/>
                <w:color w:val="000000"/>
                <w:sz w:val="20"/>
                <w:szCs w:val="20"/>
              </w:rPr>
              <w:t>Sum</w:t>
            </w:r>
          </w:p>
        </w:tc>
        <w:tc>
          <w:tcPr>
            <w:tcW w:w="720" w:type="dxa"/>
            <w:vAlign w:val="center"/>
          </w:tcPr>
          <w:p w14:paraId="0D863ED2" w14:textId="5DA84970" w:rsidR="00655E75" w:rsidRPr="00655E75" w:rsidRDefault="00655E75" w:rsidP="00655E75">
            <w:pPr>
              <w:jc w:val="center"/>
              <w:rPr>
                <w:rFonts w:ascii="Arial Narrow" w:hAnsi="Arial Narrow" w:cs="Calibri"/>
                <w:b/>
                <w:color w:val="000000"/>
                <w:sz w:val="20"/>
                <w:szCs w:val="20"/>
              </w:rPr>
            </w:pPr>
            <w:r w:rsidRPr="00655E75">
              <w:rPr>
                <w:rFonts w:ascii="Arial Narrow" w:hAnsi="Arial Narrow" w:cs="Calibri"/>
                <w:b/>
                <w:color w:val="000000"/>
                <w:sz w:val="20"/>
                <w:szCs w:val="20"/>
              </w:rPr>
              <w:t>0</w:t>
            </w:r>
          </w:p>
        </w:tc>
        <w:tc>
          <w:tcPr>
            <w:tcW w:w="720" w:type="dxa"/>
            <w:vAlign w:val="center"/>
          </w:tcPr>
          <w:p w14:paraId="7224AF4A" w14:textId="18E3189F" w:rsidR="00655E75" w:rsidRPr="00655E75" w:rsidRDefault="00655E75" w:rsidP="00655E75">
            <w:pPr>
              <w:jc w:val="center"/>
              <w:rPr>
                <w:rFonts w:ascii="Arial Narrow" w:hAnsi="Arial Narrow" w:cs="Calibri"/>
                <w:b/>
                <w:color w:val="000000"/>
                <w:sz w:val="20"/>
                <w:szCs w:val="20"/>
              </w:rPr>
            </w:pPr>
            <w:r w:rsidRPr="00655E75">
              <w:rPr>
                <w:rFonts w:ascii="Arial Narrow" w:hAnsi="Arial Narrow" w:cs="Calibri"/>
                <w:b/>
                <w:color w:val="000000"/>
                <w:sz w:val="20"/>
                <w:szCs w:val="20"/>
              </w:rPr>
              <w:t>-7</w:t>
            </w:r>
          </w:p>
        </w:tc>
        <w:tc>
          <w:tcPr>
            <w:tcW w:w="990" w:type="dxa"/>
            <w:vAlign w:val="center"/>
          </w:tcPr>
          <w:p w14:paraId="0465A226" w14:textId="02AC47D2" w:rsidR="00655E75" w:rsidRPr="00655E75" w:rsidRDefault="00655E75" w:rsidP="00655E75">
            <w:pPr>
              <w:jc w:val="center"/>
              <w:rPr>
                <w:rFonts w:ascii="Arial Narrow" w:hAnsi="Arial Narrow" w:cs="Calibri"/>
                <w:b/>
                <w:color w:val="000000"/>
                <w:sz w:val="20"/>
                <w:szCs w:val="20"/>
              </w:rPr>
            </w:pPr>
            <w:r w:rsidRPr="00655E75">
              <w:rPr>
                <w:rFonts w:ascii="Arial Narrow" w:hAnsi="Arial Narrow" w:cs="Calibri"/>
                <w:b/>
                <w:color w:val="000000"/>
                <w:sz w:val="20"/>
                <w:szCs w:val="20"/>
              </w:rPr>
              <w:t>-10</w:t>
            </w:r>
          </w:p>
        </w:tc>
        <w:tc>
          <w:tcPr>
            <w:tcW w:w="990" w:type="dxa"/>
            <w:vAlign w:val="center"/>
          </w:tcPr>
          <w:p w14:paraId="4A0A2D72" w14:textId="4CDBDCA4" w:rsidR="00655E75" w:rsidRPr="00655E75" w:rsidRDefault="00655E75" w:rsidP="00655E75">
            <w:pPr>
              <w:jc w:val="center"/>
              <w:rPr>
                <w:rFonts w:ascii="Arial Narrow" w:hAnsi="Arial Narrow" w:cs="Calibri"/>
                <w:b/>
                <w:color w:val="000000"/>
                <w:sz w:val="20"/>
                <w:szCs w:val="20"/>
              </w:rPr>
            </w:pPr>
            <w:r w:rsidRPr="00655E75">
              <w:rPr>
                <w:rFonts w:ascii="Arial Narrow" w:hAnsi="Arial Narrow" w:cs="Calibri"/>
                <w:b/>
                <w:color w:val="000000"/>
                <w:sz w:val="20"/>
                <w:szCs w:val="20"/>
              </w:rPr>
              <w:t>-10</w:t>
            </w:r>
          </w:p>
        </w:tc>
        <w:tc>
          <w:tcPr>
            <w:tcW w:w="3600" w:type="dxa"/>
            <w:vAlign w:val="center"/>
          </w:tcPr>
          <w:p w14:paraId="037E5D9D" w14:textId="77777777" w:rsidR="00655E75" w:rsidRPr="00655E75" w:rsidRDefault="00655E75" w:rsidP="00655E75">
            <w:pPr>
              <w:jc w:val="left"/>
              <w:rPr>
                <w:rFonts w:ascii="Arial Narrow" w:hAnsi="Arial Narrow"/>
                <w:b/>
                <w:color w:val="000000"/>
                <w:sz w:val="20"/>
                <w:szCs w:val="20"/>
                <w:highlight w:val="yellow"/>
              </w:rPr>
            </w:pPr>
          </w:p>
        </w:tc>
      </w:tr>
    </w:tbl>
    <w:p w14:paraId="413627C0" w14:textId="77777777" w:rsidR="00F9161C" w:rsidRPr="007A0C83" w:rsidRDefault="00F9161C" w:rsidP="00F9161C">
      <w:pPr>
        <w:pStyle w:val="BlockText"/>
        <w:spacing w:before="0" w:after="0" w:line="240" w:lineRule="auto"/>
        <w:rPr>
          <w:highlight w:val="yellow"/>
        </w:rPr>
      </w:pPr>
    </w:p>
    <w:p w14:paraId="3EEAE73F" w14:textId="77777777" w:rsidR="00F9161C" w:rsidRPr="007A0C83" w:rsidRDefault="00F9161C" w:rsidP="005E4B50">
      <w:pPr>
        <w:pStyle w:val="BlockText"/>
        <w:spacing w:before="0" w:after="0" w:line="240" w:lineRule="auto"/>
        <w:rPr>
          <w:highlight w:val="yellow"/>
        </w:rPr>
      </w:pPr>
    </w:p>
    <w:p w14:paraId="70520813" w14:textId="6B1CDC27" w:rsidR="008A1F50" w:rsidRPr="007D6043" w:rsidRDefault="008A1F50" w:rsidP="00B32C1C">
      <w:pPr>
        <w:pStyle w:val="Heading2"/>
      </w:pPr>
      <w:bookmarkStart w:id="256" w:name="_Toc162948203"/>
      <w:r w:rsidRPr="007D6043">
        <w:t>Sediment Metals</w:t>
      </w:r>
      <w:bookmarkEnd w:id="256"/>
    </w:p>
    <w:p w14:paraId="2A87AF9C" w14:textId="1F151565" w:rsidR="0047736D" w:rsidRDefault="008A1F50" w:rsidP="008A1F50">
      <w:pPr>
        <w:pStyle w:val="BlockText"/>
      </w:pPr>
      <w:r w:rsidRPr="007D6043">
        <w:fldChar w:fldCharType="begin"/>
      </w:r>
      <w:r w:rsidRPr="007D6043">
        <w:instrText xml:space="preserve"> REF _Ref51320295 \h  \* MERGEFORMAT </w:instrText>
      </w:r>
      <w:r w:rsidRPr="007D6043">
        <w:fldChar w:fldCharType="separate"/>
      </w:r>
      <w:r w:rsidR="004A78BF" w:rsidRPr="007D6043">
        <w:t xml:space="preserve">Table </w:t>
      </w:r>
      <w:r w:rsidR="004A78BF">
        <w:rPr>
          <w:noProof/>
        </w:rPr>
        <w:t>43</w:t>
      </w:r>
      <w:r w:rsidRPr="007D6043">
        <w:fldChar w:fldCharType="end"/>
      </w:r>
      <w:r w:rsidRPr="007D6043">
        <w:t xml:space="preserve"> shows the causal analysis results for sediment </w:t>
      </w:r>
      <w:r w:rsidR="007D6043">
        <w:t>metals</w:t>
      </w:r>
      <w:r w:rsidRPr="007D6043">
        <w:t xml:space="preserve">. Total causal analysis scores </w:t>
      </w:r>
      <w:r w:rsidR="000D0ABF">
        <w:t>ranged from -</w:t>
      </w:r>
      <w:r w:rsidR="00DF1406">
        <w:t>6</w:t>
      </w:r>
      <w:r w:rsidR="000D0ABF">
        <w:t xml:space="preserve"> to </w:t>
      </w:r>
      <w:r w:rsidR="00DF1406">
        <w:t xml:space="preserve">+1. In Wolf Creek and the Roanoke River, there was </w:t>
      </w:r>
      <w:r w:rsidR="0047736D">
        <w:t>some</w:t>
      </w:r>
      <w:r w:rsidR="00DF1406">
        <w:t xml:space="preserve"> evidence that sediment metals </w:t>
      </w:r>
      <w:r w:rsidRPr="007D6043">
        <w:t xml:space="preserve">are </w:t>
      </w:r>
      <w:r w:rsidR="007D6043">
        <w:t>non-stressors</w:t>
      </w:r>
      <w:r w:rsidR="00DF1406">
        <w:t>.</w:t>
      </w:r>
      <w:r w:rsidR="007D6043">
        <w:t xml:space="preserve"> </w:t>
      </w:r>
      <w:r w:rsidR="000D0ABF">
        <w:t>Where monitored, s</w:t>
      </w:r>
      <w:r w:rsidR="007D6043">
        <w:t xml:space="preserve">ediment metals were </w:t>
      </w:r>
      <w:r w:rsidRPr="007D6043">
        <w:t xml:space="preserve">below published </w:t>
      </w:r>
      <w:r w:rsidR="000D0ABF">
        <w:t xml:space="preserve">probable </w:t>
      </w:r>
      <w:r w:rsidRPr="007D6043">
        <w:t xml:space="preserve">effect </w:t>
      </w:r>
      <w:r w:rsidR="00DF1406">
        <w:t xml:space="preserve">and threshold effect </w:t>
      </w:r>
      <w:r w:rsidR="000D0ABF">
        <w:t xml:space="preserve">levels. The analogous stressor of dissolved metals was also below water quality standards or published threshold effect levels. </w:t>
      </w:r>
      <w:r w:rsidR="00DF1406">
        <w:t xml:space="preserve">In Tinker Creek, however, lead in sediments was above the threshold effect level, indicating that it could be a possible stressor. </w:t>
      </w:r>
      <w:r w:rsidRPr="007D6043">
        <w:t>For th</w:t>
      </w:r>
      <w:r w:rsidR="000D0ABF">
        <w:t>ese</w:t>
      </w:r>
      <w:r w:rsidRPr="007D6043">
        <w:t xml:space="preserve"> reason</w:t>
      </w:r>
      <w:r w:rsidR="000D0ABF">
        <w:t>s</w:t>
      </w:r>
      <w:r w:rsidRPr="007D6043">
        <w:t xml:space="preserve">, and others explained in </w:t>
      </w:r>
      <w:r w:rsidRPr="007D6043">
        <w:fldChar w:fldCharType="begin"/>
      </w:r>
      <w:r w:rsidRPr="007D6043">
        <w:instrText xml:space="preserve"> REF _Ref51320295 \h  \* MERGEFORMAT </w:instrText>
      </w:r>
      <w:r w:rsidRPr="007D6043">
        <w:fldChar w:fldCharType="separate"/>
      </w:r>
      <w:r w:rsidR="004A78BF" w:rsidRPr="007D6043">
        <w:t xml:space="preserve">Table </w:t>
      </w:r>
      <w:r w:rsidR="004A78BF">
        <w:rPr>
          <w:noProof/>
        </w:rPr>
        <w:t>43</w:t>
      </w:r>
      <w:r w:rsidRPr="007D6043">
        <w:fldChar w:fldCharType="end"/>
      </w:r>
      <w:r w:rsidRPr="007D6043">
        <w:t xml:space="preserve">, sediment </w:t>
      </w:r>
      <w:r w:rsidR="007D6043">
        <w:t>metals</w:t>
      </w:r>
      <w:r w:rsidRPr="007D6043">
        <w:t xml:space="preserve"> were categorized as </w:t>
      </w:r>
      <w:r w:rsidR="00DF1406">
        <w:t xml:space="preserve">a possible stressor in Tinker Creek and </w:t>
      </w:r>
      <w:r w:rsidRPr="007D6043">
        <w:t xml:space="preserve">non-stressors in </w:t>
      </w:r>
      <w:r w:rsidR="00DF1406">
        <w:t xml:space="preserve">Wolf Creek and the </w:t>
      </w:r>
      <w:r w:rsidR="000D0ABF">
        <w:t xml:space="preserve">Roanoke River. </w:t>
      </w:r>
    </w:p>
    <w:p w14:paraId="160CBA5D" w14:textId="768D6C7B" w:rsidR="008A1F50" w:rsidRPr="007D6043" w:rsidRDefault="008A1F50" w:rsidP="005E4B50">
      <w:pPr>
        <w:pStyle w:val="BlockText"/>
        <w:spacing w:before="0" w:after="0" w:line="240" w:lineRule="auto"/>
      </w:pPr>
      <w:r w:rsidRPr="007D6043">
        <w:t xml:space="preserve"> </w:t>
      </w:r>
    </w:p>
    <w:p w14:paraId="01564633" w14:textId="7D805056" w:rsidR="008A1F50" w:rsidRPr="007D6043" w:rsidRDefault="008A1F50" w:rsidP="008A1F50">
      <w:pPr>
        <w:pStyle w:val="Caption"/>
      </w:pPr>
      <w:bookmarkStart w:id="257" w:name="_Ref51320295"/>
      <w:bookmarkStart w:id="258" w:name="_Toc162948310"/>
      <w:r w:rsidRPr="007D6043">
        <w:t xml:space="preserve">Table </w:t>
      </w:r>
      <w:r w:rsidRPr="007D6043">
        <w:rPr>
          <w:noProof/>
        </w:rPr>
        <w:fldChar w:fldCharType="begin"/>
      </w:r>
      <w:r w:rsidRPr="007D6043">
        <w:rPr>
          <w:noProof/>
        </w:rPr>
        <w:instrText xml:space="preserve"> SEQ Table \* ARABIC </w:instrText>
      </w:r>
      <w:r w:rsidRPr="007D6043">
        <w:rPr>
          <w:noProof/>
        </w:rPr>
        <w:fldChar w:fldCharType="separate"/>
      </w:r>
      <w:r w:rsidR="004A78BF">
        <w:rPr>
          <w:noProof/>
        </w:rPr>
        <w:t>43</w:t>
      </w:r>
      <w:r w:rsidRPr="007D6043">
        <w:rPr>
          <w:noProof/>
        </w:rPr>
        <w:fldChar w:fldCharType="end"/>
      </w:r>
      <w:bookmarkEnd w:id="257"/>
      <w:r w:rsidRPr="007D6043">
        <w:t>. Causal analysis results for sediment metals.</w:t>
      </w:r>
      <w:bookmarkEnd w:id="258"/>
    </w:p>
    <w:tbl>
      <w:tblPr>
        <w:tblW w:w="9457"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7"/>
        <w:gridCol w:w="720"/>
        <w:gridCol w:w="720"/>
        <w:gridCol w:w="990"/>
        <w:gridCol w:w="990"/>
        <w:gridCol w:w="3600"/>
      </w:tblGrid>
      <w:tr w:rsidR="00250E0C" w:rsidRPr="007A0C83" w14:paraId="235A050E" w14:textId="77777777" w:rsidTr="002D647C">
        <w:trPr>
          <w:cantSplit/>
          <w:trHeight w:val="1080"/>
        </w:trPr>
        <w:tc>
          <w:tcPr>
            <w:tcW w:w="2437" w:type="dxa"/>
            <w:shd w:val="clear" w:color="auto" w:fill="D9D9D9" w:themeFill="background1" w:themeFillShade="D9"/>
            <w:vAlign w:val="center"/>
          </w:tcPr>
          <w:p w14:paraId="13C53EEB" w14:textId="77777777" w:rsidR="00250E0C" w:rsidRPr="00396EC1" w:rsidRDefault="00250E0C" w:rsidP="002D647C">
            <w:pPr>
              <w:jc w:val="center"/>
              <w:rPr>
                <w:rFonts w:ascii="Arial Narrow" w:hAnsi="Arial Narrow"/>
                <w:b/>
                <w:sz w:val="20"/>
                <w:szCs w:val="20"/>
              </w:rPr>
            </w:pPr>
            <w:r w:rsidRPr="00396EC1">
              <w:rPr>
                <w:rFonts w:ascii="Arial Narrow" w:hAnsi="Arial Narrow"/>
                <w:b/>
                <w:sz w:val="20"/>
                <w:szCs w:val="20"/>
              </w:rPr>
              <w:t>Evidence</w:t>
            </w:r>
          </w:p>
        </w:tc>
        <w:tc>
          <w:tcPr>
            <w:tcW w:w="720" w:type="dxa"/>
            <w:shd w:val="clear" w:color="auto" w:fill="D9D9D9" w:themeFill="background1" w:themeFillShade="D9"/>
            <w:vAlign w:val="center"/>
          </w:tcPr>
          <w:p w14:paraId="110B763F" w14:textId="77777777" w:rsidR="00250E0C" w:rsidRPr="00396EC1" w:rsidRDefault="00250E0C" w:rsidP="002D647C">
            <w:pPr>
              <w:jc w:val="center"/>
              <w:rPr>
                <w:rFonts w:ascii="Arial Narrow" w:hAnsi="Arial Narrow"/>
                <w:b/>
                <w:sz w:val="20"/>
                <w:szCs w:val="20"/>
              </w:rPr>
            </w:pPr>
            <w:r>
              <w:rPr>
                <w:rFonts w:ascii="Arial Narrow" w:hAnsi="Arial Narrow"/>
                <w:b/>
                <w:sz w:val="20"/>
                <w:szCs w:val="20"/>
              </w:rPr>
              <w:t>Wolf Creek</w:t>
            </w:r>
          </w:p>
        </w:tc>
        <w:tc>
          <w:tcPr>
            <w:tcW w:w="720" w:type="dxa"/>
            <w:shd w:val="clear" w:color="auto" w:fill="D9D9D9" w:themeFill="background1" w:themeFillShade="D9"/>
            <w:vAlign w:val="center"/>
          </w:tcPr>
          <w:p w14:paraId="7FC3FD30" w14:textId="77777777" w:rsidR="00250E0C" w:rsidRPr="00396EC1" w:rsidRDefault="00250E0C" w:rsidP="002D647C">
            <w:pPr>
              <w:jc w:val="center"/>
              <w:rPr>
                <w:rFonts w:ascii="Arial Narrow" w:hAnsi="Arial Narrow"/>
                <w:b/>
                <w:sz w:val="20"/>
                <w:szCs w:val="20"/>
              </w:rPr>
            </w:pPr>
            <w:r>
              <w:rPr>
                <w:rFonts w:ascii="Arial Narrow" w:hAnsi="Arial Narrow"/>
                <w:b/>
                <w:sz w:val="20"/>
                <w:szCs w:val="20"/>
              </w:rPr>
              <w:t>Tinker Creek</w:t>
            </w:r>
          </w:p>
        </w:tc>
        <w:tc>
          <w:tcPr>
            <w:tcW w:w="990" w:type="dxa"/>
            <w:shd w:val="clear" w:color="auto" w:fill="D9D9D9" w:themeFill="background1" w:themeFillShade="D9"/>
            <w:vAlign w:val="center"/>
          </w:tcPr>
          <w:p w14:paraId="1CD52462" w14:textId="77777777" w:rsidR="00250E0C" w:rsidRPr="00396EC1" w:rsidRDefault="00250E0C" w:rsidP="002D647C">
            <w:pPr>
              <w:jc w:val="center"/>
              <w:rPr>
                <w:rFonts w:ascii="Arial Narrow" w:hAnsi="Arial Narrow"/>
                <w:b/>
                <w:sz w:val="20"/>
                <w:szCs w:val="20"/>
              </w:rPr>
            </w:pPr>
            <w:r>
              <w:rPr>
                <w:rFonts w:ascii="Arial Narrow" w:hAnsi="Arial Narrow"/>
                <w:b/>
                <w:sz w:val="20"/>
                <w:szCs w:val="20"/>
              </w:rPr>
              <w:t>Roanoke River (202.20)</w:t>
            </w:r>
          </w:p>
        </w:tc>
        <w:tc>
          <w:tcPr>
            <w:tcW w:w="990" w:type="dxa"/>
            <w:shd w:val="clear" w:color="auto" w:fill="D9D9D9" w:themeFill="background1" w:themeFillShade="D9"/>
            <w:vAlign w:val="center"/>
          </w:tcPr>
          <w:p w14:paraId="37E18683" w14:textId="77777777" w:rsidR="00250E0C" w:rsidRPr="00396EC1" w:rsidRDefault="00250E0C" w:rsidP="002D647C">
            <w:pPr>
              <w:jc w:val="center"/>
              <w:rPr>
                <w:rFonts w:ascii="Arial Narrow" w:hAnsi="Arial Narrow"/>
                <w:b/>
                <w:sz w:val="20"/>
                <w:szCs w:val="20"/>
              </w:rPr>
            </w:pPr>
            <w:r>
              <w:rPr>
                <w:rFonts w:ascii="Arial Narrow" w:hAnsi="Arial Narrow"/>
                <w:b/>
                <w:sz w:val="20"/>
                <w:szCs w:val="20"/>
              </w:rPr>
              <w:t>Roanoke River (198.08)</w:t>
            </w:r>
          </w:p>
        </w:tc>
        <w:tc>
          <w:tcPr>
            <w:tcW w:w="3600" w:type="dxa"/>
            <w:shd w:val="clear" w:color="auto" w:fill="D9D9D9" w:themeFill="background1" w:themeFillShade="D9"/>
            <w:vAlign w:val="center"/>
          </w:tcPr>
          <w:p w14:paraId="61F2314B" w14:textId="77777777" w:rsidR="00250E0C" w:rsidRPr="00613B31" w:rsidRDefault="00250E0C" w:rsidP="002D647C">
            <w:pPr>
              <w:jc w:val="center"/>
              <w:rPr>
                <w:rFonts w:ascii="Arial Narrow" w:hAnsi="Arial Narrow"/>
                <w:b/>
                <w:sz w:val="20"/>
                <w:szCs w:val="20"/>
              </w:rPr>
            </w:pPr>
            <w:r w:rsidRPr="00396EC1">
              <w:rPr>
                <w:rFonts w:ascii="Arial Narrow" w:hAnsi="Arial Narrow"/>
                <w:b/>
                <w:sz w:val="20"/>
                <w:szCs w:val="20"/>
              </w:rPr>
              <w:t>Explanation</w:t>
            </w:r>
          </w:p>
        </w:tc>
      </w:tr>
      <w:tr w:rsidR="002D647C" w:rsidRPr="007A0C83" w14:paraId="7FEA4D43" w14:textId="77777777" w:rsidTr="002D647C">
        <w:trPr>
          <w:trHeight w:val="247"/>
        </w:trPr>
        <w:tc>
          <w:tcPr>
            <w:tcW w:w="2437" w:type="dxa"/>
            <w:vAlign w:val="center"/>
          </w:tcPr>
          <w:p w14:paraId="4F80B8C3" w14:textId="4D90D4B3" w:rsidR="002D647C" w:rsidRPr="002D647C" w:rsidRDefault="002D647C" w:rsidP="002D647C">
            <w:pPr>
              <w:jc w:val="left"/>
              <w:rPr>
                <w:rFonts w:ascii="Arial Narrow" w:hAnsi="Arial Narrow"/>
                <w:sz w:val="20"/>
                <w:szCs w:val="20"/>
                <w:highlight w:val="yellow"/>
              </w:rPr>
            </w:pPr>
            <w:r w:rsidRPr="002D647C">
              <w:rPr>
                <w:rFonts w:ascii="Arial Narrow" w:hAnsi="Arial Narrow" w:cs="Calibri"/>
                <w:color w:val="000000"/>
                <w:sz w:val="20"/>
                <w:szCs w:val="20"/>
              </w:rPr>
              <w:t>Spatial Co-occurrence</w:t>
            </w:r>
          </w:p>
        </w:tc>
        <w:tc>
          <w:tcPr>
            <w:tcW w:w="720" w:type="dxa"/>
            <w:vAlign w:val="center"/>
          </w:tcPr>
          <w:p w14:paraId="183CE00B" w14:textId="59E73701" w:rsidR="002D647C" w:rsidRPr="002D647C" w:rsidRDefault="002D647C" w:rsidP="002D647C">
            <w:pPr>
              <w:jc w:val="center"/>
              <w:rPr>
                <w:rFonts w:ascii="Arial Narrow" w:hAnsi="Arial Narrow" w:cs="Calibri"/>
                <w:color w:val="000000"/>
                <w:sz w:val="20"/>
                <w:szCs w:val="20"/>
              </w:rPr>
            </w:pPr>
            <w:r w:rsidRPr="002D647C">
              <w:rPr>
                <w:rFonts w:ascii="Arial Narrow" w:hAnsi="Arial Narrow" w:cs="Calibri"/>
                <w:color w:val="000000"/>
                <w:sz w:val="20"/>
                <w:szCs w:val="20"/>
              </w:rPr>
              <w:t>0</w:t>
            </w:r>
          </w:p>
        </w:tc>
        <w:tc>
          <w:tcPr>
            <w:tcW w:w="720" w:type="dxa"/>
            <w:vAlign w:val="center"/>
          </w:tcPr>
          <w:p w14:paraId="726BB93F" w14:textId="493FF1E8" w:rsidR="002D647C" w:rsidRPr="002D647C" w:rsidRDefault="002D647C" w:rsidP="002D647C">
            <w:pPr>
              <w:jc w:val="center"/>
              <w:rPr>
                <w:rFonts w:ascii="Arial Narrow" w:hAnsi="Arial Narrow" w:cs="Calibri"/>
                <w:color w:val="000000"/>
                <w:sz w:val="20"/>
                <w:szCs w:val="20"/>
              </w:rPr>
            </w:pPr>
            <w:r w:rsidRPr="002D647C">
              <w:rPr>
                <w:rFonts w:ascii="Arial Narrow" w:hAnsi="Arial Narrow" w:cs="Calibri"/>
                <w:color w:val="000000"/>
                <w:sz w:val="20"/>
                <w:szCs w:val="20"/>
              </w:rPr>
              <w:t>1</w:t>
            </w:r>
          </w:p>
        </w:tc>
        <w:tc>
          <w:tcPr>
            <w:tcW w:w="990" w:type="dxa"/>
            <w:vAlign w:val="center"/>
          </w:tcPr>
          <w:p w14:paraId="29AE8905" w14:textId="68CB0398" w:rsidR="002D647C" w:rsidRPr="002D647C" w:rsidRDefault="002D647C" w:rsidP="002D647C">
            <w:pPr>
              <w:jc w:val="center"/>
              <w:rPr>
                <w:rFonts w:ascii="Arial Narrow" w:hAnsi="Arial Narrow" w:cs="Calibri"/>
                <w:color w:val="000000"/>
                <w:sz w:val="20"/>
                <w:szCs w:val="20"/>
              </w:rPr>
            </w:pPr>
            <w:r w:rsidRPr="002D647C">
              <w:rPr>
                <w:rFonts w:ascii="Arial Narrow" w:hAnsi="Arial Narrow" w:cs="Calibri"/>
                <w:color w:val="000000"/>
                <w:sz w:val="20"/>
                <w:szCs w:val="20"/>
              </w:rPr>
              <w:t>-2</w:t>
            </w:r>
          </w:p>
        </w:tc>
        <w:tc>
          <w:tcPr>
            <w:tcW w:w="990" w:type="dxa"/>
            <w:vAlign w:val="center"/>
          </w:tcPr>
          <w:p w14:paraId="27CB4448" w14:textId="2B990E8A" w:rsidR="002D647C" w:rsidRPr="002D647C" w:rsidRDefault="002D647C" w:rsidP="002D647C">
            <w:pPr>
              <w:jc w:val="center"/>
              <w:rPr>
                <w:rFonts w:ascii="Arial Narrow" w:hAnsi="Arial Narrow"/>
                <w:color w:val="000000"/>
                <w:sz w:val="20"/>
                <w:szCs w:val="20"/>
                <w:highlight w:val="yellow"/>
              </w:rPr>
            </w:pPr>
            <w:r w:rsidRPr="002D647C">
              <w:rPr>
                <w:rFonts w:ascii="Arial Narrow" w:hAnsi="Arial Narrow" w:cs="Calibri"/>
                <w:color w:val="000000"/>
                <w:sz w:val="20"/>
                <w:szCs w:val="20"/>
              </w:rPr>
              <w:t>0</w:t>
            </w:r>
          </w:p>
        </w:tc>
        <w:tc>
          <w:tcPr>
            <w:tcW w:w="3600" w:type="dxa"/>
            <w:vAlign w:val="center"/>
          </w:tcPr>
          <w:p w14:paraId="3C07523A" w14:textId="5D35D9FD" w:rsidR="002D647C" w:rsidRPr="00DF1406" w:rsidRDefault="00D1375E" w:rsidP="00D1375E">
            <w:pPr>
              <w:spacing w:line="240" w:lineRule="auto"/>
              <w:jc w:val="left"/>
              <w:rPr>
                <w:rFonts w:ascii="Arial Narrow" w:hAnsi="Arial Narrow" w:cs="Calibri"/>
                <w:color w:val="000000"/>
                <w:sz w:val="20"/>
                <w:szCs w:val="20"/>
              </w:rPr>
            </w:pPr>
            <w:r w:rsidRPr="00DF1406">
              <w:rPr>
                <w:rFonts w:ascii="Arial Narrow" w:hAnsi="Arial Narrow" w:cs="Calibri"/>
                <w:color w:val="000000"/>
                <w:sz w:val="20"/>
                <w:szCs w:val="20"/>
              </w:rPr>
              <w:t>SCI scores were impaired, but sediment metals were below probable effect concentrations and threshold effect concentrations in the Roanoke River (202.20). Lead in Tinker Creek was below the probable effect concentration, but above the threshold effect concentration. No sediment metals data were available for the other streams.</w:t>
            </w:r>
          </w:p>
        </w:tc>
      </w:tr>
      <w:tr w:rsidR="002D647C" w:rsidRPr="007A0C83" w14:paraId="2A87D3E9" w14:textId="77777777" w:rsidTr="002D647C">
        <w:trPr>
          <w:trHeight w:val="247"/>
        </w:trPr>
        <w:tc>
          <w:tcPr>
            <w:tcW w:w="2437" w:type="dxa"/>
            <w:vAlign w:val="center"/>
          </w:tcPr>
          <w:p w14:paraId="3E6E8864" w14:textId="1A440ED3" w:rsidR="002D647C" w:rsidRPr="002D647C" w:rsidRDefault="002D647C" w:rsidP="002D647C">
            <w:pPr>
              <w:jc w:val="left"/>
              <w:rPr>
                <w:rFonts w:ascii="Arial Narrow" w:hAnsi="Arial Narrow" w:cs="Calibri"/>
                <w:b/>
                <w:bCs/>
                <w:color w:val="000000"/>
                <w:sz w:val="20"/>
                <w:szCs w:val="20"/>
              </w:rPr>
            </w:pPr>
            <w:r w:rsidRPr="002D647C">
              <w:rPr>
                <w:rFonts w:ascii="Arial Narrow" w:hAnsi="Arial Narrow" w:cs="Calibri"/>
                <w:color w:val="000000"/>
                <w:sz w:val="20"/>
                <w:szCs w:val="20"/>
              </w:rPr>
              <w:t>Stressor-Response Relationships from Laboratory Studies</w:t>
            </w:r>
          </w:p>
        </w:tc>
        <w:tc>
          <w:tcPr>
            <w:tcW w:w="720" w:type="dxa"/>
            <w:vAlign w:val="center"/>
          </w:tcPr>
          <w:p w14:paraId="31733E18" w14:textId="5FC318A6" w:rsidR="002D647C" w:rsidRPr="002D647C" w:rsidRDefault="002D647C" w:rsidP="002D647C">
            <w:pPr>
              <w:jc w:val="center"/>
              <w:rPr>
                <w:rFonts w:ascii="Arial Narrow" w:hAnsi="Arial Narrow" w:cs="Calibri"/>
                <w:b/>
                <w:color w:val="000000"/>
                <w:sz w:val="20"/>
                <w:szCs w:val="20"/>
              </w:rPr>
            </w:pPr>
            <w:r w:rsidRPr="002D647C">
              <w:rPr>
                <w:rFonts w:ascii="Arial Narrow" w:hAnsi="Arial Narrow" w:cs="Calibri"/>
                <w:color w:val="000000"/>
                <w:sz w:val="20"/>
                <w:szCs w:val="20"/>
              </w:rPr>
              <w:t>0</w:t>
            </w:r>
          </w:p>
        </w:tc>
        <w:tc>
          <w:tcPr>
            <w:tcW w:w="720" w:type="dxa"/>
            <w:vAlign w:val="center"/>
          </w:tcPr>
          <w:p w14:paraId="2D21E96C" w14:textId="336B1A0D" w:rsidR="002D647C" w:rsidRPr="002D647C" w:rsidRDefault="002D647C" w:rsidP="002D647C">
            <w:pPr>
              <w:jc w:val="center"/>
              <w:rPr>
                <w:rFonts w:ascii="Arial Narrow" w:hAnsi="Arial Narrow" w:cs="Calibri"/>
                <w:b/>
                <w:color w:val="000000"/>
                <w:sz w:val="20"/>
                <w:szCs w:val="20"/>
              </w:rPr>
            </w:pPr>
            <w:r w:rsidRPr="002D647C">
              <w:rPr>
                <w:rFonts w:ascii="Arial Narrow" w:hAnsi="Arial Narrow" w:cs="Calibri"/>
                <w:color w:val="000000"/>
                <w:sz w:val="20"/>
                <w:szCs w:val="20"/>
              </w:rPr>
              <w:t>1</w:t>
            </w:r>
          </w:p>
        </w:tc>
        <w:tc>
          <w:tcPr>
            <w:tcW w:w="990" w:type="dxa"/>
            <w:vAlign w:val="center"/>
          </w:tcPr>
          <w:p w14:paraId="0904B1C0" w14:textId="79E002CD" w:rsidR="002D647C" w:rsidRPr="002D647C" w:rsidRDefault="002D647C" w:rsidP="002D647C">
            <w:pPr>
              <w:jc w:val="center"/>
              <w:rPr>
                <w:rFonts w:ascii="Arial Narrow" w:hAnsi="Arial Narrow" w:cs="Calibri"/>
                <w:b/>
                <w:color w:val="000000"/>
                <w:sz w:val="20"/>
                <w:szCs w:val="20"/>
              </w:rPr>
            </w:pPr>
            <w:r w:rsidRPr="002D647C">
              <w:rPr>
                <w:rFonts w:ascii="Arial Narrow" w:hAnsi="Arial Narrow" w:cs="Calibri"/>
                <w:color w:val="000000"/>
                <w:sz w:val="20"/>
                <w:szCs w:val="20"/>
              </w:rPr>
              <w:t>-2</w:t>
            </w:r>
          </w:p>
        </w:tc>
        <w:tc>
          <w:tcPr>
            <w:tcW w:w="990" w:type="dxa"/>
            <w:vAlign w:val="center"/>
          </w:tcPr>
          <w:p w14:paraId="1423BA3D" w14:textId="040832D0" w:rsidR="002D647C" w:rsidRPr="002D647C" w:rsidRDefault="002D647C" w:rsidP="002D647C">
            <w:pPr>
              <w:jc w:val="center"/>
              <w:rPr>
                <w:rFonts w:ascii="Arial Narrow" w:hAnsi="Arial Narrow" w:cs="Calibri"/>
                <w:b/>
                <w:color w:val="000000"/>
                <w:sz w:val="20"/>
                <w:szCs w:val="20"/>
              </w:rPr>
            </w:pPr>
            <w:r w:rsidRPr="002D647C">
              <w:rPr>
                <w:rFonts w:ascii="Arial Narrow" w:hAnsi="Arial Narrow" w:cs="Calibri"/>
                <w:color w:val="000000"/>
                <w:sz w:val="20"/>
                <w:szCs w:val="20"/>
              </w:rPr>
              <w:t>0</w:t>
            </w:r>
          </w:p>
        </w:tc>
        <w:tc>
          <w:tcPr>
            <w:tcW w:w="3600" w:type="dxa"/>
            <w:vAlign w:val="center"/>
          </w:tcPr>
          <w:p w14:paraId="39AC856F" w14:textId="031B2EAE" w:rsidR="002D647C" w:rsidRPr="002D647C" w:rsidRDefault="002D647C" w:rsidP="002D647C">
            <w:pPr>
              <w:jc w:val="left"/>
              <w:rPr>
                <w:rFonts w:ascii="Arial Narrow" w:hAnsi="Arial Narrow"/>
                <w:color w:val="000000"/>
                <w:sz w:val="20"/>
                <w:szCs w:val="20"/>
                <w:highlight w:val="yellow"/>
              </w:rPr>
            </w:pPr>
            <w:r w:rsidRPr="002D647C">
              <w:rPr>
                <w:rFonts w:ascii="Arial Narrow" w:hAnsi="Arial Narrow" w:cs="Calibri"/>
                <w:color w:val="000000"/>
                <w:sz w:val="20"/>
                <w:szCs w:val="20"/>
              </w:rPr>
              <w:t xml:space="preserve">Sediment metals were below probable effect concentrations in Tinker Creek and Roanoke River (202.20). All metals except for lead in Tinker Creek were also below threshold effect concentrations. No sediment metals data were available for the other streams. </w:t>
            </w:r>
          </w:p>
        </w:tc>
      </w:tr>
      <w:tr w:rsidR="002D647C" w:rsidRPr="007A0C83" w14:paraId="0B094FD7" w14:textId="77777777" w:rsidTr="002D647C">
        <w:trPr>
          <w:trHeight w:val="247"/>
        </w:trPr>
        <w:tc>
          <w:tcPr>
            <w:tcW w:w="2437" w:type="dxa"/>
            <w:vAlign w:val="center"/>
          </w:tcPr>
          <w:p w14:paraId="2CB6143D" w14:textId="4B030AE3" w:rsidR="002D647C" w:rsidRPr="002D647C" w:rsidRDefault="002D647C" w:rsidP="002D647C">
            <w:pPr>
              <w:jc w:val="left"/>
              <w:rPr>
                <w:rFonts w:ascii="Arial Narrow" w:hAnsi="Arial Narrow" w:cs="Calibri"/>
                <w:b/>
                <w:bCs/>
                <w:color w:val="000000"/>
                <w:sz w:val="20"/>
                <w:szCs w:val="20"/>
              </w:rPr>
            </w:pPr>
            <w:r w:rsidRPr="002D647C">
              <w:rPr>
                <w:rFonts w:ascii="Arial Narrow" w:hAnsi="Arial Narrow" w:cs="Calibri"/>
                <w:color w:val="000000"/>
                <w:sz w:val="20"/>
                <w:szCs w:val="20"/>
              </w:rPr>
              <w:t>Analogous Stressors</w:t>
            </w:r>
          </w:p>
        </w:tc>
        <w:tc>
          <w:tcPr>
            <w:tcW w:w="720" w:type="dxa"/>
            <w:vAlign w:val="center"/>
          </w:tcPr>
          <w:p w14:paraId="60332C91" w14:textId="485AC28F" w:rsidR="002D647C" w:rsidRPr="002D647C" w:rsidRDefault="002D647C" w:rsidP="002D647C">
            <w:pPr>
              <w:jc w:val="center"/>
              <w:rPr>
                <w:rFonts w:ascii="Arial Narrow" w:hAnsi="Arial Narrow" w:cs="Calibri"/>
                <w:b/>
                <w:color w:val="000000"/>
                <w:sz w:val="20"/>
                <w:szCs w:val="20"/>
              </w:rPr>
            </w:pPr>
            <w:r w:rsidRPr="002D647C">
              <w:rPr>
                <w:rFonts w:ascii="Arial Narrow" w:hAnsi="Arial Narrow" w:cs="Calibri"/>
                <w:color w:val="000000"/>
                <w:sz w:val="20"/>
                <w:szCs w:val="20"/>
              </w:rPr>
              <w:t>-</w:t>
            </w:r>
            <w:r w:rsidR="00DF1406">
              <w:rPr>
                <w:rFonts w:ascii="Arial Narrow" w:hAnsi="Arial Narrow" w:cs="Calibri"/>
                <w:color w:val="000000"/>
                <w:sz w:val="20"/>
                <w:szCs w:val="20"/>
              </w:rPr>
              <w:t>1</w:t>
            </w:r>
          </w:p>
        </w:tc>
        <w:tc>
          <w:tcPr>
            <w:tcW w:w="720" w:type="dxa"/>
            <w:vAlign w:val="center"/>
          </w:tcPr>
          <w:p w14:paraId="2641B0A9" w14:textId="1EB5F0C0" w:rsidR="002D647C" w:rsidRPr="002D647C" w:rsidRDefault="002D647C" w:rsidP="002D647C">
            <w:pPr>
              <w:jc w:val="center"/>
              <w:rPr>
                <w:rFonts w:ascii="Arial Narrow" w:hAnsi="Arial Narrow" w:cs="Calibri"/>
                <w:b/>
                <w:color w:val="000000"/>
                <w:sz w:val="20"/>
                <w:szCs w:val="20"/>
              </w:rPr>
            </w:pPr>
            <w:r w:rsidRPr="002D647C">
              <w:rPr>
                <w:rFonts w:ascii="Arial Narrow" w:hAnsi="Arial Narrow" w:cs="Calibri"/>
                <w:color w:val="000000"/>
                <w:sz w:val="20"/>
                <w:szCs w:val="20"/>
              </w:rPr>
              <w:t>-</w:t>
            </w:r>
            <w:r w:rsidR="00DF1406">
              <w:rPr>
                <w:rFonts w:ascii="Arial Narrow" w:hAnsi="Arial Narrow" w:cs="Calibri"/>
                <w:color w:val="000000"/>
                <w:sz w:val="20"/>
                <w:szCs w:val="20"/>
              </w:rPr>
              <w:t>1</w:t>
            </w:r>
          </w:p>
        </w:tc>
        <w:tc>
          <w:tcPr>
            <w:tcW w:w="990" w:type="dxa"/>
            <w:vAlign w:val="center"/>
          </w:tcPr>
          <w:p w14:paraId="41231225" w14:textId="23F45BE7" w:rsidR="002D647C" w:rsidRPr="002D647C" w:rsidRDefault="002D647C" w:rsidP="002D647C">
            <w:pPr>
              <w:jc w:val="center"/>
              <w:rPr>
                <w:rFonts w:ascii="Arial Narrow" w:hAnsi="Arial Narrow" w:cs="Calibri"/>
                <w:b/>
                <w:color w:val="000000"/>
                <w:sz w:val="20"/>
                <w:szCs w:val="20"/>
              </w:rPr>
            </w:pPr>
            <w:r w:rsidRPr="002D647C">
              <w:rPr>
                <w:rFonts w:ascii="Arial Narrow" w:hAnsi="Arial Narrow" w:cs="Calibri"/>
                <w:color w:val="000000"/>
                <w:sz w:val="20"/>
                <w:szCs w:val="20"/>
              </w:rPr>
              <w:t>-</w:t>
            </w:r>
            <w:r w:rsidR="00DF1406">
              <w:rPr>
                <w:rFonts w:ascii="Arial Narrow" w:hAnsi="Arial Narrow" w:cs="Calibri"/>
                <w:color w:val="000000"/>
                <w:sz w:val="20"/>
                <w:szCs w:val="20"/>
              </w:rPr>
              <w:t>1</w:t>
            </w:r>
          </w:p>
        </w:tc>
        <w:tc>
          <w:tcPr>
            <w:tcW w:w="990" w:type="dxa"/>
            <w:vAlign w:val="center"/>
          </w:tcPr>
          <w:p w14:paraId="797BEB9B" w14:textId="0BA70E79" w:rsidR="002D647C" w:rsidRPr="002D647C" w:rsidRDefault="002D647C" w:rsidP="002D647C">
            <w:pPr>
              <w:jc w:val="center"/>
              <w:rPr>
                <w:rFonts w:ascii="Arial Narrow" w:hAnsi="Arial Narrow" w:cs="Calibri"/>
                <w:b/>
                <w:color w:val="000000"/>
                <w:sz w:val="20"/>
                <w:szCs w:val="20"/>
              </w:rPr>
            </w:pPr>
            <w:r w:rsidRPr="002D647C">
              <w:rPr>
                <w:rFonts w:ascii="Arial Narrow" w:hAnsi="Arial Narrow" w:cs="Calibri"/>
                <w:color w:val="000000"/>
                <w:sz w:val="20"/>
                <w:szCs w:val="20"/>
              </w:rPr>
              <w:t>-</w:t>
            </w:r>
            <w:r w:rsidR="00DF1406">
              <w:rPr>
                <w:rFonts w:ascii="Arial Narrow" w:hAnsi="Arial Narrow" w:cs="Calibri"/>
                <w:color w:val="000000"/>
                <w:sz w:val="20"/>
                <w:szCs w:val="20"/>
              </w:rPr>
              <w:t>1</w:t>
            </w:r>
          </w:p>
        </w:tc>
        <w:tc>
          <w:tcPr>
            <w:tcW w:w="3600" w:type="dxa"/>
            <w:vAlign w:val="center"/>
          </w:tcPr>
          <w:p w14:paraId="220A952B" w14:textId="044273A1" w:rsidR="002D647C" w:rsidRPr="002D647C" w:rsidRDefault="002D647C" w:rsidP="002D647C">
            <w:pPr>
              <w:jc w:val="left"/>
              <w:rPr>
                <w:rFonts w:ascii="Arial Narrow" w:hAnsi="Arial Narrow"/>
                <w:color w:val="000000"/>
                <w:sz w:val="20"/>
                <w:szCs w:val="20"/>
                <w:highlight w:val="yellow"/>
              </w:rPr>
            </w:pPr>
            <w:r w:rsidRPr="002D647C">
              <w:rPr>
                <w:rFonts w:ascii="Arial Narrow" w:hAnsi="Arial Narrow" w:cs="Calibri"/>
                <w:color w:val="000000"/>
                <w:sz w:val="20"/>
                <w:szCs w:val="20"/>
              </w:rPr>
              <w:t>In all streams, levels of dissolved metals were below WQS and toxic thresholds.</w:t>
            </w:r>
          </w:p>
        </w:tc>
      </w:tr>
      <w:tr w:rsidR="002D647C" w:rsidRPr="00DF1406" w14:paraId="2CF81F9D" w14:textId="77777777" w:rsidTr="002D647C">
        <w:trPr>
          <w:trHeight w:val="247"/>
        </w:trPr>
        <w:tc>
          <w:tcPr>
            <w:tcW w:w="2437" w:type="dxa"/>
            <w:vAlign w:val="center"/>
          </w:tcPr>
          <w:p w14:paraId="7F48ADF0" w14:textId="2505CFBD" w:rsidR="002D647C" w:rsidRPr="00DF1406" w:rsidRDefault="002D647C" w:rsidP="002D647C">
            <w:pPr>
              <w:jc w:val="left"/>
              <w:rPr>
                <w:rFonts w:ascii="Arial Narrow" w:hAnsi="Arial Narrow" w:cs="Calibri"/>
                <w:b/>
                <w:bCs/>
                <w:color w:val="000000"/>
                <w:sz w:val="20"/>
                <w:szCs w:val="20"/>
              </w:rPr>
            </w:pPr>
            <w:r w:rsidRPr="00DF1406">
              <w:rPr>
                <w:rFonts w:ascii="Arial Narrow" w:hAnsi="Arial Narrow" w:cs="Calibri"/>
                <w:color w:val="000000"/>
                <w:sz w:val="20"/>
                <w:szCs w:val="20"/>
              </w:rPr>
              <w:t>Consistency of Evidence</w:t>
            </w:r>
          </w:p>
        </w:tc>
        <w:tc>
          <w:tcPr>
            <w:tcW w:w="720" w:type="dxa"/>
            <w:vAlign w:val="center"/>
          </w:tcPr>
          <w:p w14:paraId="2245D14B" w14:textId="5E258F87" w:rsidR="002D647C" w:rsidRPr="00DF1406" w:rsidRDefault="002D647C" w:rsidP="002D647C">
            <w:pPr>
              <w:jc w:val="center"/>
              <w:rPr>
                <w:rFonts w:ascii="Arial Narrow" w:hAnsi="Arial Narrow" w:cs="Calibri"/>
                <w:b/>
                <w:color w:val="000000"/>
                <w:sz w:val="20"/>
                <w:szCs w:val="20"/>
              </w:rPr>
            </w:pPr>
            <w:r w:rsidRPr="00DF1406">
              <w:rPr>
                <w:rFonts w:ascii="Arial Narrow" w:hAnsi="Arial Narrow" w:cs="Calibri"/>
                <w:color w:val="000000"/>
                <w:sz w:val="20"/>
                <w:szCs w:val="20"/>
              </w:rPr>
              <w:t>0</w:t>
            </w:r>
          </w:p>
        </w:tc>
        <w:tc>
          <w:tcPr>
            <w:tcW w:w="720" w:type="dxa"/>
            <w:vAlign w:val="center"/>
          </w:tcPr>
          <w:p w14:paraId="6B7ADC85" w14:textId="4D3E8D29" w:rsidR="002D647C" w:rsidRPr="00DF1406" w:rsidRDefault="00DF1406" w:rsidP="002D647C">
            <w:pPr>
              <w:jc w:val="center"/>
              <w:rPr>
                <w:rFonts w:ascii="Arial Narrow" w:hAnsi="Arial Narrow" w:cs="Calibri"/>
                <w:b/>
                <w:color w:val="000000"/>
                <w:sz w:val="20"/>
                <w:szCs w:val="20"/>
              </w:rPr>
            </w:pPr>
            <w:r w:rsidRPr="00DF1406">
              <w:rPr>
                <w:rFonts w:ascii="Arial Narrow" w:hAnsi="Arial Narrow" w:cs="Calibri"/>
                <w:color w:val="000000"/>
                <w:sz w:val="20"/>
                <w:szCs w:val="20"/>
              </w:rPr>
              <w:t>0</w:t>
            </w:r>
          </w:p>
        </w:tc>
        <w:tc>
          <w:tcPr>
            <w:tcW w:w="990" w:type="dxa"/>
            <w:vAlign w:val="center"/>
          </w:tcPr>
          <w:p w14:paraId="636AD5F2" w14:textId="613209CC" w:rsidR="002D647C" w:rsidRPr="00DF1406" w:rsidRDefault="002D647C" w:rsidP="002D647C">
            <w:pPr>
              <w:jc w:val="center"/>
              <w:rPr>
                <w:rFonts w:ascii="Arial Narrow" w:hAnsi="Arial Narrow" w:cs="Calibri"/>
                <w:b/>
                <w:color w:val="000000"/>
                <w:sz w:val="20"/>
                <w:szCs w:val="20"/>
              </w:rPr>
            </w:pPr>
            <w:r w:rsidRPr="00DF1406">
              <w:rPr>
                <w:rFonts w:ascii="Arial Narrow" w:hAnsi="Arial Narrow" w:cs="Calibri"/>
                <w:color w:val="000000"/>
                <w:sz w:val="20"/>
                <w:szCs w:val="20"/>
              </w:rPr>
              <w:t>-1</w:t>
            </w:r>
          </w:p>
        </w:tc>
        <w:tc>
          <w:tcPr>
            <w:tcW w:w="990" w:type="dxa"/>
            <w:vAlign w:val="center"/>
          </w:tcPr>
          <w:p w14:paraId="149E9A08" w14:textId="65C11530" w:rsidR="002D647C" w:rsidRPr="00DF1406" w:rsidRDefault="002D647C" w:rsidP="002D647C">
            <w:pPr>
              <w:jc w:val="center"/>
              <w:rPr>
                <w:rFonts w:ascii="Arial Narrow" w:hAnsi="Arial Narrow" w:cs="Calibri"/>
                <w:b/>
                <w:color w:val="000000"/>
                <w:sz w:val="20"/>
                <w:szCs w:val="20"/>
              </w:rPr>
            </w:pPr>
            <w:r w:rsidRPr="00DF1406">
              <w:rPr>
                <w:rFonts w:ascii="Arial Narrow" w:hAnsi="Arial Narrow" w:cs="Calibri"/>
                <w:color w:val="000000"/>
                <w:sz w:val="20"/>
                <w:szCs w:val="20"/>
              </w:rPr>
              <w:t>0</w:t>
            </w:r>
          </w:p>
        </w:tc>
        <w:tc>
          <w:tcPr>
            <w:tcW w:w="3600" w:type="dxa"/>
            <w:vAlign w:val="center"/>
          </w:tcPr>
          <w:p w14:paraId="2387D4B6" w14:textId="3D87FCBD" w:rsidR="002D647C" w:rsidRPr="00DF1406" w:rsidRDefault="00DF1406" w:rsidP="00DF1406">
            <w:pPr>
              <w:spacing w:line="240" w:lineRule="auto"/>
              <w:jc w:val="left"/>
              <w:rPr>
                <w:rFonts w:ascii="Arial Narrow" w:hAnsi="Arial Narrow" w:cs="Calibri"/>
                <w:color w:val="000000"/>
                <w:sz w:val="20"/>
                <w:szCs w:val="20"/>
              </w:rPr>
            </w:pPr>
            <w:r w:rsidRPr="00DF1406">
              <w:rPr>
                <w:rFonts w:ascii="Arial Narrow" w:hAnsi="Arial Narrow" w:cs="Calibri"/>
                <w:color w:val="000000"/>
                <w:sz w:val="20"/>
                <w:szCs w:val="20"/>
              </w:rPr>
              <w:t>Evidence consistently refuted sediment metals as a stressor in the Roanoke River. Limited evidence was available in other streams.</w:t>
            </w:r>
          </w:p>
        </w:tc>
      </w:tr>
      <w:tr w:rsidR="002D647C" w:rsidRPr="002D647C" w14:paraId="4C231958" w14:textId="77777777" w:rsidTr="002D647C">
        <w:trPr>
          <w:trHeight w:val="247"/>
        </w:trPr>
        <w:tc>
          <w:tcPr>
            <w:tcW w:w="2437" w:type="dxa"/>
            <w:vAlign w:val="center"/>
          </w:tcPr>
          <w:p w14:paraId="4B24C7EA" w14:textId="732C508B" w:rsidR="002D647C" w:rsidRPr="002D647C" w:rsidRDefault="002D647C" w:rsidP="002D647C">
            <w:pPr>
              <w:jc w:val="right"/>
              <w:rPr>
                <w:rFonts w:ascii="Arial Narrow" w:hAnsi="Arial Narrow" w:cs="Calibri"/>
                <w:b/>
                <w:bCs/>
                <w:color w:val="000000"/>
                <w:sz w:val="20"/>
                <w:szCs w:val="20"/>
              </w:rPr>
            </w:pPr>
            <w:r w:rsidRPr="002D647C">
              <w:rPr>
                <w:rFonts w:ascii="Arial Narrow" w:hAnsi="Arial Narrow" w:cs="Calibri"/>
                <w:b/>
                <w:bCs/>
                <w:color w:val="000000"/>
                <w:sz w:val="20"/>
                <w:szCs w:val="20"/>
              </w:rPr>
              <w:t>Sum</w:t>
            </w:r>
          </w:p>
        </w:tc>
        <w:tc>
          <w:tcPr>
            <w:tcW w:w="720" w:type="dxa"/>
            <w:vAlign w:val="center"/>
          </w:tcPr>
          <w:p w14:paraId="5D1638B1" w14:textId="4936B571" w:rsidR="002D647C" w:rsidRPr="002D647C" w:rsidRDefault="002D647C" w:rsidP="002D647C">
            <w:pPr>
              <w:jc w:val="center"/>
              <w:rPr>
                <w:rFonts w:ascii="Arial Narrow" w:hAnsi="Arial Narrow" w:cs="Calibri"/>
                <w:b/>
                <w:color w:val="000000"/>
                <w:sz w:val="20"/>
                <w:szCs w:val="20"/>
              </w:rPr>
            </w:pPr>
            <w:r w:rsidRPr="002D647C">
              <w:rPr>
                <w:rFonts w:ascii="Arial Narrow" w:hAnsi="Arial Narrow" w:cs="Calibri"/>
                <w:b/>
                <w:color w:val="000000"/>
                <w:sz w:val="20"/>
                <w:szCs w:val="20"/>
              </w:rPr>
              <w:t>-</w:t>
            </w:r>
            <w:r w:rsidR="00DF1406">
              <w:rPr>
                <w:rFonts w:ascii="Arial Narrow" w:hAnsi="Arial Narrow" w:cs="Calibri"/>
                <w:b/>
                <w:color w:val="000000"/>
                <w:sz w:val="20"/>
                <w:szCs w:val="20"/>
              </w:rPr>
              <w:t>1</w:t>
            </w:r>
          </w:p>
        </w:tc>
        <w:tc>
          <w:tcPr>
            <w:tcW w:w="720" w:type="dxa"/>
            <w:vAlign w:val="center"/>
          </w:tcPr>
          <w:p w14:paraId="3889D297" w14:textId="40ADCB56" w:rsidR="002D647C" w:rsidRPr="002D647C" w:rsidRDefault="00DF1406" w:rsidP="002D647C">
            <w:pPr>
              <w:jc w:val="center"/>
              <w:rPr>
                <w:rFonts w:ascii="Arial Narrow" w:hAnsi="Arial Narrow" w:cs="Calibri"/>
                <w:b/>
                <w:color w:val="000000"/>
                <w:sz w:val="20"/>
                <w:szCs w:val="20"/>
              </w:rPr>
            </w:pPr>
            <w:r>
              <w:rPr>
                <w:rFonts w:ascii="Arial Narrow" w:hAnsi="Arial Narrow" w:cs="Calibri"/>
                <w:b/>
                <w:color w:val="000000"/>
                <w:sz w:val="20"/>
                <w:szCs w:val="20"/>
              </w:rPr>
              <w:t>1</w:t>
            </w:r>
          </w:p>
        </w:tc>
        <w:tc>
          <w:tcPr>
            <w:tcW w:w="990" w:type="dxa"/>
            <w:vAlign w:val="center"/>
          </w:tcPr>
          <w:p w14:paraId="1A60C11A" w14:textId="510D4BD6" w:rsidR="002D647C" w:rsidRPr="002D647C" w:rsidRDefault="002D647C" w:rsidP="002D647C">
            <w:pPr>
              <w:jc w:val="center"/>
              <w:rPr>
                <w:rFonts w:ascii="Arial Narrow" w:hAnsi="Arial Narrow" w:cs="Calibri"/>
                <w:b/>
                <w:color w:val="000000"/>
                <w:sz w:val="20"/>
                <w:szCs w:val="20"/>
              </w:rPr>
            </w:pPr>
            <w:r w:rsidRPr="002D647C">
              <w:rPr>
                <w:rFonts w:ascii="Arial Narrow" w:hAnsi="Arial Narrow" w:cs="Calibri"/>
                <w:b/>
                <w:color w:val="000000"/>
                <w:sz w:val="20"/>
                <w:szCs w:val="20"/>
              </w:rPr>
              <w:t>-</w:t>
            </w:r>
            <w:r w:rsidR="00DF1406">
              <w:rPr>
                <w:rFonts w:ascii="Arial Narrow" w:hAnsi="Arial Narrow" w:cs="Calibri"/>
                <w:b/>
                <w:color w:val="000000"/>
                <w:sz w:val="20"/>
                <w:szCs w:val="20"/>
              </w:rPr>
              <w:t>6</w:t>
            </w:r>
          </w:p>
        </w:tc>
        <w:tc>
          <w:tcPr>
            <w:tcW w:w="990" w:type="dxa"/>
            <w:vAlign w:val="center"/>
          </w:tcPr>
          <w:p w14:paraId="0CDCB88C" w14:textId="0E9862A2" w:rsidR="002D647C" w:rsidRPr="002D647C" w:rsidRDefault="002D647C" w:rsidP="002D647C">
            <w:pPr>
              <w:jc w:val="center"/>
              <w:rPr>
                <w:rFonts w:ascii="Arial Narrow" w:hAnsi="Arial Narrow" w:cs="Calibri"/>
                <w:b/>
                <w:color w:val="000000"/>
                <w:sz w:val="20"/>
                <w:szCs w:val="20"/>
              </w:rPr>
            </w:pPr>
            <w:r w:rsidRPr="002D647C">
              <w:rPr>
                <w:rFonts w:ascii="Arial Narrow" w:hAnsi="Arial Narrow" w:cs="Calibri"/>
                <w:b/>
                <w:color w:val="000000"/>
                <w:sz w:val="20"/>
                <w:szCs w:val="20"/>
              </w:rPr>
              <w:t>-</w:t>
            </w:r>
            <w:r w:rsidR="00DF1406">
              <w:rPr>
                <w:rFonts w:ascii="Arial Narrow" w:hAnsi="Arial Narrow" w:cs="Calibri"/>
                <w:b/>
                <w:color w:val="000000"/>
                <w:sz w:val="20"/>
                <w:szCs w:val="20"/>
              </w:rPr>
              <w:t>1</w:t>
            </w:r>
          </w:p>
        </w:tc>
        <w:tc>
          <w:tcPr>
            <w:tcW w:w="3600" w:type="dxa"/>
            <w:vAlign w:val="center"/>
          </w:tcPr>
          <w:p w14:paraId="0AA08BE2" w14:textId="77777777" w:rsidR="002D647C" w:rsidRPr="002D647C" w:rsidRDefault="002D647C" w:rsidP="002D647C">
            <w:pPr>
              <w:jc w:val="left"/>
              <w:rPr>
                <w:rFonts w:ascii="Arial Narrow" w:hAnsi="Arial Narrow"/>
                <w:b/>
                <w:color w:val="000000"/>
                <w:sz w:val="20"/>
                <w:szCs w:val="20"/>
                <w:highlight w:val="yellow"/>
              </w:rPr>
            </w:pPr>
          </w:p>
        </w:tc>
      </w:tr>
    </w:tbl>
    <w:p w14:paraId="5F0712A8" w14:textId="326EF44E" w:rsidR="008A1F50" w:rsidRDefault="008A1F50" w:rsidP="005E4B50">
      <w:pPr>
        <w:pStyle w:val="BlockText"/>
        <w:spacing w:before="0" w:after="0" w:line="240" w:lineRule="auto"/>
      </w:pPr>
    </w:p>
    <w:p w14:paraId="26484B32" w14:textId="1AEFD14C" w:rsidR="002D647C" w:rsidRPr="007D6043" w:rsidRDefault="002D647C" w:rsidP="002D647C">
      <w:pPr>
        <w:pStyle w:val="Heading2"/>
      </w:pPr>
      <w:bookmarkStart w:id="259" w:name="_Toc162948204"/>
      <w:r w:rsidRPr="007D6043">
        <w:t xml:space="preserve">Sediment </w:t>
      </w:r>
      <w:r>
        <w:t>PAHs</w:t>
      </w:r>
      <w:bookmarkEnd w:id="259"/>
    </w:p>
    <w:p w14:paraId="3E797B94" w14:textId="1E40F3A9" w:rsidR="002D647C" w:rsidRDefault="000D0ABF" w:rsidP="002D647C">
      <w:pPr>
        <w:pStyle w:val="BlockText"/>
      </w:pPr>
      <w:r>
        <w:fldChar w:fldCharType="begin"/>
      </w:r>
      <w:r>
        <w:instrText xml:space="preserve"> REF _Ref153944224 \h </w:instrText>
      </w:r>
      <w:r>
        <w:fldChar w:fldCharType="separate"/>
      </w:r>
      <w:r w:rsidR="004A78BF" w:rsidRPr="007D6043">
        <w:t xml:space="preserve">Table </w:t>
      </w:r>
      <w:r w:rsidR="004A78BF">
        <w:rPr>
          <w:noProof/>
        </w:rPr>
        <w:t>44</w:t>
      </w:r>
      <w:r>
        <w:fldChar w:fldCharType="end"/>
      </w:r>
      <w:r w:rsidR="002D647C" w:rsidRPr="007D6043">
        <w:t xml:space="preserve"> shows the causal analysis results for sediment </w:t>
      </w:r>
      <w:r>
        <w:t>PAHs</w:t>
      </w:r>
      <w:r w:rsidR="002D647C" w:rsidRPr="007D6043">
        <w:t xml:space="preserve">. </w:t>
      </w:r>
      <w:r w:rsidR="001D6378">
        <w:t xml:space="preserve">Only Roanoke River (202.20) had available sediment PAH data to evaluate, and the total causal analysis score at this location was +2. Sediment PAHs were higher at this location than the reference, and total PAHs and four individual compounds were above threshold effect levels. </w:t>
      </w:r>
      <w:r w:rsidR="002D647C" w:rsidRPr="007D6043">
        <w:t>For th</w:t>
      </w:r>
      <w:r w:rsidR="001D6378">
        <w:t>ese</w:t>
      </w:r>
      <w:r w:rsidR="002D647C" w:rsidRPr="007D6043">
        <w:t xml:space="preserve"> reason</w:t>
      </w:r>
      <w:r w:rsidR="001D6378">
        <w:t>s</w:t>
      </w:r>
      <w:r w:rsidR="002D647C" w:rsidRPr="007D6043">
        <w:t xml:space="preserve">, sediment </w:t>
      </w:r>
      <w:r w:rsidR="001D6378">
        <w:t>PAHs</w:t>
      </w:r>
      <w:r w:rsidR="002D647C" w:rsidRPr="007D6043">
        <w:t xml:space="preserve"> were categorized as </w:t>
      </w:r>
      <w:r w:rsidR="001D6378">
        <w:t xml:space="preserve">a possible stressor </w:t>
      </w:r>
      <w:r w:rsidR="002D647C" w:rsidRPr="007D6043">
        <w:t xml:space="preserve">in </w:t>
      </w:r>
      <w:r w:rsidR="001D6378">
        <w:t>Roanoke River (202.20). Other streams and locations could not be evaluated</w:t>
      </w:r>
      <w:r w:rsidR="002D647C" w:rsidRPr="007D6043">
        <w:t xml:space="preserve">. </w:t>
      </w:r>
    </w:p>
    <w:p w14:paraId="0F9915F3" w14:textId="7EEBBF93" w:rsidR="0093755C" w:rsidRDefault="0093755C" w:rsidP="002D647C">
      <w:pPr>
        <w:pStyle w:val="BlockText"/>
      </w:pPr>
    </w:p>
    <w:p w14:paraId="3521625D" w14:textId="5CC75C48" w:rsidR="0093755C" w:rsidRDefault="0093755C" w:rsidP="002D647C">
      <w:pPr>
        <w:pStyle w:val="BlockText"/>
      </w:pPr>
    </w:p>
    <w:p w14:paraId="672C0F78" w14:textId="77777777" w:rsidR="0093755C" w:rsidRDefault="0093755C" w:rsidP="002D647C">
      <w:pPr>
        <w:pStyle w:val="BlockText"/>
      </w:pPr>
    </w:p>
    <w:p w14:paraId="753A1EF4" w14:textId="77777777" w:rsidR="0047736D" w:rsidRPr="007D6043" w:rsidRDefault="0047736D" w:rsidP="005E4B50">
      <w:pPr>
        <w:pStyle w:val="BlockText"/>
        <w:spacing w:before="0" w:after="0" w:line="240" w:lineRule="auto"/>
      </w:pPr>
    </w:p>
    <w:p w14:paraId="5586C25E" w14:textId="15F37261" w:rsidR="002D647C" w:rsidRPr="007D6043" w:rsidRDefault="002D647C" w:rsidP="002D647C">
      <w:pPr>
        <w:pStyle w:val="Caption"/>
      </w:pPr>
      <w:bookmarkStart w:id="260" w:name="_Ref153944224"/>
      <w:bookmarkStart w:id="261" w:name="_Toc162948311"/>
      <w:r w:rsidRPr="007D6043">
        <w:t xml:space="preserve">Table </w:t>
      </w:r>
      <w:r w:rsidRPr="007D6043">
        <w:rPr>
          <w:noProof/>
        </w:rPr>
        <w:fldChar w:fldCharType="begin"/>
      </w:r>
      <w:r w:rsidRPr="007D6043">
        <w:rPr>
          <w:noProof/>
        </w:rPr>
        <w:instrText xml:space="preserve"> SEQ Table \* ARABIC </w:instrText>
      </w:r>
      <w:r w:rsidRPr="007D6043">
        <w:rPr>
          <w:noProof/>
        </w:rPr>
        <w:fldChar w:fldCharType="separate"/>
      </w:r>
      <w:r w:rsidR="004A78BF">
        <w:rPr>
          <w:noProof/>
        </w:rPr>
        <w:t>44</w:t>
      </w:r>
      <w:r w:rsidRPr="007D6043">
        <w:rPr>
          <w:noProof/>
        </w:rPr>
        <w:fldChar w:fldCharType="end"/>
      </w:r>
      <w:bookmarkEnd w:id="260"/>
      <w:r w:rsidRPr="007D6043">
        <w:t xml:space="preserve">. Causal analysis results for sediment </w:t>
      </w:r>
      <w:r w:rsidR="00661331">
        <w:t>PAHs</w:t>
      </w:r>
      <w:r w:rsidRPr="007D6043">
        <w:t>.</w:t>
      </w:r>
      <w:bookmarkEnd w:id="261"/>
    </w:p>
    <w:tbl>
      <w:tblPr>
        <w:tblW w:w="9457"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7"/>
        <w:gridCol w:w="720"/>
        <w:gridCol w:w="720"/>
        <w:gridCol w:w="990"/>
        <w:gridCol w:w="990"/>
        <w:gridCol w:w="3600"/>
      </w:tblGrid>
      <w:tr w:rsidR="002D647C" w:rsidRPr="007A0C83" w14:paraId="19740A0D" w14:textId="77777777" w:rsidTr="00661331">
        <w:trPr>
          <w:cantSplit/>
          <w:trHeight w:val="1080"/>
        </w:trPr>
        <w:tc>
          <w:tcPr>
            <w:tcW w:w="2437" w:type="dxa"/>
            <w:shd w:val="clear" w:color="auto" w:fill="D9D9D9" w:themeFill="background1" w:themeFillShade="D9"/>
            <w:vAlign w:val="center"/>
          </w:tcPr>
          <w:p w14:paraId="2DDB75AD" w14:textId="77777777" w:rsidR="002D647C" w:rsidRPr="00396EC1" w:rsidRDefault="002D647C" w:rsidP="00661331">
            <w:pPr>
              <w:jc w:val="center"/>
              <w:rPr>
                <w:rFonts w:ascii="Arial Narrow" w:hAnsi="Arial Narrow"/>
                <w:b/>
                <w:sz w:val="20"/>
                <w:szCs w:val="20"/>
              </w:rPr>
            </w:pPr>
            <w:r w:rsidRPr="00396EC1">
              <w:rPr>
                <w:rFonts w:ascii="Arial Narrow" w:hAnsi="Arial Narrow"/>
                <w:b/>
                <w:sz w:val="20"/>
                <w:szCs w:val="20"/>
              </w:rPr>
              <w:t>Evidence</w:t>
            </w:r>
          </w:p>
        </w:tc>
        <w:tc>
          <w:tcPr>
            <w:tcW w:w="720" w:type="dxa"/>
            <w:shd w:val="clear" w:color="auto" w:fill="D9D9D9" w:themeFill="background1" w:themeFillShade="D9"/>
            <w:vAlign w:val="center"/>
          </w:tcPr>
          <w:p w14:paraId="573E4C68" w14:textId="77777777" w:rsidR="002D647C" w:rsidRPr="00396EC1" w:rsidRDefault="002D647C" w:rsidP="00661331">
            <w:pPr>
              <w:jc w:val="center"/>
              <w:rPr>
                <w:rFonts w:ascii="Arial Narrow" w:hAnsi="Arial Narrow"/>
                <w:b/>
                <w:sz w:val="20"/>
                <w:szCs w:val="20"/>
              </w:rPr>
            </w:pPr>
            <w:r>
              <w:rPr>
                <w:rFonts w:ascii="Arial Narrow" w:hAnsi="Arial Narrow"/>
                <w:b/>
                <w:sz w:val="20"/>
                <w:szCs w:val="20"/>
              </w:rPr>
              <w:t>Wolf Creek</w:t>
            </w:r>
          </w:p>
        </w:tc>
        <w:tc>
          <w:tcPr>
            <w:tcW w:w="720" w:type="dxa"/>
            <w:shd w:val="clear" w:color="auto" w:fill="D9D9D9" w:themeFill="background1" w:themeFillShade="D9"/>
            <w:vAlign w:val="center"/>
          </w:tcPr>
          <w:p w14:paraId="0C061477" w14:textId="77777777" w:rsidR="002D647C" w:rsidRPr="00396EC1" w:rsidRDefault="002D647C" w:rsidP="00661331">
            <w:pPr>
              <w:jc w:val="center"/>
              <w:rPr>
                <w:rFonts w:ascii="Arial Narrow" w:hAnsi="Arial Narrow"/>
                <w:b/>
                <w:sz w:val="20"/>
                <w:szCs w:val="20"/>
              </w:rPr>
            </w:pPr>
            <w:r>
              <w:rPr>
                <w:rFonts w:ascii="Arial Narrow" w:hAnsi="Arial Narrow"/>
                <w:b/>
                <w:sz w:val="20"/>
                <w:szCs w:val="20"/>
              </w:rPr>
              <w:t>Tinker Creek</w:t>
            </w:r>
          </w:p>
        </w:tc>
        <w:tc>
          <w:tcPr>
            <w:tcW w:w="990" w:type="dxa"/>
            <w:shd w:val="clear" w:color="auto" w:fill="D9D9D9" w:themeFill="background1" w:themeFillShade="D9"/>
            <w:vAlign w:val="center"/>
          </w:tcPr>
          <w:p w14:paraId="604BD52C" w14:textId="77777777" w:rsidR="002D647C" w:rsidRPr="00396EC1" w:rsidRDefault="002D647C" w:rsidP="00661331">
            <w:pPr>
              <w:jc w:val="center"/>
              <w:rPr>
                <w:rFonts w:ascii="Arial Narrow" w:hAnsi="Arial Narrow"/>
                <w:b/>
                <w:sz w:val="20"/>
                <w:szCs w:val="20"/>
              </w:rPr>
            </w:pPr>
            <w:r>
              <w:rPr>
                <w:rFonts w:ascii="Arial Narrow" w:hAnsi="Arial Narrow"/>
                <w:b/>
                <w:sz w:val="20"/>
                <w:szCs w:val="20"/>
              </w:rPr>
              <w:t>Roanoke River (202.20)</w:t>
            </w:r>
          </w:p>
        </w:tc>
        <w:tc>
          <w:tcPr>
            <w:tcW w:w="990" w:type="dxa"/>
            <w:shd w:val="clear" w:color="auto" w:fill="D9D9D9" w:themeFill="background1" w:themeFillShade="D9"/>
            <w:vAlign w:val="center"/>
          </w:tcPr>
          <w:p w14:paraId="583DDED0" w14:textId="77777777" w:rsidR="002D647C" w:rsidRPr="00396EC1" w:rsidRDefault="002D647C" w:rsidP="00661331">
            <w:pPr>
              <w:jc w:val="center"/>
              <w:rPr>
                <w:rFonts w:ascii="Arial Narrow" w:hAnsi="Arial Narrow"/>
                <w:b/>
                <w:sz w:val="20"/>
                <w:szCs w:val="20"/>
              </w:rPr>
            </w:pPr>
            <w:r>
              <w:rPr>
                <w:rFonts w:ascii="Arial Narrow" w:hAnsi="Arial Narrow"/>
                <w:b/>
                <w:sz w:val="20"/>
                <w:szCs w:val="20"/>
              </w:rPr>
              <w:t>Roanoke River (198.08)</w:t>
            </w:r>
          </w:p>
        </w:tc>
        <w:tc>
          <w:tcPr>
            <w:tcW w:w="3600" w:type="dxa"/>
            <w:shd w:val="clear" w:color="auto" w:fill="D9D9D9" w:themeFill="background1" w:themeFillShade="D9"/>
            <w:vAlign w:val="center"/>
          </w:tcPr>
          <w:p w14:paraId="5899A5A2" w14:textId="77777777" w:rsidR="002D647C" w:rsidRPr="00613B31" w:rsidRDefault="002D647C" w:rsidP="00661331">
            <w:pPr>
              <w:jc w:val="center"/>
              <w:rPr>
                <w:rFonts w:ascii="Arial Narrow" w:hAnsi="Arial Narrow"/>
                <w:b/>
                <w:sz w:val="20"/>
                <w:szCs w:val="20"/>
              </w:rPr>
            </w:pPr>
            <w:r w:rsidRPr="00396EC1">
              <w:rPr>
                <w:rFonts w:ascii="Arial Narrow" w:hAnsi="Arial Narrow"/>
                <w:b/>
                <w:sz w:val="20"/>
                <w:szCs w:val="20"/>
              </w:rPr>
              <w:t>Explanation</w:t>
            </w:r>
          </w:p>
        </w:tc>
      </w:tr>
      <w:tr w:rsidR="00661331" w:rsidRPr="007A0C83" w14:paraId="0B2C59C6" w14:textId="77777777" w:rsidTr="00661331">
        <w:trPr>
          <w:trHeight w:val="247"/>
        </w:trPr>
        <w:tc>
          <w:tcPr>
            <w:tcW w:w="2437" w:type="dxa"/>
            <w:vAlign w:val="center"/>
          </w:tcPr>
          <w:p w14:paraId="13B2522B" w14:textId="355CDED9" w:rsidR="00661331" w:rsidRPr="00661331" w:rsidRDefault="00661331" w:rsidP="00661331">
            <w:pPr>
              <w:jc w:val="left"/>
              <w:rPr>
                <w:rFonts w:ascii="Arial Narrow" w:hAnsi="Arial Narrow"/>
                <w:sz w:val="20"/>
                <w:szCs w:val="20"/>
                <w:highlight w:val="yellow"/>
              </w:rPr>
            </w:pPr>
            <w:r w:rsidRPr="00661331">
              <w:rPr>
                <w:rFonts w:ascii="Arial Narrow" w:hAnsi="Arial Narrow" w:cs="Calibri"/>
                <w:color w:val="000000"/>
                <w:sz w:val="20"/>
                <w:szCs w:val="20"/>
              </w:rPr>
              <w:t>Spatial Co-occurrence</w:t>
            </w:r>
          </w:p>
        </w:tc>
        <w:tc>
          <w:tcPr>
            <w:tcW w:w="720" w:type="dxa"/>
            <w:vAlign w:val="center"/>
          </w:tcPr>
          <w:p w14:paraId="3B06ED00" w14:textId="4BE22920" w:rsidR="00661331" w:rsidRPr="00661331" w:rsidRDefault="00661331" w:rsidP="00661331">
            <w:pPr>
              <w:jc w:val="center"/>
              <w:rPr>
                <w:rFonts w:ascii="Arial Narrow" w:hAnsi="Arial Narrow" w:cs="Calibri"/>
                <w:color w:val="000000"/>
                <w:sz w:val="20"/>
                <w:szCs w:val="20"/>
              </w:rPr>
            </w:pPr>
            <w:r w:rsidRPr="00661331">
              <w:rPr>
                <w:rFonts w:ascii="Arial Narrow" w:hAnsi="Arial Narrow" w:cs="Calibri"/>
                <w:color w:val="000000"/>
                <w:sz w:val="20"/>
                <w:szCs w:val="20"/>
              </w:rPr>
              <w:t>0</w:t>
            </w:r>
          </w:p>
        </w:tc>
        <w:tc>
          <w:tcPr>
            <w:tcW w:w="720" w:type="dxa"/>
            <w:vAlign w:val="center"/>
          </w:tcPr>
          <w:p w14:paraId="13BEE761" w14:textId="3327858A" w:rsidR="00661331" w:rsidRPr="00661331" w:rsidRDefault="00661331" w:rsidP="00661331">
            <w:pPr>
              <w:jc w:val="center"/>
              <w:rPr>
                <w:rFonts w:ascii="Arial Narrow" w:hAnsi="Arial Narrow" w:cs="Calibri"/>
                <w:color w:val="000000"/>
                <w:sz w:val="20"/>
                <w:szCs w:val="20"/>
              </w:rPr>
            </w:pPr>
            <w:r w:rsidRPr="00661331">
              <w:rPr>
                <w:rFonts w:ascii="Arial Narrow" w:hAnsi="Arial Narrow" w:cs="Calibri"/>
                <w:color w:val="000000"/>
                <w:sz w:val="20"/>
                <w:szCs w:val="20"/>
              </w:rPr>
              <w:t>0</w:t>
            </w:r>
          </w:p>
        </w:tc>
        <w:tc>
          <w:tcPr>
            <w:tcW w:w="990" w:type="dxa"/>
            <w:vAlign w:val="center"/>
          </w:tcPr>
          <w:p w14:paraId="1DBF2791" w14:textId="03C20D33" w:rsidR="00661331" w:rsidRPr="00661331" w:rsidRDefault="00661331" w:rsidP="00661331">
            <w:pPr>
              <w:jc w:val="center"/>
              <w:rPr>
                <w:rFonts w:ascii="Arial Narrow" w:hAnsi="Arial Narrow" w:cs="Calibri"/>
                <w:color w:val="000000"/>
                <w:sz w:val="20"/>
                <w:szCs w:val="20"/>
              </w:rPr>
            </w:pPr>
            <w:r w:rsidRPr="00661331">
              <w:rPr>
                <w:rFonts w:ascii="Arial Narrow" w:hAnsi="Arial Narrow" w:cs="Calibri"/>
                <w:color w:val="000000"/>
                <w:sz w:val="20"/>
                <w:szCs w:val="20"/>
              </w:rPr>
              <w:t>1</w:t>
            </w:r>
          </w:p>
        </w:tc>
        <w:tc>
          <w:tcPr>
            <w:tcW w:w="990" w:type="dxa"/>
            <w:vAlign w:val="center"/>
          </w:tcPr>
          <w:p w14:paraId="495DA969" w14:textId="61E054BD" w:rsidR="00661331" w:rsidRPr="00661331" w:rsidRDefault="00661331" w:rsidP="00661331">
            <w:pPr>
              <w:jc w:val="center"/>
              <w:rPr>
                <w:rFonts w:ascii="Arial Narrow" w:hAnsi="Arial Narrow"/>
                <w:color w:val="000000"/>
                <w:sz w:val="20"/>
                <w:szCs w:val="20"/>
                <w:highlight w:val="yellow"/>
              </w:rPr>
            </w:pPr>
            <w:r w:rsidRPr="00661331">
              <w:rPr>
                <w:rFonts w:ascii="Arial Narrow" w:hAnsi="Arial Narrow" w:cs="Calibri"/>
                <w:color w:val="000000"/>
                <w:sz w:val="20"/>
                <w:szCs w:val="20"/>
              </w:rPr>
              <w:t>0</w:t>
            </w:r>
          </w:p>
        </w:tc>
        <w:tc>
          <w:tcPr>
            <w:tcW w:w="3600" w:type="dxa"/>
            <w:vAlign w:val="center"/>
          </w:tcPr>
          <w:p w14:paraId="293902C7" w14:textId="3B5DD22B" w:rsidR="00661331" w:rsidRPr="00661331" w:rsidRDefault="00661331" w:rsidP="00661331">
            <w:pPr>
              <w:jc w:val="left"/>
              <w:rPr>
                <w:rFonts w:ascii="Arial Narrow" w:hAnsi="Arial Narrow"/>
                <w:color w:val="000000"/>
                <w:sz w:val="20"/>
                <w:szCs w:val="20"/>
                <w:highlight w:val="yellow"/>
              </w:rPr>
            </w:pPr>
            <w:r w:rsidRPr="00661331">
              <w:rPr>
                <w:rFonts w:ascii="Arial Narrow" w:hAnsi="Arial Narrow" w:cs="Calibri"/>
                <w:color w:val="000000"/>
                <w:sz w:val="20"/>
                <w:szCs w:val="20"/>
              </w:rPr>
              <w:t>Sediment PAHs were significantly higher in the Roanoke River (202.20) than in an unimpaired station (4AXNB000.60). No sediment PAH data were available for the other streams.</w:t>
            </w:r>
          </w:p>
        </w:tc>
      </w:tr>
      <w:tr w:rsidR="00661331" w:rsidRPr="002D647C" w14:paraId="616545C2" w14:textId="77777777" w:rsidTr="00661331">
        <w:trPr>
          <w:trHeight w:val="247"/>
        </w:trPr>
        <w:tc>
          <w:tcPr>
            <w:tcW w:w="2437" w:type="dxa"/>
            <w:vAlign w:val="center"/>
          </w:tcPr>
          <w:p w14:paraId="27A32AE5" w14:textId="42FC8545" w:rsidR="00661331" w:rsidRPr="00661331" w:rsidRDefault="00661331" w:rsidP="00661331">
            <w:pPr>
              <w:jc w:val="left"/>
              <w:rPr>
                <w:rFonts w:ascii="Arial Narrow" w:hAnsi="Arial Narrow" w:cs="Calibri"/>
                <w:b/>
                <w:bCs/>
                <w:color w:val="000000"/>
                <w:sz w:val="20"/>
                <w:szCs w:val="20"/>
              </w:rPr>
            </w:pPr>
            <w:r w:rsidRPr="00661331">
              <w:rPr>
                <w:rFonts w:ascii="Arial Narrow" w:hAnsi="Arial Narrow" w:cs="Calibri"/>
                <w:color w:val="000000"/>
                <w:sz w:val="20"/>
                <w:szCs w:val="20"/>
              </w:rPr>
              <w:t>Stressor-Response Relationships from Laboratory Studies</w:t>
            </w:r>
          </w:p>
        </w:tc>
        <w:tc>
          <w:tcPr>
            <w:tcW w:w="720" w:type="dxa"/>
            <w:vAlign w:val="center"/>
          </w:tcPr>
          <w:p w14:paraId="39B16324" w14:textId="6C91764A" w:rsidR="00661331" w:rsidRPr="00661331" w:rsidRDefault="00661331" w:rsidP="00661331">
            <w:pPr>
              <w:jc w:val="center"/>
              <w:rPr>
                <w:rFonts w:ascii="Arial Narrow" w:hAnsi="Arial Narrow" w:cs="Calibri"/>
                <w:b/>
                <w:color w:val="000000"/>
                <w:sz w:val="20"/>
                <w:szCs w:val="20"/>
              </w:rPr>
            </w:pPr>
            <w:r w:rsidRPr="00661331">
              <w:rPr>
                <w:rFonts w:ascii="Arial Narrow" w:hAnsi="Arial Narrow" w:cs="Calibri"/>
                <w:color w:val="000000"/>
                <w:sz w:val="20"/>
                <w:szCs w:val="20"/>
              </w:rPr>
              <w:t>0</w:t>
            </w:r>
          </w:p>
        </w:tc>
        <w:tc>
          <w:tcPr>
            <w:tcW w:w="720" w:type="dxa"/>
            <w:vAlign w:val="center"/>
          </w:tcPr>
          <w:p w14:paraId="65352EA6" w14:textId="2373E700" w:rsidR="00661331" w:rsidRPr="00661331" w:rsidRDefault="00661331" w:rsidP="00661331">
            <w:pPr>
              <w:jc w:val="center"/>
              <w:rPr>
                <w:rFonts w:ascii="Arial Narrow" w:hAnsi="Arial Narrow" w:cs="Calibri"/>
                <w:b/>
                <w:color w:val="000000"/>
                <w:sz w:val="20"/>
                <w:szCs w:val="20"/>
              </w:rPr>
            </w:pPr>
            <w:r w:rsidRPr="00661331">
              <w:rPr>
                <w:rFonts w:ascii="Arial Narrow" w:hAnsi="Arial Narrow" w:cs="Calibri"/>
                <w:color w:val="000000"/>
                <w:sz w:val="20"/>
                <w:szCs w:val="20"/>
              </w:rPr>
              <w:t>0</w:t>
            </w:r>
          </w:p>
        </w:tc>
        <w:tc>
          <w:tcPr>
            <w:tcW w:w="990" w:type="dxa"/>
            <w:vAlign w:val="center"/>
          </w:tcPr>
          <w:p w14:paraId="444B7696" w14:textId="3071B70E" w:rsidR="00661331" w:rsidRPr="00661331" w:rsidRDefault="00661331" w:rsidP="00661331">
            <w:pPr>
              <w:jc w:val="center"/>
              <w:rPr>
                <w:rFonts w:ascii="Arial Narrow" w:hAnsi="Arial Narrow" w:cs="Calibri"/>
                <w:b/>
                <w:color w:val="000000"/>
                <w:sz w:val="20"/>
                <w:szCs w:val="20"/>
              </w:rPr>
            </w:pPr>
            <w:r w:rsidRPr="00661331">
              <w:rPr>
                <w:rFonts w:ascii="Arial Narrow" w:hAnsi="Arial Narrow" w:cs="Calibri"/>
                <w:color w:val="000000"/>
                <w:sz w:val="20"/>
                <w:szCs w:val="20"/>
              </w:rPr>
              <w:t>1</w:t>
            </w:r>
          </w:p>
        </w:tc>
        <w:tc>
          <w:tcPr>
            <w:tcW w:w="990" w:type="dxa"/>
            <w:vAlign w:val="center"/>
          </w:tcPr>
          <w:p w14:paraId="1E1141FE" w14:textId="15885594" w:rsidR="00661331" w:rsidRPr="00661331" w:rsidRDefault="00661331" w:rsidP="00661331">
            <w:pPr>
              <w:jc w:val="center"/>
              <w:rPr>
                <w:rFonts w:ascii="Arial Narrow" w:hAnsi="Arial Narrow" w:cs="Calibri"/>
                <w:b/>
                <w:color w:val="000000"/>
                <w:sz w:val="20"/>
                <w:szCs w:val="20"/>
              </w:rPr>
            </w:pPr>
            <w:r w:rsidRPr="00661331">
              <w:rPr>
                <w:rFonts w:ascii="Arial Narrow" w:hAnsi="Arial Narrow" w:cs="Calibri"/>
                <w:color w:val="000000"/>
                <w:sz w:val="20"/>
                <w:szCs w:val="20"/>
              </w:rPr>
              <w:t>0</w:t>
            </w:r>
          </w:p>
        </w:tc>
        <w:tc>
          <w:tcPr>
            <w:tcW w:w="3600" w:type="dxa"/>
            <w:vAlign w:val="center"/>
          </w:tcPr>
          <w:p w14:paraId="171D7D86" w14:textId="2A47B8CD" w:rsidR="00661331" w:rsidRPr="00661331" w:rsidRDefault="00661331" w:rsidP="00661331">
            <w:pPr>
              <w:jc w:val="left"/>
              <w:rPr>
                <w:rFonts w:ascii="Arial Narrow" w:hAnsi="Arial Narrow"/>
                <w:b/>
                <w:color w:val="000000"/>
                <w:sz w:val="20"/>
                <w:szCs w:val="20"/>
                <w:highlight w:val="yellow"/>
              </w:rPr>
            </w:pPr>
            <w:r w:rsidRPr="00661331">
              <w:rPr>
                <w:rFonts w:ascii="Arial Narrow" w:hAnsi="Arial Narrow" w:cs="Calibri"/>
                <w:color w:val="000000"/>
                <w:sz w:val="20"/>
                <w:szCs w:val="20"/>
              </w:rPr>
              <w:t xml:space="preserve">In Roanoke River (202.20), Sediment PAHs were below probable effect concentrations, but four compounds and total PAHs were above threshold effect concentrations. No sediment PAH data were available for the other streams. </w:t>
            </w:r>
          </w:p>
        </w:tc>
      </w:tr>
      <w:tr w:rsidR="00661331" w:rsidRPr="002D647C" w14:paraId="16665F46" w14:textId="77777777" w:rsidTr="00661331">
        <w:trPr>
          <w:trHeight w:val="247"/>
        </w:trPr>
        <w:tc>
          <w:tcPr>
            <w:tcW w:w="2437" w:type="dxa"/>
            <w:vAlign w:val="center"/>
          </w:tcPr>
          <w:p w14:paraId="45E3C8CF" w14:textId="563F6231" w:rsidR="00661331" w:rsidRPr="00661331" w:rsidRDefault="00661331" w:rsidP="00661331">
            <w:pPr>
              <w:jc w:val="left"/>
              <w:rPr>
                <w:rFonts w:ascii="Arial Narrow" w:hAnsi="Arial Narrow" w:cs="Calibri"/>
                <w:b/>
                <w:bCs/>
                <w:color w:val="000000"/>
                <w:sz w:val="20"/>
                <w:szCs w:val="20"/>
              </w:rPr>
            </w:pPr>
            <w:r w:rsidRPr="00661331">
              <w:rPr>
                <w:rFonts w:ascii="Arial Narrow" w:hAnsi="Arial Narrow" w:cs="Calibri"/>
                <w:color w:val="000000"/>
                <w:sz w:val="20"/>
                <w:szCs w:val="20"/>
              </w:rPr>
              <w:t>Consistency of Evidence</w:t>
            </w:r>
          </w:p>
        </w:tc>
        <w:tc>
          <w:tcPr>
            <w:tcW w:w="720" w:type="dxa"/>
            <w:vAlign w:val="center"/>
          </w:tcPr>
          <w:p w14:paraId="4E9B9640" w14:textId="58A6CCD6" w:rsidR="00661331" w:rsidRPr="00661331" w:rsidRDefault="00661331" w:rsidP="00661331">
            <w:pPr>
              <w:jc w:val="center"/>
              <w:rPr>
                <w:rFonts w:ascii="Arial Narrow" w:hAnsi="Arial Narrow" w:cs="Calibri"/>
                <w:b/>
                <w:color w:val="000000"/>
                <w:sz w:val="20"/>
                <w:szCs w:val="20"/>
              </w:rPr>
            </w:pPr>
            <w:r w:rsidRPr="00661331">
              <w:rPr>
                <w:rFonts w:ascii="Arial Narrow" w:hAnsi="Arial Narrow" w:cs="Calibri"/>
                <w:color w:val="000000"/>
                <w:sz w:val="20"/>
                <w:szCs w:val="20"/>
              </w:rPr>
              <w:t>0</w:t>
            </w:r>
          </w:p>
        </w:tc>
        <w:tc>
          <w:tcPr>
            <w:tcW w:w="720" w:type="dxa"/>
            <w:vAlign w:val="center"/>
          </w:tcPr>
          <w:p w14:paraId="41DFE20D" w14:textId="120D222F" w:rsidR="00661331" w:rsidRPr="00661331" w:rsidRDefault="00661331" w:rsidP="00661331">
            <w:pPr>
              <w:jc w:val="center"/>
              <w:rPr>
                <w:rFonts w:ascii="Arial Narrow" w:hAnsi="Arial Narrow" w:cs="Calibri"/>
                <w:b/>
                <w:color w:val="000000"/>
                <w:sz w:val="20"/>
                <w:szCs w:val="20"/>
              </w:rPr>
            </w:pPr>
            <w:r w:rsidRPr="00661331">
              <w:rPr>
                <w:rFonts w:ascii="Arial Narrow" w:hAnsi="Arial Narrow" w:cs="Calibri"/>
                <w:color w:val="000000"/>
                <w:sz w:val="20"/>
                <w:szCs w:val="20"/>
              </w:rPr>
              <w:t>0</w:t>
            </w:r>
          </w:p>
        </w:tc>
        <w:tc>
          <w:tcPr>
            <w:tcW w:w="990" w:type="dxa"/>
            <w:vAlign w:val="center"/>
          </w:tcPr>
          <w:p w14:paraId="44EFED88" w14:textId="1CE522E4" w:rsidR="00661331" w:rsidRPr="00661331" w:rsidRDefault="00661331" w:rsidP="00661331">
            <w:pPr>
              <w:jc w:val="center"/>
              <w:rPr>
                <w:rFonts w:ascii="Arial Narrow" w:hAnsi="Arial Narrow" w:cs="Calibri"/>
                <w:b/>
                <w:color w:val="000000"/>
                <w:sz w:val="20"/>
                <w:szCs w:val="20"/>
              </w:rPr>
            </w:pPr>
            <w:r w:rsidRPr="00661331">
              <w:rPr>
                <w:rFonts w:ascii="Arial Narrow" w:hAnsi="Arial Narrow" w:cs="Calibri"/>
                <w:color w:val="000000"/>
                <w:sz w:val="20"/>
                <w:szCs w:val="20"/>
              </w:rPr>
              <w:t>0</w:t>
            </w:r>
          </w:p>
        </w:tc>
        <w:tc>
          <w:tcPr>
            <w:tcW w:w="990" w:type="dxa"/>
            <w:vAlign w:val="center"/>
          </w:tcPr>
          <w:p w14:paraId="437847F5" w14:textId="1D78590D" w:rsidR="00661331" w:rsidRPr="00661331" w:rsidRDefault="00661331" w:rsidP="00661331">
            <w:pPr>
              <w:jc w:val="center"/>
              <w:rPr>
                <w:rFonts w:ascii="Arial Narrow" w:hAnsi="Arial Narrow" w:cs="Calibri"/>
                <w:b/>
                <w:color w:val="000000"/>
                <w:sz w:val="20"/>
                <w:szCs w:val="20"/>
              </w:rPr>
            </w:pPr>
            <w:r w:rsidRPr="00661331">
              <w:rPr>
                <w:rFonts w:ascii="Arial Narrow" w:hAnsi="Arial Narrow" w:cs="Calibri"/>
                <w:color w:val="000000"/>
                <w:sz w:val="20"/>
                <w:szCs w:val="20"/>
              </w:rPr>
              <w:t>0</w:t>
            </w:r>
          </w:p>
        </w:tc>
        <w:tc>
          <w:tcPr>
            <w:tcW w:w="3600" w:type="dxa"/>
            <w:vAlign w:val="center"/>
          </w:tcPr>
          <w:p w14:paraId="786D5BC4" w14:textId="2CFD017E" w:rsidR="00661331" w:rsidRPr="00661331" w:rsidRDefault="00661331" w:rsidP="00661331">
            <w:pPr>
              <w:jc w:val="left"/>
              <w:rPr>
                <w:rFonts w:ascii="Arial Narrow" w:hAnsi="Arial Narrow"/>
                <w:b/>
                <w:color w:val="000000"/>
                <w:sz w:val="20"/>
                <w:szCs w:val="20"/>
                <w:highlight w:val="yellow"/>
              </w:rPr>
            </w:pPr>
            <w:r w:rsidRPr="00661331">
              <w:rPr>
                <w:rFonts w:ascii="Arial Narrow" w:hAnsi="Arial Narrow" w:cs="Calibri"/>
                <w:color w:val="000000"/>
                <w:sz w:val="20"/>
                <w:szCs w:val="20"/>
              </w:rPr>
              <w:t>Limited evidence was available.</w:t>
            </w:r>
          </w:p>
        </w:tc>
      </w:tr>
      <w:tr w:rsidR="00661331" w:rsidRPr="00661331" w14:paraId="431402EB" w14:textId="77777777" w:rsidTr="00661331">
        <w:trPr>
          <w:trHeight w:val="247"/>
        </w:trPr>
        <w:tc>
          <w:tcPr>
            <w:tcW w:w="2437" w:type="dxa"/>
            <w:vAlign w:val="center"/>
          </w:tcPr>
          <w:p w14:paraId="2E73716F" w14:textId="07122DBC" w:rsidR="00661331" w:rsidRPr="00661331" w:rsidRDefault="00661331" w:rsidP="00661331">
            <w:pPr>
              <w:jc w:val="right"/>
              <w:rPr>
                <w:rFonts w:ascii="Arial Narrow" w:hAnsi="Arial Narrow" w:cs="Calibri"/>
                <w:b/>
                <w:bCs/>
                <w:color w:val="000000"/>
                <w:sz w:val="20"/>
                <w:szCs w:val="20"/>
              </w:rPr>
            </w:pPr>
            <w:r w:rsidRPr="00661331">
              <w:rPr>
                <w:rFonts w:ascii="Arial Narrow" w:hAnsi="Arial Narrow" w:cs="Calibri"/>
                <w:b/>
                <w:bCs/>
                <w:color w:val="000000"/>
                <w:sz w:val="20"/>
                <w:szCs w:val="20"/>
              </w:rPr>
              <w:t>Sum</w:t>
            </w:r>
          </w:p>
        </w:tc>
        <w:tc>
          <w:tcPr>
            <w:tcW w:w="720" w:type="dxa"/>
            <w:vAlign w:val="center"/>
          </w:tcPr>
          <w:p w14:paraId="1DD389D7" w14:textId="5F714CA1" w:rsidR="00661331" w:rsidRPr="00661331" w:rsidRDefault="00661331" w:rsidP="00661331">
            <w:pPr>
              <w:jc w:val="center"/>
              <w:rPr>
                <w:rFonts w:ascii="Arial Narrow" w:hAnsi="Arial Narrow" w:cs="Calibri"/>
                <w:b/>
                <w:color w:val="000000"/>
                <w:sz w:val="20"/>
                <w:szCs w:val="20"/>
              </w:rPr>
            </w:pPr>
            <w:r w:rsidRPr="00661331">
              <w:rPr>
                <w:rFonts w:ascii="Arial Narrow" w:hAnsi="Arial Narrow" w:cs="Calibri"/>
                <w:b/>
                <w:color w:val="000000"/>
                <w:sz w:val="20"/>
                <w:szCs w:val="20"/>
              </w:rPr>
              <w:t>0</w:t>
            </w:r>
          </w:p>
        </w:tc>
        <w:tc>
          <w:tcPr>
            <w:tcW w:w="720" w:type="dxa"/>
            <w:vAlign w:val="center"/>
          </w:tcPr>
          <w:p w14:paraId="575BC0C4" w14:textId="18959ED6" w:rsidR="00661331" w:rsidRPr="00661331" w:rsidRDefault="00661331" w:rsidP="00661331">
            <w:pPr>
              <w:jc w:val="center"/>
              <w:rPr>
                <w:rFonts w:ascii="Arial Narrow" w:hAnsi="Arial Narrow" w:cs="Calibri"/>
                <w:b/>
                <w:color w:val="000000"/>
                <w:sz w:val="20"/>
                <w:szCs w:val="20"/>
              </w:rPr>
            </w:pPr>
            <w:r w:rsidRPr="00661331">
              <w:rPr>
                <w:rFonts w:ascii="Arial Narrow" w:hAnsi="Arial Narrow" w:cs="Calibri"/>
                <w:b/>
                <w:color w:val="000000"/>
                <w:sz w:val="20"/>
                <w:szCs w:val="20"/>
              </w:rPr>
              <w:t>0</w:t>
            </w:r>
          </w:p>
        </w:tc>
        <w:tc>
          <w:tcPr>
            <w:tcW w:w="990" w:type="dxa"/>
            <w:vAlign w:val="center"/>
          </w:tcPr>
          <w:p w14:paraId="75FEF9DD" w14:textId="3EFB278C" w:rsidR="00661331" w:rsidRPr="00661331" w:rsidRDefault="00661331" w:rsidP="00661331">
            <w:pPr>
              <w:jc w:val="center"/>
              <w:rPr>
                <w:rFonts w:ascii="Arial Narrow" w:hAnsi="Arial Narrow" w:cs="Calibri"/>
                <w:b/>
                <w:color w:val="000000"/>
                <w:sz w:val="20"/>
                <w:szCs w:val="20"/>
              </w:rPr>
            </w:pPr>
            <w:r w:rsidRPr="00661331">
              <w:rPr>
                <w:rFonts w:ascii="Arial Narrow" w:hAnsi="Arial Narrow" w:cs="Calibri"/>
                <w:b/>
                <w:color w:val="000000"/>
                <w:sz w:val="20"/>
                <w:szCs w:val="20"/>
              </w:rPr>
              <w:t>2</w:t>
            </w:r>
          </w:p>
        </w:tc>
        <w:tc>
          <w:tcPr>
            <w:tcW w:w="990" w:type="dxa"/>
            <w:vAlign w:val="center"/>
          </w:tcPr>
          <w:p w14:paraId="51C48B3F" w14:textId="4428FB5A" w:rsidR="00661331" w:rsidRPr="00661331" w:rsidRDefault="00661331" w:rsidP="00661331">
            <w:pPr>
              <w:jc w:val="center"/>
              <w:rPr>
                <w:rFonts w:ascii="Arial Narrow" w:hAnsi="Arial Narrow" w:cs="Calibri"/>
                <w:b/>
                <w:color w:val="000000"/>
                <w:sz w:val="20"/>
                <w:szCs w:val="20"/>
              </w:rPr>
            </w:pPr>
            <w:r w:rsidRPr="00661331">
              <w:rPr>
                <w:rFonts w:ascii="Arial Narrow" w:hAnsi="Arial Narrow" w:cs="Calibri"/>
                <w:b/>
                <w:color w:val="000000"/>
                <w:sz w:val="20"/>
                <w:szCs w:val="20"/>
              </w:rPr>
              <w:t>0</w:t>
            </w:r>
          </w:p>
        </w:tc>
        <w:tc>
          <w:tcPr>
            <w:tcW w:w="3600" w:type="dxa"/>
            <w:vAlign w:val="center"/>
          </w:tcPr>
          <w:p w14:paraId="7C1EC261" w14:textId="77777777" w:rsidR="00661331" w:rsidRPr="00661331" w:rsidRDefault="00661331" w:rsidP="00661331">
            <w:pPr>
              <w:jc w:val="left"/>
              <w:rPr>
                <w:rFonts w:ascii="Arial Narrow" w:hAnsi="Arial Narrow"/>
                <w:b/>
                <w:color w:val="000000"/>
                <w:sz w:val="20"/>
                <w:szCs w:val="20"/>
                <w:highlight w:val="yellow"/>
              </w:rPr>
            </w:pPr>
          </w:p>
        </w:tc>
      </w:tr>
    </w:tbl>
    <w:p w14:paraId="094D4CF0" w14:textId="13494DE3" w:rsidR="002D647C" w:rsidRDefault="002D647C" w:rsidP="005E4B50">
      <w:pPr>
        <w:pStyle w:val="BlockText"/>
        <w:spacing w:before="0" w:after="0" w:line="240" w:lineRule="auto"/>
      </w:pPr>
    </w:p>
    <w:p w14:paraId="234ED5F8" w14:textId="55530CBA" w:rsidR="002D647C" w:rsidRPr="007D6043" w:rsidRDefault="002D647C" w:rsidP="002D647C">
      <w:pPr>
        <w:pStyle w:val="Heading2"/>
      </w:pPr>
      <w:bookmarkStart w:id="262" w:name="_Toc162948205"/>
      <w:r w:rsidRPr="007D6043">
        <w:t xml:space="preserve">Sediment </w:t>
      </w:r>
      <w:r>
        <w:t>PCBs</w:t>
      </w:r>
      <w:bookmarkEnd w:id="262"/>
    </w:p>
    <w:p w14:paraId="22735A4C" w14:textId="4543AB9D" w:rsidR="002D647C" w:rsidRDefault="000E71B3" w:rsidP="002D647C">
      <w:pPr>
        <w:pStyle w:val="BlockText"/>
      </w:pPr>
      <w:r>
        <w:fldChar w:fldCharType="begin"/>
      </w:r>
      <w:r>
        <w:instrText xml:space="preserve"> REF _Ref153944606 \h </w:instrText>
      </w:r>
      <w:r>
        <w:fldChar w:fldCharType="separate"/>
      </w:r>
      <w:r w:rsidR="004A78BF" w:rsidRPr="007D6043">
        <w:t xml:space="preserve">Table </w:t>
      </w:r>
      <w:r w:rsidR="004A78BF">
        <w:rPr>
          <w:noProof/>
        </w:rPr>
        <w:t>45</w:t>
      </w:r>
      <w:r>
        <w:fldChar w:fldCharType="end"/>
      </w:r>
      <w:r w:rsidR="002D647C" w:rsidRPr="007D6043">
        <w:t xml:space="preserve"> shows the causal analysis results for sediment </w:t>
      </w:r>
      <w:r>
        <w:t>PCBs</w:t>
      </w:r>
      <w:r w:rsidR="002D647C" w:rsidRPr="007D6043">
        <w:t xml:space="preserve">. </w:t>
      </w:r>
      <w:r>
        <w:t xml:space="preserve">No data was available for Wolf Creek, but total causal analysis scores ranged from +2 to +4 in the other Roanoke River Project streams. In the Roanoke River, sediment PCBs were higher than in the reference but were below probable effect concentrations. In Tinker Creek, sediment PCBs were also higher than the reference and were above probable effect concentrations. For these reasons, sediment PCBs were </w:t>
      </w:r>
      <w:r w:rsidR="002D647C" w:rsidRPr="007D6043">
        <w:t xml:space="preserve">categorized as </w:t>
      </w:r>
      <w:r>
        <w:t xml:space="preserve">a possible stressor in the Roanoke River and a probable stressor in Tinker Creek. </w:t>
      </w:r>
      <w:r w:rsidR="002D647C" w:rsidRPr="007D6043">
        <w:t xml:space="preserve"> </w:t>
      </w:r>
    </w:p>
    <w:p w14:paraId="2CE5C7C0" w14:textId="77777777" w:rsidR="0047736D" w:rsidRPr="007D6043" w:rsidRDefault="0047736D" w:rsidP="005E4B50">
      <w:pPr>
        <w:pStyle w:val="BlockText"/>
        <w:spacing w:before="0" w:after="0" w:line="240" w:lineRule="auto"/>
      </w:pPr>
    </w:p>
    <w:p w14:paraId="3E5BC8DC" w14:textId="1FBA1552" w:rsidR="002D647C" w:rsidRPr="007D6043" w:rsidRDefault="002D647C" w:rsidP="002D647C">
      <w:pPr>
        <w:pStyle w:val="Caption"/>
      </w:pPr>
      <w:bookmarkStart w:id="263" w:name="_Ref153944606"/>
      <w:bookmarkStart w:id="264" w:name="_Toc162948312"/>
      <w:r w:rsidRPr="007D6043">
        <w:t xml:space="preserve">Table </w:t>
      </w:r>
      <w:r w:rsidRPr="007D6043">
        <w:rPr>
          <w:noProof/>
        </w:rPr>
        <w:fldChar w:fldCharType="begin"/>
      </w:r>
      <w:r w:rsidRPr="007D6043">
        <w:rPr>
          <w:noProof/>
        </w:rPr>
        <w:instrText xml:space="preserve"> SEQ Table \* ARABIC </w:instrText>
      </w:r>
      <w:r w:rsidRPr="007D6043">
        <w:rPr>
          <w:noProof/>
        </w:rPr>
        <w:fldChar w:fldCharType="separate"/>
      </w:r>
      <w:r w:rsidR="004A78BF">
        <w:rPr>
          <w:noProof/>
        </w:rPr>
        <w:t>45</w:t>
      </w:r>
      <w:r w:rsidRPr="007D6043">
        <w:rPr>
          <w:noProof/>
        </w:rPr>
        <w:fldChar w:fldCharType="end"/>
      </w:r>
      <w:bookmarkEnd w:id="263"/>
      <w:r w:rsidRPr="007D6043">
        <w:t xml:space="preserve">. Causal analysis results for sediment </w:t>
      </w:r>
      <w:r w:rsidR="00661331">
        <w:t>PCBs</w:t>
      </w:r>
      <w:r w:rsidRPr="007D6043">
        <w:t>.</w:t>
      </w:r>
      <w:bookmarkEnd w:id="264"/>
    </w:p>
    <w:tbl>
      <w:tblPr>
        <w:tblW w:w="9457"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7"/>
        <w:gridCol w:w="720"/>
        <w:gridCol w:w="720"/>
        <w:gridCol w:w="990"/>
        <w:gridCol w:w="990"/>
        <w:gridCol w:w="3600"/>
      </w:tblGrid>
      <w:tr w:rsidR="00661331" w:rsidRPr="007A0C83" w14:paraId="607088DA" w14:textId="77777777" w:rsidTr="00661331">
        <w:trPr>
          <w:cantSplit/>
          <w:trHeight w:val="1080"/>
        </w:trPr>
        <w:tc>
          <w:tcPr>
            <w:tcW w:w="2437" w:type="dxa"/>
            <w:shd w:val="clear" w:color="auto" w:fill="D9D9D9" w:themeFill="background1" w:themeFillShade="D9"/>
            <w:vAlign w:val="center"/>
          </w:tcPr>
          <w:p w14:paraId="39BD000B" w14:textId="77777777" w:rsidR="00661331" w:rsidRPr="00396EC1" w:rsidRDefault="00661331" w:rsidP="00661331">
            <w:pPr>
              <w:jc w:val="center"/>
              <w:rPr>
                <w:rFonts w:ascii="Arial Narrow" w:hAnsi="Arial Narrow"/>
                <w:b/>
                <w:sz w:val="20"/>
                <w:szCs w:val="20"/>
              </w:rPr>
            </w:pPr>
            <w:r w:rsidRPr="00396EC1">
              <w:rPr>
                <w:rFonts w:ascii="Arial Narrow" w:hAnsi="Arial Narrow"/>
                <w:b/>
                <w:sz w:val="20"/>
                <w:szCs w:val="20"/>
              </w:rPr>
              <w:t>Evidence</w:t>
            </w:r>
          </w:p>
        </w:tc>
        <w:tc>
          <w:tcPr>
            <w:tcW w:w="720" w:type="dxa"/>
            <w:shd w:val="clear" w:color="auto" w:fill="D9D9D9" w:themeFill="background1" w:themeFillShade="D9"/>
            <w:vAlign w:val="center"/>
          </w:tcPr>
          <w:p w14:paraId="22B780E3" w14:textId="77777777" w:rsidR="00661331" w:rsidRPr="00396EC1" w:rsidRDefault="00661331" w:rsidP="00661331">
            <w:pPr>
              <w:jc w:val="center"/>
              <w:rPr>
                <w:rFonts w:ascii="Arial Narrow" w:hAnsi="Arial Narrow"/>
                <w:b/>
                <w:sz w:val="20"/>
                <w:szCs w:val="20"/>
              </w:rPr>
            </w:pPr>
            <w:r>
              <w:rPr>
                <w:rFonts w:ascii="Arial Narrow" w:hAnsi="Arial Narrow"/>
                <w:b/>
                <w:sz w:val="20"/>
                <w:szCs w:val="20"/>
              </w:rPr>
              <w:t>Wolf Creek</w:t>
            </w:r>
          </w:p>
        </w:tc>
        <w:tc>
          <w:tcPr>
            <w:tcW w:w="720" w:type="dxa"/>
            <w:shd w:val="clear" w:color="auto" w:fill="D9D9D9" w:themeFill="background1" w:themeFillShade="D9"/>
            <w:vAlign w:val="center"/>
          </w:tcPr>
          <w:p w14:paraId="74D8449A" w14:textId="77777777" w:rsidR="00661331" w:rsidRPr="00396EC1" w:rsidRDefault="00661331" w:rsidP="00661331">
            <w:pPr>
              <w:jc w:val="center"/>
              <w:rPr>
                <w:rFonts w:ascii="Arial Narrow" w:hAnsi="Arial Narrow"/>
                <w:b/>
                <w:sz w:val="20"/>
                <w:szCs w:val="20"/>
              </w:rPr>
            </w:pPr>
            <w:r>
              <w:rPr>
                <w:rFonts w:ascii="Arial Narrow" w:hAnsi="Arial Narrow"/>
                <w:b/>
                <w:sz w:val="20"/>
                <w:szCs w:val="20"/>
              </w:rPr>
              <w:t>Tinker Creek</w:t>
            </w:r>
          </w:p>
        </w:tc>
        <w:tc>
          <w:tcPr>
            <w:tcW w:w="990" w:type="dxa"/>
            <w:shd w:val="clear" w:color="auto" w:fill="D9D9D9" w:themeFill="background1" w:themeFillShade="D9"/>
            <w:vAlign w:val="center"/>
          </w:tcPr>
          <w:p w14:paraId="27CCB45E" w14:textId="77777777" w:rsidR="00661331" w:rsidRPr="00396EC1" w:rsidRDefault="00661331" w:rsidP="00661331">
            <w:pPr>
              <w:jc w:val="center"/>
              <w:rPr>
                <w:rFonts w:ascii="Arial Narrow" w:hAnsi="Arial Narrow"/>
                <w:b/>
                <w:sz w:val="20"/>
                <w:szCs w:val="20"/>
              </w:rPr>
            </w:pPr>
            <w:r>
              <w:rPr>
                <w:rFonts w:ascii="Arial Narrow" w:hAnsi="Arial Narrow"/>
                <w:b/>
                <w:sz w:val="20"/>
                <w:szCs w:val="20"/>
              </w:rPr>
              <w:t>Roanoke River (202.20)</w:t>
            </w:r>
          </w:p>
        </w:tc>
        <w:tc>
          <w:tcPr>
            <w:tcW w:w="990" w:type="dxa"/>
            <w:shd w:val="clear" w:color="auto" w:fill="D9D9D9" w:themeFill="background1" w:themeFillShade="D9"/>
            <w:vAlign w:val="center"/>
          </w:tcPr>
          <w:p w14:paraId="73304DB1" w14:textId="77777777" w:rsidR="00661331" w:rsidRPr="00396EC1" w:rsidRDefault="00661331" w:rsidP="00661331">
            <w:pPr>
              <w:jc w:val="center"/>
              <w:rPr>
                <w:rFonts w:ascii="Arial Narrow" w:hAnsi="Arial Narrow"/>
                <w:b/>
                <w:sz w:val="20"/>
                <w:szCs w:val="20"/>
              </w:rPr>
            </w:pPr>
            <w:r>
              <w:rPr>
                <w:rFonts w:ascii="Arial Narrow" w:hAnsi="Arial Narrow"/>
                <w:b/>
                <w:sz w:val="20"/>
                <w:szCs w:val="20"/>
              </w:rPr>
              <w:t>Roanoke River (198.08)</w:t>
            </w:r>
          </w:p>
        </w:tc>
        <w:tc>
          <w:tcPr>
            <w:tcW w:w="3600" w:type="dxa"/>
            <w:shd w:val="clear" w:color="auto" w:fill="D9D9D9" w:themeFill="background1" w:themeFillShade="D9"/>
            <w:vAlign w:val="center"/>
          </w:tcPr>
          <w:p w14:paraId="1F216D73" w14:textId="77777777" w:rsidR="00661331" w:rsidRPr="00613B31" w:rsidRDefault="00661331" w:rsidP="00661331">
            <w:pPr>
              <w:jc w:val="center"/>
              <w:rPr>
                <w:rFonts w:ascii="Arial Narrow" w:hAnsi="Arial Narrow"/>
                <w:b/>
                <w:sz w:val="20"/>
                <w:szCs w:val="20"/>
              </w:rPr>
            </w:pPr>
            <w:r w:rsidRPr="00396EC1">
              <w:rPr>
                <w:rFonts w:ascii="Arial Narrow" w:hAnsi="Arial Narrow"/>
                <w:b/>
                <w:sz w:val="20"/>
                <w:szCs w:val="20"/>
              </w:rPr>
              <w:t>Explanation</w:t>
            </w:r>
          </w:p>
        </w:tc>
      </w:tr>
      <w:tr w:rsidR="00661331" w:rsidRPr="007A0C83" w14:paraId="1DA5CD8F" w14:textId="77777777" w:rsidTr="00661331">
        <w:trPr>
          <w:trHeight w:val="247"/>
        </w:trPr>
        <w:tc>
          <w:tcPr>
            <w:tcW w:w="2437" w:type="dxa"/>
            <w:vAlign w:val="center"/>
          </w:tcPr>
          <w:p w14:paraId="583EF640" w14:textId="305C7A63" w:rsidR="00661331" w:rsidRPr="00661331" w:rsidRDefault="00661331" w:rsidP="00661331">
            <w:pPr>
              <w:jc w:val="left"/>
              <w:rPr>
                <w:rFonts w:ascii="Arial Narrow" w:hAnsi="Arial Narrow"/>
                <w:sz w:val="20"/>
                <w:szCs w:val="20"/>
                <w:highlight w:val="yellow"/>
              </w:rPr>
            </w:pPr>
            <w:r w:rsidRPr="00661331">
              <w:rPr>
                <w:rFonts w:ascii="Arial Narrow" w:hAnsi="Arial Narrow" w:cs="Calibri"/>
                <w:color w:val="000000"/>
                <w:sz w:val="20"/>
                <w:szCs w:val="20"/>
              </w:rPr>
              <w:t>Spatial Co-occurrence</w:t>
            </w:r>
          </w:p>
        </w:tc>
        <w:tc>
          <w:tcPr>
            <w:tcW w:w="720" w:type="dxa"/>
            <w:vAlign w:val="center"/>
          </w:tcPr>
          <w:p w14:paraId="0279D40A" w14:textId="52780950" w:rsidR="00661331" w:rsidRPr="00661331" w:rsidRDefault="00661331" w:rsidP="00661331">
            <w:pPr>
              <w:jc w:val="center"/>
              <w:rPr>
                <w:rFonts w:ascii="Arial Narrow" w:hAnsi="Arial Narrow" w:cs="Calibri"/>
                <w:color w:val="000000"/>
                <w:sz w:val="20"/>
                <w:szCs w:val="20"/>
              </w:rPr>
            </w:pPr>
            <w:r w:rsidRPr="00661331">
              <w:rPr>
                <w:rFonts w:ascii="Arial Narrow" w:hAnsi="Arial Narrow" w:cs="Calibri"/>
                <w:color w:val="000000"/>
                <w:sz w:val="20"/>
                <w:szCs w:val="20"/>
              </w:rPr>
              <w:t>0</w:t>
            </w:r>
          </w:p>
        </w:tc>
        <w:tc>
          <w:tcPr>
            <w:tcW w:w="720" w:type="dxa"/>
            <w:vAlign w:val="center"/>
          </w:tcPr>
          <w:p w14:paraId="16C82E7F" w14:textId="3958D908" w:rsidR="00661331" w:rsidRPr="00661331" w:rsidRDefault="00661331" w:rsidP="00661331">
            <w:pPr>
              <w:jc w:val="center"/>
              <w:rPr>
                <w:rFonts w:ascii="Arial Narrow" w:hAnsi="Arial Narrow" w:cs="Calibri"/>
                <w:color w:val="000000"/>
                <w:sz w:val="20"/>
                <w:szCs w:val="20"/>
              </w:rPr>
            </w:pPr>
            <w:r w:rsidRPr="00661331">
              <w:rPr>
                <w:rFonts w:ascii="Arial Narrow" w:hAnsi="Arial Narrow" w:cs="Calibri"/>
                <w:color w:val="000000"/>
                <w:sz w:val="20"/>
                <w:szCs w:val="20"/>
              </w:rPr>
              <w:t>1</w:t>
            </w:r>
          </w:p>
        </w:tc>
        <w:tc>
          <w:tcPr>
            <w:tcW w:w="990" w:type="dxa"/>
            <w:vAlign w:val="center"/>
          </w:tcPr>
          <w:p w14:paraId="18AC6DB9" w14:textId="0762B7D6" w:rsidR="00661331" w:rsidRPr="00661331" w:rsidRDefault="00661331" w:rsidP="00661331">
            <w:pPr>
              <w:jc w:val="center"/>
              <w:rPr>
                <w:rFonts w:ascii="Arial Narrow" w:hAnsi="Arial Narrow" w:cs="Calibri"/>
                <w:color w:val="000000"/>
                <w:sz w:val="20"/>
                <w:szCs w:val="20"/>
              </w:rPr>
            </w:pPr>
            <w:r w:rsidRPr="00661331">
              <w:rPr>
                <w:rFonts w:ascii="Arial Narrow" w:hAnsi="Arial Narrow" w:cs="Calibri"/>
                <w:color w:val="000000"/>
                <w:sz w:val="20"/>
                <w:szCs w:val="20"/>
              </w:rPr>
              <w:t>1</w:t>
            </w:r>
          </w:p>
        </w:tc>
        <w:tc>
          <w:tcPr>
            <w:tcW w:w="990" w:type="dxa"/>
            <w:vAlign w:val="center"/>
          </w:tcPr>
          <w:p w14:paraId="29FA0370" w14:textId="5464AAD6" w:rsidR="00661331" w:rsidRPr="00661331" w:rsidRDefault="00661331" w:rsidP="00661331">
            <w:pPr>
              <w:jc w:val="center"/>
              <w:rPr>
                <w:rFonts w:ascii="Arial Narrow" w:hAnsi="Arial Narrow"/>
                <w:color w:val="000000"/>
                <w:sz w:val="20"/>
                <w:szCs w:val="20"/>
                <w:highlight w:val="yellow"/>
              </w:rPr>
            </w:pPr>
            <w:r w:rsidRPr="00661331">
              <w:rPr>
                <w:rFonts w:ascii="Arial Narrow" w:hAnsi="Arial Narrow" w:cs="Calibri"/>
                <w:color w:val="000000"/>
                <w:sz w:val="20"/>
                <w:szCs w:val="20"/>
              </w:rPr>
              <w:t>1</w:t>
            </w:r>
          </w:p>
        </w:tc>
        <w:tc>
          <w:tcPr>
            <w:tcW w:w="3600" w:type="dxa"/>
            <w:vAlign w:val="center"/>
          </w:tcPr>
          <w:p w14:paraId="7762A01F" w14:textId="1185ABEC" w:rsidR="00661331" w:rsidRPr="00661331" w:rsidRDefault="00661331" w:rsidP="00661331">
            <w:pPr>
              <w:jc w:val="left"/>
              <w:rPr>
                <w:rFonts w:ascii="Arial Narrow" w:hAnsi="Arial Narrow"/>
                <w:color w:val="000000"/>
                <w:sz w:val="20"/>
                <w:szCs w:val="20"/>
                <w:highlight w:val="yellow"/>
              </w:rPr>
            </w:pPr>
            <w:r w:rsidRPr="00661331">
              <w:rPr>
                <w:rFonts w:ascii="Arial Narrow" w:hAnsi="Arial Narrow" w:cs="Calibri"/>
                <w:color w:val="000000"/>
                <w:sz w:val="20"/>
                <w:szCs w:val="20"/>
              </w:rPr>
              <w:t xml:space="preserve">Sediment PCBs in Tinker Creek and Roanoke River were much higher than in upstream unimpaired locations. </w:t>
            </w:r>
          </w:p>
        </w:tc>
      </w:tr>
      <w:tr w:rsidR="00661331" w:rsidRPr="002D647C" w14:paraId="57A455D0" w14:textId="77777777" w:rsidTr="00661331">
        <w:trPr>
          <w:trHeight w:val="247"/>
        </w:trPr>
        <w:tc>
          <w:tcPr>
            <w:tcW w:w="2437" w:type="dxa"/>
            <w:vAlign w:val="center"/>
          </w:tcPr>
          <w:p w14:paraId="5549FB5C" w14:textId="6A1BFB39" w:rsidR="00661331" w:rsidRPr="00661331" w:rsidRDefault="00661331" w:rsidP="00661331">
            <w:pPr>
              <w:jc w:val="left"/>
              <w:rPr>
                <w:rFonts w:ascii="Arial Narrow" w:hAnsi="Arial Narrow" w:cs="Calibri"/>
                <w:b/>
                <w:bCs/>
                <w:color w:val="000000"/>
                <w:sz w:val="20"/>
                <w:szCs w:val="20"/>
              </w:rPr>
            </w:pPr>
            <w:r w:rsidRPr="00661331">
              <w:rPr>
                <w:rFonts w:ascii="Arial Narrow" w:hAnsi="Arial Narrow" w:cs="Calibri"/>
                <w:color w:val="000000"/>
                <w:sz w:val="20"/>
                <w:szCs w:val="20"/>
              </w:rPr>
              <w:t>Stressor-Response Relationships from Laboratory Studies</w:t>
            </w:r>
          </w:p>
        </w:tc>
        <w:tc>
          <w:tcPr>
            <w:tcW w:w="720" w:type="dxa"/>
            <w:vAlign w:val="center"/>
          </w:tcPr>
          <w:p w14:paraId="123CEBF7" w14:textId="5D146760" w:rsidR="00661331" w:rsidRPr="00661331" w:rsidRDefault="00661331" w:rsidP="00661331">
            <w:pPr>
              <w:jc w:val="center"/>
              <w:rPr>
                <w:rFonts w:ascii="Arial Narrow" w:hAnsi="Arial Narrow" w:cs="Calibri"/>
                <w:b/>
                <w:color w:val="000000"/>
                <w:sz w:val="20"/>
                <w:szCs w:val="20"/>
              </w:rPr>
            </w:pPr>
            <w:r w:rsidRPr="00661331">
              <w:rPr>
                <w:rFonts w:ascii="Arial Narrow" w:hAnsi="Arial Narrow" w:cs="Calibri"/>
                <w:color w:val="000000"/>
                <w:sz w:val="20"/>
                <w:szCs w:val="20"/>
              </w:rPr>
              <w:t>0</w:t>
            </w:r>
          </w:p>
        </w:tc>
        <w:tc>
          <w:tcPr>
            <w:tcW w:w="720" w:type="dxa"/>
            <w:vAlign w:val="center"/>
          </w:tcPr>
          <w:p w14:paraId="463519A7" w14:textId="7C63F064" w:rsidR="00661331" w:rsidRPr="00661331" w:rsidRDefault="00661331" w:rsidP="00661331">
            <w:pPr>
              <w:jc w:val="center"/>
              <w:rPr>
                <w:rFonts w:ascii="Arial Narrow" w:hAnsi="Arial Narrow" w:cs="Calibri"/>
                <w:b/>
                <w:color w:val="000000"/>
                <w:sz w:val="20"/>
                <w:szCs w:val="20"/>
              </w:rPr>
            </w:pPr>
            <w:r w:rsidRPr="00661331">
              <w:rPr>
                <w:rFonts w:ascii="Arial Narrow" w:hAnsi="Arial Narrow" w:cs="Calibri"/>
                <w:color w:val="000000"/>
                <w:sz w:val="20"/>
                <w:szCs w:val="20"/>
              </w:rPr>
              <w:t>3</w:t>
            </w:r>
          </w:p>
        </w:tc>
        <w:tc>
          <w:tcPr>
            <w:tcW w:w="990" w:type="dxa"/>
            <w:vAlign w:val="center"/>
          </w:tcPr>
          <w:p w14:paraId="7E25FAF9" w14:textId="1E66AEA3" w:rsidR="00661331" w:rsidRPr="00661331" w:rsidRDefault="00661331" w:rsidP="00661331">
            <w:pPr>
              <w:jc w:val="center"/>
              <w:rPr>
                <w:rFonts w:ascii="Arial Narrow" w:hAnsi="Arial Narrow" w:cs="Calibri"/>
                <w:b/>
                <w:color w:val="000000"/>
                <w:sz w:val="20"/>
                <w:szCs w:val="20"/>
              </w:rPr>
            </w:pPr>
            <w:r w:rsidRPr="00661331">
              <w:rPr>
                <w:rFonts w:ascii="Arial Narrow" w:hAnsi="Arial Narrow" w:cs="Calibri"/>
                <w:color w:val="000000"/>
                <w:sz w:val="20"/>
                <w:szCs w:val="20"/>
              </w:rPr>
              <w:t>1</w:t>
            </w:r>
          </w:p>
        </w:tc>
        <w:tc>
          <w:tcPr>
            <w:tcW w:w="990" w:type="dxa"/>
            <w:vAlign w:val="center"/>
          </w:tcPr>
          <w:p w14:paraId="121A2476" w14:textId="7DBA04F4" w:rsidR="00661331" w:rsidRPr="00661331" w:rsidRDefault="00661331" w:rsidP="00661331">
            <w:pPr>
              <w:jc w:val="center"/>
              <w:rPr>
                <w:rFonts w:ascii="Arial Narrow" w:hAnsi="Arial Narrow" w:cs="Calibri"/>
                <w:b/>
                <w:color w:val="000000"/>
                <w:sz w:val="20"/>
                <w:szCs w:val="20"/>
              </w:rPr>
            </w:pPr>
            <w:r w:rsidRPr="00661331">
              <w:rPr>
                <w:rFonts w:ascii="Arial Narrow" w:hAnsi="Arial Narrow" w:cs="Calibri"/>
                <w:color w:val="000000"/>
                <w:sz w:val="20"/>
                <w:szCs w:val="20"/>
              </w:rPr>
              <w:t>1</w:t>
            </w:r>
          </w:p>
        </w:tc>
        <w:tc>
          <w:tcPr>
            <w:tcW w:w="3600" w:type="dxa"/>
            <w:vAlign w:val="center"/>
          </w:tcPr>
          <w:p w14:paraId="0FF57C0A" w14:textId="6124F1E7" w:rsidR="00661331" w:rsidRPr="00661331" w:rsidRDefault="00661331" w:rsidP="00661331">
            <w:pPr>
              <w:jc w:val="left"/>
              <w:rPr>
                <w:rFonts w:ascii="Arial Narrow" w:hAnsi="Arial Narrow"/>
                <w:b/>
                <w:color w:val="000000"/>
                <w:sz w:val="20"/>
                <w:szCs w:val="20"/>
                <w:highlight w:val="yellow"/>
              </w:rPr>
            </w:pPr>
            <w:r w:rsidRPr="00661331">
              <w:rPr>
                <w:rFonts w:ascii="Arial Narrow" w:hAnsi="Arial Narrow" w:cs="Calibri"/>
                <w:color w:val="000000"/>
                <w:sz w:val="20"/>
                <w:szCs w:val="20"/>
              </w:rPr>
              <w:t xml:space="preserve">In Roanoke River, sediment PCBs were below probable effect concentrations but above threshold effect concentrations. In Tinker Creek, sediment PCBs were above probable effect concentrations. </w:t>
            </w:r>
          </w:p>
        </w:tc>
      </w:tr>
      <w:tr w:rsidR="00661331" w:rsidRPr="002D647C" w14:paraId="617B7A22" w14:textId="77777777" w:rsidTr="00661331">
        <w:trPr>
          <w:trHeight w:val="247"/>
        </w:trPr>
        <w:tc>
          <w:tcPr>
            <w:tcW w:w="2437" w:type="dxa"/>
            <w:vAlign w:val="center"/>
          </w:tcPr>
          <w:p w14:paraId="7174A6A7" w14:textId="7B32FB9D" w:rsidR="00661331" w:rsidRPr="00661331" w:rsidRDefault="00661331" w:rsidP="00661331">
            <w:pPr>
              <w:jc w:val="left"/>
              <w:rPr>
                <w:rFonts w:ascii="Arial Narrow" w:hAnsi="Arial Narrow" w:cs="Calibri"/>
                <w:b/>
                <w:bCs/>
                <w:color w:val="000000"/>
                <w:sz w:val="20"/>
                <w:szCs w:val="20"/>
              </w:rPr>
            </w:pPr>
            <w:r w:rsidRPr="00661331">
              <w:rPr>
                <w:rFonts w:ascii="Arial Narrow" w:hAnsi="Arial Narrow" w:cs="Calibri"/>
                <w:color w:val="000000"/>
                <w:sz w:val="20"/>
                <w:szCs w:val="20"/>
              </w:rPr>
              <w:t>Consistency of Evidence</w:t>
            </w:r>
          </w:p>
        </w:tc>
        <w:tc>
          <w:tcPr>
            <w:tcW w:w="720" w:type="dxa"/>
            <w:vAlign w:val="center"/>
          </w:tcPr>
          <w:p w14:paraId="232A53D3" w14:textId="0556A3F2" w:rsidR="00661331" w:rsidRPr="00661331" w:rsidRDefault="00661331" w:rsidP="00661331">
            <w:pPr>
              <w:jc w:val="center"/>
              <w:rPr>
                <w:rFonts w:ascii="Arial Narrow" w:hAnsi="Arial Narrow" w:cs="Calibri"/>
                <w:b/>
                <w:color w:val="000000"/>
                <w:sz w:val="20"/>
                <w:szCs w:val="20"/>
              </w:rPr>
            </w:pPr>
            <w:r w:rsidRPr="00661331">
              <w:rPr>
                <w:rFonts w:ascii="Arial Narrow" w:hAnsi="Arial Narrow" w:cs="Calibri"/>
                <w:color w:val="000000"/>
                <w:sz w:val="20"/>
                <w:szCs w:val="20"/>
              </w:rPr>
              <w:t>0</w:t>
            </w:r>
          </w:p>
        </w:tc>
        <w:tc>
          <w:tcPr>
            <w:tcW w:w="720" w:type="dxa"/>
            <w:vAlign w:val="center"/>
          </w:tcPr>
          <w:p w14:paraId="29DE8292" w14:textId="07C0E36A" w:rsidR="00661331" w:rsidRPr="00661331" w:rsidRDefault="00661331" w:rsidP="00661331">
            <w:pPr>
              <w:jc w:val="center"/>
              <w:rPr>
                <w:rFonts w:ascii="Arial Narrow" w:hAnsi="Arial Narrow" w:cs="Calibri"/>
                <w:b/>
                <w:color w:val="000000"/>
                <w:sz w:val="20"/>
                <w:szCs w:val="20"/>
              </w:rPr>
            </w:pPr>
            <w:r w:rsidRPr="00661331">
              <w:rPr>
                <w:rFonts w:ascii="Arial Narrow" w:hAnsi="Arial Narrow" w:cs="Calibri"/>
                <w:color w:val="000000"/>
                <w:sz w:val="20"/>
                <w:szCs w:val="20"/>
              </w:rPr>
              <w:t>0</w:t>
            </w:r>
          </w:p>
        </w:tc>
        <w:tc>
          <w:tcPr>
            <w:tcW w:w="990" w:type="dxa"/>
            <w:vAlign w:val="center"/>
          </w:tcPr>
          <w:p w14:paraId="5843E85D" w14:textId="0D4336A7" w:rsidR="00661331" w:rsidRPr="00661331" w:rsidRDefault="00661331" w:rsidP="00661331">
            <w:pPr>
              <w:jc w:val="center"/>
              <w:rPr>
                <w:rFonts w:ascii="Arial Narrow" w:hAnsi="Arial Narrow" w:cs="Calibri"/>
                <w:b/>
                <w:color w:val="000000"/>
                <w:sz w:val="20"/>
                <w:szCs w:val="20"/>
              </w:rPr>
            </w:pPr>
            <w:r w:rsidRPr="00661331">
              <w:rPr>
                <w:rFonts w:ascii="Arial Narrow" w:hAnsi="Arial Narrow" w:cs="Calibri"/>
                <w:color w:val="000000"/>
                <w:sz w:val="20"/>
                <w:szCs w:val="20"/>
              </w:rPr>
              <w:t>0</w:t>
            </w:r>
          </w:p>
        </w:tc>
        <w:tc>
          <w:tcPr>
            <w:tcW w:w="990" w:type="dxa"/>
            <w:vAlign w:val="center"/>
          </w:tcPr>
          <w:p w14:paraId="40362302" w14:textId="66E63401" w:rsidR="00661331" w:rsidRPr="00661331" w:rsidRDefault="00661331" w:rsidP="00661331">
            <w:pPr>
              <w:jc w:val="center"/>
              <w:rPr>
                <w:rFonts w:ascii="Arial Narrow" w:hAnsi="Arial Narrow" w:cs="Calibri"/>
                <w:b/>
                <w:color w:val="000000"/>
                <w:sz w:val="20"/>
                <w:szCs w:val="20"/>
              </w:rPr>
            </w:pPr>
            <w:r w:rsidRPr="00661331">
              <w:rPr>
                <w:rFonts w:ascii="Arial Narrow" w:hAnsi="Arial Narrow" w:cs="Calibri"/>
                <w:color w:val="000000"/>
                <w:sz w:val="20"/>
                <w:szCs w:val="20"/>
              </w:rPr>
              <w:t>0</w:t>
            </w:r>
          </w:p>
        </w:tc>
        <w:tc>
          <w:tcPr>
            <w:tcW w:w="3600" w:type="dxa"/>
            <w:vAlign w:val="center"/>
          </w:tcPr>
          <w:p w14:paraId="77E9DACA" w14:textId="6ABF103B" w:rsidR="00661331" w:rsidRPr="00661331" w:rsidRDefault="00661331" w:rsidP="00661331">
            <w:pPr>
              <w:jc w:val="left"/>
              <w:rPr>
                <w:rFonts w:ascii="Arial Narrow" w:hAnsi="Arial Narrow"/>
                <w:b/>
                <w:color w:val="000000"/>
                <w:sz w:val="20"/>
                <w:szCs w:val="20"/>
                <w:highlight w:val="yellow"/>
              </w:rPr>
            </w:pPr>
            <w:r w:rsidRPr="00661331">
              <w:rPr>
                <w:rFonts w:ascii="Arial Narrow" w:hAnsi="Arial Narrow" w:cs="Calibri"/>
                <w:color w:val="000000"/>
                <w:sz w:val="20"/>
                <w:szCs w:val="20"/>
              </w:rPr>
              <w:t>Limited evidence was available.</w:t>
            </w:r>
          </w:p>
        </w:tc>
      </w:tr>
      <w:tr w:rsidR="00661331" w:rsidRPr="00661331" w14:paraId="6F26A2F6" w14:textId="77777777" w:rsidTr="00661331">
        <w:trPr>
          <w:trHeight w:val="247"/>
        </w:trPr>
        <w:tc>
          <w:tcPr>
            <w:tcW w:w="2437" w:type="dxa"/>
            <w:vAlign w:val="center"/>
          </w:tcPr>
          <w:p w14:paraId="2E23BBD0" w14:textId="1A7BBFD5" w:rsidR="00661331" w:rsidRPr="00661331" w:rsidRDefault="00661331" w:rsidP="00661331">
            <w:pPr>
              <w:jc w:val="right"/>
              <w:rPr>
                <w:rFonts w:ascii="Arial Narrow" w:hAnsi="Arial Narrow" w:cs="Calibri"/>
                <w:b/>
                <w:bCs/>
                <w:color w:val="000000"/>
                <w:sz w:val="20"/>
                <w:szCs w:val="20"/>
              </w:rPr>
            </w:pPr>
            <w:r w:rsidRPr="00661331">
              <w:rPr>
                <w:rFonts w:ascii="Arial Narrow" w:hAnsi="Arial Narrow" w:cs="Calibri"/>
                <w:b/>
                <w:bCs/>
                <w:color w:val="000000"/>
                <w:sz w:val="20"/>
                <w:szCs w:val="20"/>
              </w:rPr>
              <w:t>Sum</w:t>
            </w:r>
          </w:p>
        </w:tc>
        <w:tc>
          <w:tcPr>
            <w:tcW w:w="720" w:type="dxa"/>
            <w:vAlign w:val="center"/>
          </w:tcPr>
          <w:p w14:paraId="2BE8D6E2" w14:textId="454D3A57" w:rsidR="00661331" w:rsidRPr="00661331" w:rsidRDefault="00661331" w:rsidP="00661331">
            <w:pPr>
              <w:jc w:val="center"/>
              <w:rPr>
                <w:rFonts w:ascii="Arial Narrow" w:hAnsi="Arial Narrow" w:cs="Calibri"/>
                <w:b/>
                <w:color w:val="000000"/>
                <w:sz w:val="20"/>
                <w:szCs w:val="20"/>
              </w:rPr>
            </w:pPr>
            <w:r w:rsidRPr="00661331">
              <w:rPr>
                <w:rFonts w:ascii="Arial Narrow" w:hAnsi="Arial Narrow" w:cs="Calibri"/>
                <w:b/>
                <w:color w:val="000000"/>
                <w:sz w:val="20"/>
                <w:szCs w:val="20"/>
              </w:rPr>
              <w:t>0</w:t>
            </w:r>
          </w:p>
        </w:tc>
        <w:tc>
          <w:tcPr>
            <w:tcW w:w="720" w:type="dxa"/>
            <w:vAlign w:val="center"/>
          </w:tcPr>
          <w:p w14:paraId="1E88580C" w14:textId="7BE02849" w:rsidR="00661331" w:rsidRPr="00661331" w:rsidRDefault="00661331" w:rsidP="00661331">
            <w:pPr>
              <w:jc w:val="center"/>
              <w:rPr>
                <w:rFonts w:ascii="Arial Narrow" w:hAnsi="Arial Narrow" w:cs="Calibri"/>
                <w:b/>
                <w:color w:val="000000"/>
                <w:sz w:val="20"/>
                <w:szCs w:val="20"/>
              </w:rPr>
            </w:pPr>
            <w:r w:rsidRPr="00661331">
              <w:rPr>
                <w:rFonts w:ascii="Arial Narrow" w:hAnsi="Arial Narrow" w:cs="Calibri"/>
                <w:b/>
                <w:color w:val="000000"/>
                <w:sz w:val="20"/>
                <w:szCs w:val="20"/>
              </w:rPr>
              <w:t>4</w:t>
            </w:r>
          </w:p>
        </w:tc>
        <w:tc>
          <w:tcPr>
            <w:tcW w:w="990" w:type="dxa"/>
            <w:vAlign w:val="center"/>
          </w:tcPr>
          <w:p w14:paraId="6FA683D2" w14:textId="177E1457" w:rsidR="00661331" w:rsidRPr="00661331" w:rsidRDefault="00661331" w:rsidP="00661331">
            <w:pPr>
              <w:jc w:val="center"/>
              <w:rPr>
                <w:rFonts w:ascii="Arial Narrow" w:hAnsi="Arial Narrow" w:cs="Calibri"/>
                <w:b/>
                <w:color w:val="000000"/>
                <w:sz w:val="20"/>
                <w:szCs w:val="20"/>
              </w:rPr>
            </w:pPr>
            <w:r w:rsidRPr="00661331">
              <w:rPr>
                <w:rFonts w:ascii="Arial Narrow" w:hAnsi="Arial Narrow" w:cs="Calibri"/>
                <w:b/>
                <w:color w:val="000000"/>
                <w:sz w:val="20"/>
                <w:szCs w:val="20"/>
              </w:rPr>
              <w:t>2</w:t>
            </w:r>
          </w:p>
        </w:tc>
        <w:tc>
          <w:tcPr>
            <w:tcW w:w="990" w:type="dxa"/>
            <w:vAlign w:val="center"/>
          </w:tcPr>
          <w:p w14:paraId="621C09B8" w14:textId="3B0AD3D7" w:rsidR="00661331" w:rsidRPr="00661331" w:rsidRDefault="00661331" w:rsidP="00661331">
            <w:pPr>
              <w:jc w:val="center"/>
              <w:rPr>
                <w:rFonts w:ascii="Arial Narrow" w:hAnsi="Arial Narrow" w:cs="Calibri"/>
                <w:b/>
                <w:color w:val="000000"/>
                <w:sz w:val="20"/>
                <w:szCs w:val="20"/>
              </w:rPr>
            </w:pPr>
            <w:r w:rsidRPr="00661331">
              <w:rPr>
                <w:rFonts w:ascii="Arial Narrow" w:hAnsi="Arial Narrow" w:cs="Calibri"/>
                <w:b/>
                <w:color w:val="000000"/>
                <w:sz w:val="20"/>
                <w:szCs w:val="20"/>
              </w:rPr>
              <w:t>2</w:t>
            </w:r>
          </w:p>
        </w:tc>
        <w:tc>
          <w:tcPr>
            <w:tcW w:w="3600" w:type="dxa"/>
            <w:vAlign w:val="center"/>
          </w:tcPr>
          <w:p w14:paraId="68ADD08D" w14:textId="77777777" w:rsidR="00661331" w:rsidRPr="00661331" w:rsidRDefault="00661331" w:rsidP="00661331">
            <w:pPr>
              <w:jc w:val="left"/>
              <w:rPr>
                <w:rFonts w:ascii="Arial Narrow" w:hAnsi="Arial Narrow"/>
                <w:b/>
                <w:color w:val="000000"/>
                <w:sz w:val="20"/>
                <w:szCs w:val="20"/>
                <w:highlight w:val="yellow"/>
              </w:rPr>
            </w:pPr>
          </w:p>
        </w:tc>
      </w:tr>
    </w:tbl>
    <w:p w14:paraId="7C12EF84" w14:textId="7EE1F0E7" w:rsidR="002D647C" w:rsidRPr="007D6043" w:rsidRDefault="002D647C" w:rsidP="002D647C">
      <w:pPr>
        <w:pStyle w:val="Heading2"/>
      </w:pPr>
      <w:bookmarkStart w:id="265" w:name="_Toc162948206"/>
      <w:r w:rsidRPr="007D6043">
        <w:t xml:space="preserve">Sediment </w:t>
      </w:r>
      <w:r>
        <w:t>Pesticides</w:t>
      </w:r>
      <w:r w:rsidR="002F10CF">
        <w:t xml:space="preserve"> and Toxic Organics</w:t>
      </w:r>
      <w:bookmarkEnd w:id="265"/>
    </w:p>
    <w:p w14:paraId="7D7B9695" w14:textId="6480E0D7" w:rsidR="002D647C" w:rsidRDefault="002F10CF" w:rsidP="002D647C">
      <w:pPr>
        <w:pStyle w:val="BlockText"/>
      </w:pPr>
      <w:r>
        <w:fldChar w:fldCharType="begin"/>
      </w:r>
      <w:r>
        <w:instrText xml:space="preserve"> REF _Ref153944953 \h </w:instrText>
      </w:r>
      <w:r>
        <w:fldChar w:fldCharType="separate"/>
      </w:r>
      <w:r w:rsidR="004A78BF" w:rsidRPr="007D6043">
        <w:t xml:space="preserve">Table </w:t>
      </w:r>
      <w:r w:rsidR="004A78BF">
        <w:rPr>
          <w:noProof/>
        </w:rPr>
        <w:t>46</w:t>
      </w:r>
      <w:r>
        <w:fldChar w:fldCharType="end"/>
      </w:r>
      <w:r w:rsidRPr="007D6043">
        <w:t xml:space="preserve"> shows the causal analysis results for sediment </w:t>
      </w:r>
      <w:r>
        <w:t>pesticides and toxic organics.</w:t>
      </w:r>
      <w:r w:rsidRPr="007D6043">
        <w:t xml:space="preserve"> </w:t>
      </w:r>
      <w:r>
        <w:t>Only Tinker Creek and Roanoke River (202.20) had available sediment data to evaluate, and the total causal analysis score</w:t>
      </w:r>
      <w:r w:rsidR="000B3D27">
        <w:t>s</w:t>
      </w:r>
      <w:r>
        <w:t xml:space="preserve"> at these locations were -3. Sediment pesticides and toxic organics were similar to levels in the reference and all but four ubiquitous phthalate compounds were below detection. </w:t>
      </w:r>
      <w:r w:rsidR="002D647C" w:rsidRPr="007D6043">
        <w:t xml:space="preserve">For this reason, </w:t>
      </w:r>
      <w:r>
        <w:t>s</w:t>
      </w:r>
      <w:r w:rsidR="002D647C" w:rsidRPr="007D6043">
        <w:t xml:space="preserve">ediment </w:t>
      </w:r>
      <w:r>
        <w:t>pesticides and toxic organics</w:t>
      </w:r>
      <w:r w:rsidR="002D647C" w:rsidRPr="007D6043">
        <w:t xml:space="preserve"> were categorized as non-stressors in </w:t>
      </w:r>
      <w:r>
        <w:t xml:space="preserve">Roanoke River Project </w:t>
      </w:r>
      <w:r w:rsidR="002D647C" w:rsidRPr="007D6043">
        <w:t xml:space="preserve">streams. </w:t>
      </w:r>
    </w:p>
    <w:p w14:paraId="5A411BBB" w14:textId="77777777" w:rsidR="00BD7375" w:rsidRPr="007D6043" w:rsidRDefault="00BD7375" w:rsidP="00BD7375">
      <w:pPr>
        <w:pStyle w:val="BlockText"/>
        <w:spacing w:before="0" w:after="0" w:line="240" w:lineRule="auto"/>
      </w:pPr>
    </w:p>
    <w:p w14:paraId="094CC73F" w14:textId="7C022E67" w:rsidR="002D647C" w:rsidRPr="007D6043" w:rsidRDefault="002D647C" w:rsidP="002D647C">
      <w:pPr>
        <w:pStyle w:val="Caption"/>
      </w:pPr>
      <w:bookmarkStart w:id="266" w:name="_Ref153944953"/>
      <w:bookmarkStart w:id="267" w:name="_Toc162948313"/>
      <w:r w:rsidRPr="007D6043">
        <w:t xml:space="preserve">Table </w:t>
      </w:r>
      <w:r w:rsidRPr="007D6043">
        <w:rPr>
          <w:noProof/>
        </w:rPr>
        <w:fldChar w:fldCharType="begin"/>
      </w:r>
      <w:r w:rsidRPr="007D6043">
        <w:rPr>
          <w:noProof/>
        </w:rPr>
        <w:instrText xml:space="preserve"> SEQ Table \* ARABIC </w:instrText>
      </w:r>
      <w:r w:rsidRPr="007D6043">
        <w:rPr>
          <w:noProof/>
        </w:rPr>
        <w:fldChar w:fldCharType="separate"/>
      </w:r>
      <w:r w:rsidR="004A78BF">
        <w:rPr>
          <w:noProof/>
        </w:rPr>
        <w:t>46</w:t>
      </w:r>
      <w:r w:rsidRPr="007D6043">
        <w:rPr>
          <w:noProof/>
        </w:rPr>
        <w:fldChar w:fldCharType="end"/>
      </w:r>
      <w:bookmarkEnd w:id="266"/>
      <w:r w:rsidRPr="007D6043">
        <w:t xml:space="preserve">. Causal analysis results for sediment </w:t>
      </w:r>
      <w:r w:rsidR="00661331">
        <w:t>pesticides</w:t>
      </w:r>
      <w:r w:rsidR="00742F20">
        <w:t xml:space="preserve"> and toxic organics</w:t>
      </w:r>
      <w:r w:rsidRPr="007D6043">
        <w:t>.</w:t>
      </w:r>
      <w:bookmarkEnd w:id="267"/>
    </w:p>
    <w:tbl>
      <w:tblPr>
        <w:tblW w:w="9457"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7"/>
        <w:gridCol w:w="720"/>
        <w:gridCol w:w="720"/>
        <w:gridCol w:w="990"/>
        <w:gridCol w:w="990"/>
        <w:gridCol w:w="3600"/>
      </w:tblGrid>
      <w:tr w:rsidR="00661331" w:rsidRPr="007A0C83" w14:paraId="2CBDD479" w14:textId="77777777" w:rsidTr="00661331">
        <w:trPr>
          <w:cantSplit/>
          <w:trHeight w:val="1080"/>
        </w:trPr>
        <w:tc>
          <w:tcPr>
            <w:tcW w:w="2437" w:type="dxa"/>
            <w:shd w:val="clear" w:color="auto" w:fill="D9D9D9" w:themeFill="background1" w:themeFillShade="D9"/>
            <w:vAlign w:val="center"/>
          </w:tcPr>
          <w:p w14:paraId="18DD4378" w14:textId="77777777" w:rsidR="00661331" w:rsidRPr="00396EC1" w:rsidRDefault="00661331" w:rsidP="00661331">
            <w:pPr>
              <w:jc w:val="center"/>
              <w:rPr>
                <w:rFonts w:ascii="Arial Narrow" w:hAnsi="Arial Narrow"/>
                <w:b/>
                <w:sz w:val="20"/>
                <w:szCs w:val="20"/>
              </w:rPr>
            </w:pPr>
            <w:r w:rsidRPr="00396EC1">
              <w:rPr>
                <w:rFonts w:ascii="Arial Narrow" w:hAnsi="Arial Narrow"/>
                <w:b/>
                <w:sz w:val="20"/>
                <w:szCs w:val="20"/>
              </w:rPr>
              <w:t>Evidence</w:t>
            </w:r>
          </w:p>
        </w:tc>
        <w:tc>
          <w:tcPr>
            <w:tcW w:w="720" w:type="dxa"/>
            <w:shd w:val="clear" w:color="auto" w:fill="D9D9D9" w:themeFill="background1" w:themeFillShade="D9"/>
            <w:vAlign w:val="center"/>
          </w:tcPr>
          <w:p w14:paraId="7B720F5B" w14:textId="77777777" w:rsidR="00661331" w:rsidRPr="00396EC1" w:rsidRDefault="00661331" w:rsidP="00661331">
            <w:pPr>
              <w:jc w:val="center"/>
              <w:rPr>
                <w:rFonts w:ascii="Arial Narrow" w:hAnsi="Arial Narrow"/>
                <w:b/>
                <w:sz w:val="20"/>
                <w:szCs w:val="20"/>
              </w:rPr>
            </w:pPr>
            <w:r>
              <w:rPr>
                <w:rFonts w:ascii="Arial Narrow" w:hAnsi="Arial Narrow"/>
                <w:b/>
                <w:sz w:val="20"/>
                <w:szCs w:val="20"/>
              </w:rPr>
              <w:t>Wolf Creek</w:t>
            </w:r>
          </w:p>
        </w:tc>
        <w:tc>
          <w:tcPr>
            <w:tcW w:w="720" w:type="dxa"/>
            <w:shd w:val="clear" w:color="auto" w:fill="D9D9D9" w:themeFill="background1" w:themeFillShade="D9"/>
            <w:vAlign w:val="center"/>
          </w:tcPr>
          <w:p w14:paraId="61C4222C" w14:textId="77777777" w:rsidR="00661331" w:rsidRPr="00396EC1" w:rsidRDefault="00661331" w:rsidP="00661331">
            <w:pPr>
              <w:jc w:val="center"/>
              <w:rPr>
                <w:rFonts w:ascii="Arial Narrow" w:hAnsi="Arial Narrow"/>
                <w:b/>
                <w:sz w:val="20"/>
                <w:szCs w:val="20"/>
              </w:rPr>
            </w:pPr>
            <w:r>
              <w:rPr>
                <w:rFonts w:ascii="Arial Narrow" w:hAnsi="Arial Narrow"/>
                <w:b/>
                <w:sz w:val="20"/>
                <w:szCs w:val="20"/>
              </w:rPr>
              <w:t>Tinker Creek</w:t>
            </w:r>
          </w:p>
        </w:tc>
        <w:tc>
          <w:tcPr>
            <w:tcW w:w="990" w:type="dxa"/>
            <w:shd w:val="clear" w:color="auto" w:fill="D9D9D9" w:themeFill="background1" w:themeFillShade="D9"/>
            <w:vAlign w:val="center"/>
          </w:tcPr>
          <w:p w14:paraId="3C5FE599" w14:textId="77777777" w:rsidR="00661331" w:rsidRPr="00396EC1" w:rsidRDefault="00661331" w:rsidP="00661331">
            <w:pPr>
              <w:jc w:val="center"/>
              <w:rPr>
                <w:rFonts w:ascii="Arial Narrow" w:hAnsi="Arial Narrow"/>
                <w:b/>
                <w:sz w:val="20"/>
                <w:szCs w:val="20"/>
              </w:rPr>
            </w:pPr>
            <w:r>
              <w:rPr>
                <w:rFonts w:ascii="Arial Narrow" w:hAnsi="Arial Narrow"/>
                <w:b/>
                <w:sz w:val="20"/>
                <w:szCs w:val="20"/>
              </w:rPr>
              <w:t>Roanoke River (202.20)</w:t>
            </w:r>
          </w:p>
        </w:tc>
        <w:tc>
          <w:tcPr>
            <w:tcW w:w="990" w:type="dxa"/>
            <w:shd w:val="clear" w:color="auto" w:fill="D9D9D9" w:themeFill="background1" w:themeFillShade="D9"/>
            <w:vAlign w:val="center"/>
          </w:tcPr>
          <w:p w14:paraId="45F802D6" w14:textId="77777777" w:rsidR="00661331" w:rsidRPr="00396EC1" w:rsidRDefault="00661331" w:rsidP="00661331">
            <w:pPr>
              <w:jc w:val="center"/>
              <w:rPr>
                <w:rFonts w:ascii="Arial Narrow" w:hAnsi="Arial Narrow"/>
                <w:b/>
                <w:sz w:val="20"/>
                <w:szCs w:val="20"/>
              </w:rPr>
            </w:pPr>
            <w:r>
              <w:rPr>
                <w:rFonts w:ascii="Arial Narrow" w:hAnsi="Arial Narrow"/>
                <w:b/>
                <w:sz w:val="20"/>
                <w:szCs w:val="20"/>
              </w:rPr>
              <w:t>Roanoke River (198.08)</w:t>
            </w:r>
          </w:p>
        </w:tc>
        <w:tc>
          <w:tcPr>
            <w:tcW w:w="3600" w:type="dxa"/>
            <w:shd w:val="clear" w:color="auto" w:fill="D9D9D9" w:themeFill="background1" w:themeFillShade="D9"/>
            <w:vAlign w:val="center"/>
          </w:tcPr>
          <w:p w14:paraId="5691A6EE" w14:textId="77777777" w:rsidR="00661331" w:rsidRPr="00613B31" w:rsidRDefault="00661331" w:rsidP="00661331">
            <w:pPr>
              <w:jc w:val="center"/>
              <w:rPr>
                <w:rFonts w:ascii="Arial Narrow" w:hAnsi="Arial Narrow"/>
                <w:b/>
                <w:sz w:val="20"/>
                <w:szCs w:val="20"/>
              </w:rPr>
            </w:pPr>
            <w:r w:rsidRPr="00396EC1">
              <w:rPr>
                <w:rFonts w:ascii="Arial Narrow" w:hAnsi="Arial Narrow"/>
                <w:b/>
                <w:sz w:val="20"/>
                <w:szCs w:val="20"/>
              </w:rPr>
              <w:t>Explanation</w:t>
            </w:r>
          </w:p>
        </w:tc>
      </w:tr>
      <w:tr w:rsidR="00661331" w:rsidRPr="007A0C83" w14:paraId="7DC410C3" w14:textId="77777777" w:rsidTr="00661331">
        <w:trPr>
          <w:trHeight w:val="247"/>
        </w:trPr>
        <w:tc>
          <w:tcPr>
            <w:tcW w:w="2437" w:type="dxa"/>
            <w:vAlign w:val="center"/>
          </w:tcPr>
          <w:p w14:paraId="098D01E6" w14:textId="618116DC" w:rsidR="00661331" w:rsidRPr="00661331" w:rsidRDefault="00661331" w:rsidP="00661331">
            <w:pPr>
              <w:jc w:val="left"/>
              <w:rPr>
                <w:rFonts w:ascii="Arial Narrow" w:hAnsi="Arial Narrow"/>
                <w:sz w:val="20"/>
                <w:szCs w:val="20"/>
                <w:highlight w:val="yellow"/>
              </w:rPr>
            </w:pPr>
            <w:r w:rsidRPr="00661331">
              <w:rPr>
                <w:rFonts w:ascii="Arial Narrow" w:hAnsi="Arial Narrow" w:cs="Calibri"/>
                <w:color w:val="000000"/>
                <w:sz w:val="20"/>
                <w:szCs w:val="20"/>
              </w:rPr>
              <w:t>Spatial Co-occurrence</w:t>
            </w:r>
          </w:p>
        </w:tc>
        <w:tc>
          <w:tcPr>
            <w:tcW w:w="720" w:type="dxa"/>
            <w:vAlign w:val="center"/>
          </w:tcPr>
          <w:p w14:paraId="018E832A" w14:textId="10419CED" w:rsidR="00661331" w:rsidRPr="00661331" w:rsidRDefault="00661331" w:rsidP="00661331">
            <w:pPr>
              <w:jc w:val="center"/>
              <w:rPr>
                <w:rFonts w:ascii="Arial Narrow" w:hAnsi="Arial Narrow" w:cs="Calibri"/>
                <w:color w:val="000000"/>
                <w:sz w:val="20"/>
                <w:szCs w:val="20"/>
              </w:rPr>
            </w:pPr>
            <w:r w:rsidRPr="00661331">
              <w:rPr>
                <w:rFonts w:ascii="Arial Narrow" w:hAnsi="Arial Narrow" w:cs="Calibri"/>
                <w:color w:val="000000"/>
                <w:sz w:val="20"/>
                <w:szCs w:val="20"/>
              </w:rPr>
              <w:t>0</w:t>
            </w:r>
          </w:p>
        </w:tc>
        <w:tc>
          <w:tcPr>
            <w:tcW w:w="720" w:type="dxa"/>
            <w:vAlign w:val="center"/>
          </w:tcPr>
          <w:p w14:paraId="534A94FC" w14:textId="3B079582" w:rsidR="00661331" w:rsidRPr="00661331" w:rsidRDefault="00661331" w:rsidP="00661331">
            <w:pPr>
              <w:jc w:val="center"/>
              <w:rPr>
                <w:rFonts w:ascii="Arial Narrow" w:hAnsi="Arial Narrow" w:cs="Calibri"/>
                <w:color w:val="000000"/>
                <w:sz w:val="20"/>
                <w:szCs w:val="20"/>
              </w:rPr>
            </w:pPr>
            <w:r w:rsidRPr="00661331">
              <w:rPr>
                <w:rFonts w:ascii="Arial Narrow" w:hAnsi="Arial Narrow" w:cs="Calibri"/>
                <w:color w:val="000000"/>
                <w:sz w:val="20"/>
                <w:szCs w:val="20"/>
              </w:rPr>
              <w:t>-1</w:t>
            </w:r>
          </w:p>
        </w:tc>
        <w:tc>
          <w:tcPr>
            <w:tcW w:w="990" w:type="dxa"/>
            <w:vAlign w:val="center"/>
          </w:tcPr>
          <w:p w14:paraId="6F426043" w14:textId="5C815CF4" w:rsidR="00661331" w:rsidRPr="00661331" w:rsidRDefault="00661331" w:rsidP="00661331">
            <w:pPr>
              <w:jc w:val="center"/>
              <w:rPr>
                <w:rFonts w:ascii="Arial Narrow" w:hAnsi="Arial Narrow" w:cs="Calibri"/>
                <w:color w:val="000000"/>
                <w:sz w:val="20"/>
                <w:szCs w:val="20"/>
              </w:rPr>
            </w:pPr>
            <w:r w:rsidRPr="00661331">
              <w:rPr>
                <w:rFonts w:ascii="Arial Narrow" w:hAnsi="Arial Narrow" w:cs="Calibri"/>
                <w:color w:val="000000"/>
                <w:sz w:val="20"/>
                <w:szCs w:val="20"/>
              </w:rPr>
              <w:t>-1</w:t>
            </w:r>
          </w:p>
        </w:tc>
        <w:tc>
          <w:tcPr>
            <w:tcW w:w="990" w:type="dxa"/>
            <w:vAlign w:val="center"/>
          </w:tcPr>
          <w:p w14:paraId="6073D20A" w14:textId="1B1A9E07" w:rsidR="00661331" w:rsidRPr="00661331" w:rsidRDefault="00661331" w:rsidP="00661331">
            <w:pPr>
              <w:jc w:val="center"/>
              <w:rPr>
                <w:rFonts w:ascii="Arial Narrow" w:hAnsi="Arial Narrow"/>
                <w:color w:val="000000"/>
                <w:sz w:val="20"/>
                <w:szCs w:val="20"/>
                <w:highlight w:val="yellow"/>
              </w:rPr>
            </w:pPr>
            <w:r w:rsidRPr="00661331">
              <w:rPr>
                <w:rFonts w:ascii="Arial Narrow" w:hAnsi="Arial Narrow" w:cs="Calibri"/>
                <w:color w:val="000000"/>
                <w:sz w:val="20"/>
                <w:szCs w:val="20"/>
              </w:rPr>
              <w:t>0</w:t>
            </w:r>
          </w:p>
        </w:tc>
        <w:tc>
          <w:tcPr>
            <w:tcW w:w="3600" w:type="dxa"/>
            <w:vAlign w:val="center"/>
          </w:tcPr>
          <w:p w14:paraId="564DB275" w14:textId="4ADBD6B2" w:rsidR="00661331" w:rsidRPr="00661331" w:rsidRDefault="00661331" w:rsidP="00661331">
            <w:pPr>
              <w:jc w:val="left"/>
              <w:rPr>
                <w:rFonts w:ascii="Arial Narrow" w:hAnsi="Arial Narrow"/>
                <w:color w:val="000000"/>
                <w:sz w:val="20"/>
                <w:szCs w:val="20"/>
                <w:highlight w:val="yellow"/>
              </w:rPr>
            </w:pPr>
            <w:r w:rsidRPr="00661331">
              <w:rPr>
                <w:rFonts w:ascii="Arial Narrow" w:hAnsi="Arial Narrow" w:cs="Calibri"/>
                <w:color w:val="000000"/>
                <w:sz w:val="20"/>
                <w:szCs w:val="20"/>
              </w:rPr>
              <w:t xml:space="preserve">Sediment pesticides and toxic organics in Tinker Creek and Roanoke River (202.20) were similar to levels in upstream unimpaired locations. </w:t>
            </w:r>
          </w:p>
        </w:tc>
      </w:tr>
      <w:tr w:rsidR="00661331" w:rsidRPr="002D647C" w14:paraId="118761FE" w14:textId="77777777" w:rsidTr="00661331">
        <w:trPr>
          <w:trHeight w:val="247"/>
        </w:trPr>
        <w:tc>
          <w:tcPr>
            <w:tcW w:w="2437" w:type="dxa"/>
            <w:vAlign w:val="center"/>
          </w:tcPr>
          <w:p w14:paraId="421CE8CB" w14:textId="45B5CFBD" w:rsidR="00661331" w:rsidRPr="00661331" w:rsidRDefault="00661331" w:rsidP="00661331">
            <w:pPr>
              <w:jc w:val="left"/>
              <w:rPr>
                <w:rFonts w:ascii="Arial Narrow" w:hAnsi="Arial Narrow" w:cs="Calibri"/>
                <w:b/>
                <w:bCs/>
                <w:color w:val="000000"/>
                <w:sz w:val="20"/>
                <w:szCs w:val="20"/>
              </w:rPr>
            </w:pPr>
            <w:r w:rsidRPr="00661331">
              <w:rPr>
                <w:rFonts w:ascii="Arial Narrow" w:hAnsi="Arial Narrow" w:cs="Calibri"/>
                <w:color w:val="000000"/>
                <w:sz w:val="20"/>
                <w:szCs w:val="20"/>
              </w:rPr>
              <w:t>Stressor-Response Relationships from Laboratory Studies</w:t>
            </w:r>
          </w:p>
        </w:tc>
        <w:tc>
          <w:tcPr>
            <w:tcW w:w="720" w:type="dxa"/>
            <w:vAlign w:val="center"/>
          </w:tcPr>
          <w:p w14:paraId="6A1B9719" w14:textId="7B6C22F7" w:rsidR="00661331" w:rsidRPr="00661331" w:rsidRDefault="00661331" w:rsidP="00661331">
            <w:pPr>
              <w:jc w:val="center"/>
              <w:rPr>
                <w:rFonts w:ascii="Arial Narrow" w:hAnsi="Arial Narrow" w:cs="Calibri"/>
                <w:b/>
                <w:color w:val="000000"/>
                <w:sz w:val="20"/>
                <w:szCs w:val="20"/>
              </w:rPr>
            </w:pPr>
            <w:r w:rsidRPr="00661331">
              <w:rPr>
                <w:rFonts w:ascii="Arial Narrow" w:hAnsi="Arial Narrow" w:cs="Calibri"/>
                <w:color w:val="000000"/>
                <w:sz w:val="20"/>
                <w:szCs w:val="20"/>
              </w:rPr>
              <w:t>0</w:t>
            </w:r>
          </w:p>
        </w:tc>
        <w:tc>
          <w:tcPr>
            <w:tcW w:w="720" w:type="dxa"/>
            <w:vAlign w:val="center"/>
          </w:tcPr>
          <w:p w14:paraId="3F8094BD" w14:textId="0424A7B2" w:rsidR="00661331" w:rsidRPr="00661331" w:rsidRDefault="00661331" w:rsidP="00661331">
            <w:pPr>
              <w:jc w:val="center"/>
              <w:rPr>
                <w:rFonts w:ascii="Arial Narrow" w:hAnsi="Arial Narrow" w:cs="Calibri"/>
                <w:b/>
                <w:color w:val="000000"/>
                <w:sz w:val="20"/>
                <w:szCs w:val="20"/>
              </w:rPr>
            </w:pPr>
            <w:r w:rsidRPr="00661331">
              <w:rPr>
                <w:rFonts w:ascii="Arial Narrow" w:hAnsi="Arial Narrow" w:cs="Calibri"/>
                <w:color w:val="000000"/>
                <w:sz w:val="20"/>
                <w:szCs w:val="20"/>
              </w:rPr>
              <w:t>-2</w:t>
            </w:r>
          </w:p>
        </w:tc>
        <w:tc>
          <w:tcPr>
            <w:tcW w:w="990" w:type="dxa"/>
            <w:vAlign w:val="center"/>
          </w:tcPr>
          <w:p w14:paraId="42D6FDC3" w14:textId="3967791D" w:rsidR="00661331" w:rsidRPr="00661331" w:rsidRDefault="00661331" w:rsidP="00661331">
            <w:pPr>
              <w:jc w:val="center"/>
              <w:rPr>
                <w:rFonts w:ascii="Arial Narrow" w:hAnsi="Arial Narrow" w:cs="Calibri"/>
                <w:b/>
                <w:color w:val="000000"/>
                <w:sz w:val="20"/>
                <w:szCs w:val="20"/>
              </w:rPr>
            </w:pPr>
            <w:r w:rsidRPr="00661331">
              <w:rPr>
                <w:rFonts w:ascii="Arial Narrow" w:hAnsi="Arial Narrow" w:cs="Calibri"/>
                <w:color w:val="000000"/>
                <w:sz w:val="20"/>
                <w:szCs w:val="20"/>
              </w:rPr>
              <w:t>-2</w:t>
            </w:r>
          </w:p>
        </w:tc>
        <w:tc>
          <w:tcPr>
            <w:tcW w:w="990" w:type="dxa"/>
            <w:vAlign w:val="center"/>
          </w:tcPr>
          <w:p w14:paraId="4CD1F948" w14:textId="3A176E08" w:rsidR="00661331" w:rsidRPr="00661331" w:rsidRDefault="00661331" w:rsidP="00661331">
            <w:pPr>
              <w:jc w:val="center"/>
              <w:rPr>
                <w:rFonts w:ascii="Arial Narrow" w:hAnsi="Arial Narrow" w:cs="Calibri"/>
                <w:b/>
                <w:color w:val="000000"/>
                <w:sz w:val="20"/>
                <w:szCs w:val="20"/>
              </w:rPr>
            </w:pPr>
            <w:r w:rsidRPr="00661331">
              <w:rPr>
                <w:rFonts w:ascii="Arial Narrow" w:hAnsi="Arial Narrow" w:cs="Calibri"/>
                <w:color w:val="000000"/>
                <w:sz w:val="20"/>
                <w:szCs w:val="20"/>
              </w:rPr>
              <w:t>0</w:t>
            </w:r>
          </w:p>
        </w:tc>
        <w:tc>
          <w:tcPr>
            <w:tcW w:w="3600" w:type="dxa"/>
            <w:vAlign w:val="center"/>
          </w:tcPr>
          <w:p w14:paraId="2E551806" w14:textId="7FC3E9C3" w:rsidR="00661331" w:rsidRPr="00661331" w:rsidRDefault="00661331" w:rsidP="00661331">
            <w:pPr>
              <w:jc w:val="left"/>
              <w:rPr>
                <w:rFonts w:ascii="Arial Narrow" w:hAnsi="Arial Narrow"/>
                <w:b/>
                <w:color w:val="000000"/>
                <w:sz w:val="20"/>
                <w:szCs w:val="20"/>
                <w:highlight w:val="yellow"/>
              </w:rPr>
            </w:pPr>
            <w:r w:rsidRPr="00661331">
              <w:rPr>
                <w:rFonts w:ascii="Arial Narrow" w:hAnsi="Arial Narrow" w:cs="Calibri"/>
                <w:color w:val="000000"/>
                <w:sz w:val="20"/>
                <w:szCs w:val="20"/>
              </w:rPr>
              <w:t xml:space="preserve">In Tinker Creek and Roanoke River (202.20), all sediment pesticides and toxic organics were below detection limits except for three phthalate compounds which are ubiquitous.  </w:t>
            </w:r>
          </w:p>
        </w:tc>
      </w:tr>
      <w:tr w:rsidR="00661331" w:rsidRPr="002D647C" w14:paraId="2CFFD21E" w14:textId="77777777" w:rsidTr="00661331">
        <w:trPr>
          <w:trHeight w:val="247"/>
        </w:trPr>
        <w:tc>
          <w:tcPr>
            <w:tcW w:w="2437" w:type="dxa"/>
            <w:vAlign w:val="center"/>
          </w:tcPr>
          <w:p w14:paraId="312BB0F4" w14:textId="4F0AF7F3" w:rsidR="00661331" w:rsidRPr="00661331" w:rsidRDefault="00661331" w:rsidP="00661331">
            <w:pPr>
              <w:jc w:val="left"/>
              <w:rPr>
                <w:rFonts w:ascii="Arial Narrow" w:hAnsi="Arial Narrow" w:cs="Calibri"/>
                <w:b/>
                <w:bCs/>
                <w:color w:val="000000"/>
                <w:sz w:val="20"/>
                <w:szCs w:val="20"/>
              </w:rPr>
            </w:pPr>
            <w:r w:rsidRPr="00661331">
              <w:rPr>
                <w:rFonts w:ascii="Arial Narrow" w:hAnsi="Arial Narrow" w:cs="Calibri"/>
                <w:color w:val="000000"/>
                <w:sz w:val="20"/>
                <w:szCs w:val="20"/>
              </w:rPr>
              <w:t>Consistency of Evidence</w:t>
            </w:r>
          </w:p>
        </w:tc>
        <w:tc>
          <w:tcPr>
            <w:tcW w:w="720" w:type="dxa"/>
            <w:vAlign w:val="center"/>
          </w:tcPr>
          <w:p w14:paraId="743044E6" w14:textId="3E0E67AC" w:rsidR="00661331" w:rsidRPr="00661331" w:rsidRDefault="00661331" w:rsidP="00661331">
            <w:pPr>
              <w:jc w:val="center"/>
              <w:rPr>
                <w:rFonts w:ascii="Arial Narrow" w:hAnsi="Arial Narrow" w:cs="Calibri"/>
                <w:b/>
                <w:color w:val="000000"/>
                <w:sz w:val="20"/>
                <w:szCs w:val="20"/>
              </w:rPr>
            </w:pPr>
            <w:r w:rsidRPr="00661331">
              <w:rPr>
                <w:rFonts w:ascii="Arial Narrow" w:hAnsi="Arial Narrow" w:cs="Calibri"/>
                <w:color w:val="000000"/>
                <w:sz w:val="20"/>
                <w:szCs w:val="20"/>
              </w:rPr>
              <w:t>0</w:t>
            </w:r>
          </w:p>
        </w:tc>
        <w:tc>
          <w:tcPr>
            <w:tcW w:w="720" w:type="dxa"/>
            <w:vAlign w:val="center"/>
          </w:tcPr>
          <w:p w14:paraId="7AD01799" w14:textId="68DC3994" w:rsidR="00661331" w:rsidRPr="00661331" w:rsidRDefault="00661331" w:rsidP="00661331">
            <w:pPr>
              <w:jc w:val="center"/>
              <w:rPr>
                <w:rFonts w:ascii="Arial Narrow" w:hAnsi="Arial Narrow" w:cs="Calibri"/>
                <w:b/>
                <w:color w:val="000000"/>
                <w:sz w:val="20"/>
                <w:szCs w:val="20"/>
              </w:rPr>
            </w:pPr>
            <w:r w:rsidRPr="00661331">
              <w:rPr>
                <w:rFonts w:ascii="Arial Narrow" w:hAnsi="Arial Narrow" w:cs="Calibri"/>
                <w:color w:val="000000"/>
                <w:sz w:val="20"/>
                <w:szCs w:val="20"/>
              </w:rPr>
              <w:t>0</w:t>
            </w:r>
          </w:p>
        </w:tc>
        <w:tc>
          <w:tcPr>
            <w:tcW w:w="990" w:type="dxa"/>
            <w:vAlign w:val="center"/>
          </w:tcPr>
          <w:p w14:paraId="1C264617" w14:textId="217CD794" w:rsidR="00661331" w:rsidRPr="00661331" w:rsidRDefault="00661331" w:rsidP="00661331">
            <w:pPr>
              <w:jc w:val="center"/>
              <w:rPr>
                <w:rFonts w:ascii="Arial Narrow" w:hAnsi="Arial Narrow" w:cs="Calibri"/>
                <w:b/>
                <w:color w:val="000000"/>
                <w:sz w:val="20"/>
                <w:szCs w:val="20"/>
              </w:rPr>
            </w:pPr>
            <w:r w:rsidRPr="00661331">
              <w:rPr>
                <w:rFonts w:ascii="Arial Narrow" w:hAnsi="Arial Narrow" w:cs="Calibri"/>
                <w:color w:val="000000"/>
                <w:sz w:val="20"/>
                <w:szCs w:val="20"/>
              </w:rPr>
              <w:t>0</w:t>
            </w:r>
          </w:p>
        </w:tc>
        <w:tc>
          <w:tcPr>
            <w:tcW w:w="990" w:type="dxa"/>
            <w:vAlign w:val="center"/>
          </w:tcPr>
          <w:p w14:paraId="035B9D6D" w14:textId="05BC079C" w:rsidR="00661331" w:rsidRPr="00661331" w:rsidRDefault="00661331" w:rsidP="00661331">
            <w:pPr>
              <w:jc w:val="center"/>
              <w:rPr>
                <w:rFonts w:ascii="Arial Narrow" w:hAnsi="Arial Narrow" w:cs="Calibri"/>
                <w:b/>
                <w:color w:val="000000"/>
                <w:sz w:val="20"/>
                <w:szCs w:val="20"/>
              </w:rPr>
            </w:pPr>
            <w:r w:rsidRPr="00661331">
              <w:rPr>
                <w:rFonts w:ascii="Arial Narrow" w:hAnsi="Arial Narrow" w:cs="Calibri"/>
                <w:color w:val="000000"/>
                <w:sz w:val="20"/>
                <w:szCs w:val="20"/>
              </w:rPr>
              <w:t>0</w:t>
            </w:r>
          </w:p>
        </w:tc>
        <w:tc>
          <w:tcPr>
            <w:tcW w:w="3600" w:type="dxa"/>
            <w:vAlign w:val="center"/>
          </w:tcPr>
          <w:p w14:paraId="6CB3137F" w14:textId="5C798BE8" w:rsidR="00661331" w:rsidRPr="00661331" w:rsidRDefault="00661331" w:rsidP="00661331">
            <w:pPr>
              <w:jc w:val="left"/>
              <w:rPr>
                <w:rFonts w:ascii="Arial Narrow" w:hAnsi="Arial Narrow"/>
                <w:b/>
                <w:color w:val="000000"/>
                <w:sz w:val="20"/>
                <w:szCs w:val="20"/>
                <w:highlight w:val="yellow"/>
              </w:rPr>
            </w:pPr>
            <w:r w:rsidRPr="00661331">
              <w:rPr>
                <w:rFonts w:ascii="Arial Narrow" w:hAnsi="Arial Narrow" w:cs="Calibri"/>
                <w:color w:val="000000"/>
                <w:sz w:val="20"/>
                <w:szCs w:val="20"/>
              </w:rPr>
              <w:t>Limited evidence was available.</w:t>
            </w:r>
          </w:p>
        </w:tc>
      </w:tr>
      <w:tr w:rsidR="00661331" w:rsidRPr="00661331" w14:paraId="3701EC9C" w14:textId="77777777" w:rsidTr="00661331">
        <w:trPr>
          <w:trHeight w:val="247"/>
        </w:trPr>
        <w:tc>
          <w:tcPr>
            <w:tcW w:w="2437" w:type="dxa"/>
            <w:vAlign w:val="center"/>
          </w:tcPr>
          <w:p w14:paraId="0D9C3427" w14:textId="6BA8391D" w:rsidR="00661331" w:rsidRPr="00661331" w:rsidRDefault="00661331" w:rsidP="00661331">
            <w:pPr>
              <w:jc w:val="right"/>
              <w:rPr>
                <w:rFonts w:ascii="Arial Narrow" w:hAnsi="Arial Narrow" w:cs="Calibri"/>
                <w:b/>
                <w:bCs/>
                <w:color w:val="000000"/>
                <w:sz w:val="20"/>
                <w:szCs w:val="20"/>
              </w:rPr>
            </w:pPr>
            <w:r w:rsidRPr="00661331">
              <w:rPr>
                <w:rFonts w:ascii="Arial Narrow" w:hAnsi="Arial Narrow" w:cs="Calibri"/>
                <w:b/>
                <w:bCs/>
                <w:color w:val="000000"/>
                <w:sz w:val="20"/>
                <w:szCs w:val="20"/>
              </w:rPr>
              <w:t>Sum</w:t>
            </w:r>
          </w:p>
        </w:tc>
        <w:tc>
          <w:tcPr>
            <w:tcW w:w="720" w:type="dxa"/>
            <w:vAlign w:val="center"/>
          </w:tcPr>
          <w:p w14:paraId="3C89873F" w14:textId="3EB396D4" w:rsidR="00661331" w:rsidRPr="00661331" w:rsidRDefault="00661331" w:rsidP="00661331">
            <w:pPr>
              <w:jc w:val="center"/>
              <w:rPr>
                <w:rFonts w:ascii="Arial Narrow" w:hAnsi="Arial Narrow" w:cs="Calibri"/>
                <w:b/>
                <w:color w:val="000000"/>
                <w:sz w:val="20"/>
                <w:szCs w:val="20"/>
              </w:rPr>
            </w:pPr>
            <w:r w:rsidRPr="00661331">
              <w:rPr>
                <w:rFonts w:ascii="Arial Narrow" w:hAnsi="Arial Narrow" w:cs="Calibri"/>
                <w:b/>
                <w:color w:val="000000"/>
                <w:sz w:val="20"/>
                <w:szCs w:val="20"/>
              </w:rPr>
              <w:t>0</w:t>
            </w:r>
          </w:p>
        </w:tc>
        <w:tc>
          <w:tcPr>
            <w:tcW w:w="720" w:type="dxa"/>
            <w:vAlign w:val="center"/>
          </w:tcPr>
          <w:p w14:paraId="031655E1" w14:textId="53CF7827" w:rsidR="00661331" w:rsidRPr="00661331" w:rsidRDefault="00661331" w:rsidP="00661331">
            <w:pPr>
              <w:jc w:val="center"/>
              <w:rPr>
                <w:rFonts w:ascii="Arial Narrow" w:hAnsi="Arial Narrow" w:cs="Calibri"/>
                <w:b/>
                <w:color w:val="000000"/>
                <w:sz w:val="20"/>
                <w:szCs w:val="20"/>
              </w:rPr>
            </w:pPr>
            <w:r w:rsidRPr="00661331">
              <w:rPr>
                <w:rFonts w:ascii="Arial Narrow" w:hAnsi="Arial Narrow" w:cs="Calibri"/>
                <w:b/>
                <w:color w:val="000000"/>
                <w:sz w:val="20"/>
                <w:szCs w:val="20"/>
              </w:rPr>
              <w:t>-3</w:t>
            </w:r>
          </w:p>
        </w:tc>
        <w:tc>
          <w:tcPr>
            <w:tcW w:w="990" w:type="dxa"/>
            <w:vAlign w:val="center"/>
          </w:tcPr>
          <w:p w14:paraId="0AE951FD" w14:textId="3B0E45E3" w:rsidR="00661331" w:rsidRPr="00661331" w:rsidRDefault="00661331" w:rsidP="00661331">
            <w:pPr>
              <w:jc w:val="center"/>
              <w:rPr>
                <w:rFonts w:ascii="Arial Narrow" w:hAnsi="Arial Narrow" w:cs="Calibri"/>
                <w:b/>
                <w:color w:val="000000"/>
                <w:sz w:val="20"/>
                <w:szCs w:val="20"/>
              </w:rPr>
            </w:pPr>
            <w:r w:rsidRPr="00661331">
              <w:rPr>
                <w:rFonts w:ascii="Arial Narrow" w:hAnsi="Arial Narrow" w:cs="Calibri"/>
                <w:b/>
                <w:color w:val="000000"/>
                <w:sz w:val="20"/>
                <w:szCs w:val="20"/>
              </w:rPr>
              <w:t>-3</w:t>
            </w:r>
          </w:p>
        </w:tc>
        <w:tc>
          <w:tcPr>
            <w:tcW w:w="990" w:type="dxa"/>
            <w:vAlign w:val="center"/>
          </w:tcPr>
          <w:p w14:paraId="33FB01B3" w14:textId="52077735" w:rsidR="00661331" w:rsidRPr="00661331" w:rsidRDefault="00661331" w:rsidP="00661331">
            <w:pPr>
              <w:jc w:val="center"/>
              <w:rPr>
                <w:rFonts w:ascii="Arial Narrow" w:hAnsi="Arial Narrow" w:cs="Calibri"/>
                <w:b/>
                <w:color w:val="000000"/>
                <w:sz w:val="20"/>
                <w:szCs w:val="20"/>
              </w:rPr>
            </w:pPr>
            <w:r w:rsidRPr="00661331">
              <w:rPr>
                <w:rFonts w:ascii="Arial Narrow" w:hAnsi="Arial Narrow" w:cs="Calibri"/>
                <w:b/>
                <w:color w:val="000000"/>
                <w:sz w:val="20"/>
                <w:szCs w:val="20"/>
              </w:rPr>
              <w:t>0</w:t>
            </w:r>
          </w:p>
        </w:tc>
        <w:tc>
          <w:tcPr>
            <w:tcW w:w="3600" w:type="dxa"/>
            <w:vAlign w:val="center"/>
          </w:tcPr>
          <w:p w14:paraId="3F7CEFA2" w14:textId="77777777" w:rsidR="00661331" w:rsidRPr="00661331" w:rsidRDefault="00661331" w:rsidP="00661331">
            <w:pPr>
              <w:jc w:val="left"/>
              <w:rPr>
                <w:rFonts w:ascii="Arial Narrow" w:hAnsi="Arial Narrow"/>
                <w:b/>
                <w:color w:val="000000"/>
                <w:sz w:val="20"/>
                <w:szCs w:val="20"/>
                <w:highlight w:val="yellow"/>
              </w:rPr>
            </w:pPr>
          </w:p>
        </w:tc>
      </w:tr>
    </w:tbl>
    <w:p w14:paraId="03568243" w14:textId="77777777" w:rsidR="002D647C" w:rsidRPr="00F46E0C" w:rsidRDefault="002D647C" w:rsidP="00BD7375">
      <w:pPr>
        <w:pStyle w:val="BlockText"/>
        <w:spacing w:before="0" w:after="0" w:line="240" w:lineRule="auto"/>
      </w:pPr>
    </w:p>
    <w:p w14:paraId="74FEFC27" w14:textId="36D3559C" w:rsidR="002D647C" w:rsidRPr="007D6043" w:rsidRDefault="002D647C" w:rsidP="002D647C">
      <w:pPr>
        <w:pStyle w:val="Heading2"/>
      </w:pPr>
      <w:bookmarkStart w:id="268" w:name="_Toc162948207"/>
      <w:r>
        <w:t>Niagara Dam</w:t>
      </w:r>
      <w:bookmarkEnd w:id="268"/>
    </w:p>
    <w:p w14:paraId="751C60B2" w14:textId="7CACC4B3" w:rsidR="002D647C" w:rsidRDefault="00C52F2C" w:rsidP="002D647C">
      <w:pPr>
        <w:pStyle w:val="BlockText"/>
      </w:pPr>
      <w:r>
        <w:fldChar w:fldCharType="begin"/>
      </w:r>
      <w:r>
        <w:instrText xml:space="preserve"> REF _Ref153959749 \h </w:instrText>
      </w:r>
      <w:r>
        <w:fldChar w:fldCharType="separate"/>
      </w:r>
      <w:r w:rsidR="004A78BF" w:rsidRPr="007D6043">
        <w:t xml:space="preserve">Table </w:t>
      </w:r>
      <w:r w:rsidR="004A78BF">
        <w:rPr>
          <w:noProof/>
        </w:rPr>
        <w:t>47</w:t>
      </w:r>
      <w:r>
        <w:fldChar w:fldCharType="end"/>
      </w:r>
      <w:r w:rsidR="002D647C" w:rsidRPr="007D6043">
        <w:t xml:space="preserve"> shows the causal analysis results for </w:t>
      </w:r>
      <w:r>
        <w:t>the Niagara Dam. The t</w:t>
      </w:r>
      <w:r w:rsidR="002D647C" w:rsidRPr="007D6043">
        <w:t xml:space="preserve">otal causal analysis score </w:t>
      </w:r>
      <w:r>
        <w:t xml:space="preserve">for the Roanoke River (198.08) was +5, indicating that there is moderate evidence that the dam is a stressor. With the Roanoke River 198.08 station </w:t>
      </w:r>
      <w:proofErr w:type="gramStart"/>
      <w:r>
        <w:t>only</w:t>
      </w:r>
      <w:proofErr w:type="gramEnd"/>
      <w:r>
        <w:t xml:space="preserve"> a mile downstream from the dam, the scientific literature suggests that this distance is not enough for recovery of the benthic community. The physical presence of the dam </w:t>
      </w:r>
      <w:r w:rsidR="003C76F9">
        <w:rPr>
          <w:noProof/>
        </w:rPr>
        <w:t xml:space="preserve">alters the ecology of the stream by changing flow regimes, temperature regimes, and nutrient and organic matter dynamics. </w:t>
      </w:r>
      <w:r w:rsidR="00234FC4">
        <w:rPr>
          <w:noProof/>
        </w:rPr>
        <w:t xml:space="preserve">It alters feeding regimes and reduces benthic macroinvertebrate colonization from upstream. These changes have a direct impact on the benthic community and they can exacerbate other stressors, like nutrient enrichment, by increasing nutrient retention and nutrient cycling. </w:t>
      </w:r>
      <w:r w:rsidR="002D647C" w:rsidRPr="007D6043">
        <w:t>For th</w:t>
      </w:r>
      <w:r w:rsidR="00234FC4">
        <w:t>ese</w:t>
      </w:r>
      <w:r w:rsidR="002D647C" w:rsidRPr="007D6043">
        <w:t xml:space="preserve"> reason</w:t>
      </w:r>
      <w:r w:rsidR="00234FC4">
        <w:t>s</w:t>
      </w:r>
      <w:r w:rsidR="002D647C" w:rsidRPr="007D6043">
        <w:t xml:space="preserve">, and others explained in </w:t>
      </w:r>
      <w:r w:rsidR="00234FC4">
        <w:fldChar w:fldCharType="begin"/>
      </w:r>
      <w:r w:rsidR="00234FC4">
        <w:instrText xml:space="preserve"> REF _Ref153959749 \h </w:instrText>
      </w:r>
      <w:r w:rsidR="00234FC4">
        <w:fldChar w:fldCharType="separate"/>
      </w:r>
      <w:r w:rsidR="004A78BF" w:rsidRPr="007D6043">
        <w:t xml:space="preserve">Table </w:t>
      </w:r>
      <w:r w:rsidR="004A78BF">
        <w:rPr>
          <w:noProof/>
        </w:rPr>
        <w:t>47</w:t>
      </w:r>
      <w:r w:rsidR="00234FC4">
        <w:fldChar w:fldCharType="end"/>
      </w:r>
      <w:r w:rsidR="002D647C" w:rsidRPr="007D6043">
        <w:t xml:space="preserve">, </w:t>
      </w:r>
      <w:r w:rsidR="00234FC4">
        <w:t>the Niagara Dam was</w:t>
      </w:r>
      <w:r w:rsidR="002D647C" w:rsidRPr="007D6043">
        <w:t xml:space="preserve"> categorized as </w:t>
      </w:r>
      <w:r w:rsidR="00234FC4">
        <w:t>a probable stressor in the Roanoke River (198.08)</w:t>
      </w:r>
      <w:r w:rsidR="002D647C" w:rsidRPr="007D6043">
        <w:t xml:space="preserve">. </w:t>
      </w:r>
    </w:p>
    <w:p w14:paraId="16A1576E" w14:textId="77777777" w:rsidR="000B3D27" w:rsidRPr="007D6043" w:rsidRDefault="000B3D27" w:rsidP="00BD7375">
      <w:pPr>
        <w:pStyle w:val="BlockText"/>
        <w:spacing w:before="0" w:after="0" w:line="240" w:lineRule="auto"/>
      </w:pPr>
    </w:p>
    <w:p w14:paraId="5CB688AB" w14:textId="3D5B0934" w:rsidR="002D647C" w:rsidRPr="007D6043" w:rsidRDefault="002D647C" w:rsidP="002D647C">
      <w:pPr>
        <w:pStyle w:val="Caption"/>
      </w:pPr>
      <w:bookmarkStart w:id="269" w:name="_Ref153959749"/>
      <w:bookmarkStart w:id="270" w:name="_Toc162948314"/>
      <w:r w:rsidRPr="007D6043">
        <w:t xml:space="preserve">Table </w:t>
      </w:r>
      <w:r w:rsidRPr="007D6043">
        <w:rPr>
          <w:noProof/>
        </w:rPr>
        <w:fldChar w:fldCharType="begin"/>
      </w:r>
      <w:r w:rsidRPr="007D6043">
        <w:rPr>
          <w:noProof/>
        </w:rPr>
        <w:instrText xml:space="preserve"> SEQ Table \* ARABIC </w:instrText>
      </w:r>
      <w:r w:rsidRPr="007D6043">
        <w:rPr>
          <w:noProof/>
        </w:rPr>
        <w:fldChar w:fldCharType="separate"/>
      </w:r>
      <w:r w:rsidR="004A78BF">
        <w:rPr>
          <w:noProof/>
        </w:rPr>
        <w:t>47</w:t>
      </w:r>
      <w:r w:rsidRPr="007D6043">
        <w:rPr>
          <w:noProof/>
        </w:rPr>
        <w:fldChar w:fldCharType="end"/>
      </w:r>
      <w:bookmarkEnd w:id="269"/>
      <w:r w:rsidRPr="007D6043">
        <w:t xml:space="preserve">. Causal analysis results for </w:t>
      </w:r>
      <w:r w:rsidR="00661331">
        <w:t>the Niagara Dam</w:t>
      </w:r>
      <w:r w:rsidRPr="007D6043">
        <w:t>.</w:t>
      </w:r>
      <w:bookmarkEnd w:id="270"/>
    </w:p>
    <w:tbl>
      <w:tblPr>
        <w:tblW w:w="9457"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7"/>
        <w:gridCol w:w="720"/>
        <w:gridCol w:w="720"/>
        <w:gridCol w:w="990"/>
        <w:gridCol w:w="990"/>
        <w:gridCol w:w="3600"/>
      </w:tblGrid>
      <w:tr w:rsidR="00661331" w:rsidRPr="007A0C83" w14:paraId="68A9E226" w14:textId="77777777" w:rsidTr="00661331">
        <w:trPr>
          <w:cantSplit/>
          <w:trHeight w:val="1080"/>
        </w:trPr>
        <w:tc>
          <w:tcPr>
            <w:tcW w:w="2437" w:type="dxa"/>
            <w:shd w:val="clear" w:color="auto" w:fill="D9D9D9" w:themeFill="background1" w:themeFillShade="D9"/>
            <w:vAlign w:val="center"/>
          </w:tcPr>
          <w:p w14:paraId="55F3DFD7" w14:textId="77777777" w:rsidR="00661331" w:rsidRPr="00396EC1" w:rsidRDefault="00661331" w:rsidP="00661331">
            <w:pPr>
              <w:jc w:val="center"/>
              <w:rPr>
                <w:rFonts w:ascii="Arial Narrow" w:hAnsi="Arial Narrow"/>
                <w:b/>
                <w:sz w:val="20"/>
                <w:szCs w:val="20"/>
              </w:rPr>
            </w:pPr>
            <w:r w:rsidRPr="00396EC1">
              <w:rPr>
                <w:rFonts w:ascii="Arial Narrow" w:hAnsi="Arial Narrow"/>
                <w:b/>
                <w:sz w:val="20"/>
                <w:szCs w:val="20"/>
              </w:rPr>
              <w:t>Evidence</w:t>
            </w:r>
          </w:p>
        </w:tc>
        <w:tc>
          <w:tcPr>
            <w:tcW w:w="720" w:type="dxa"/>
            <w:shd w:val="clear" w:color="auto" w:fill="D9D9D9" w:themeFill="background1" w:themeFillShade="D9"/>
            <w:vAlign w:val="center"/>
          </w:tcPr>
          <w:p w14:paraId="07DF20F0" w14:textId="77777777" w:rsidR="00661331" w:rsidRPr="00396EC1" w:rsidRDefault="00661331" w:rsidP="00661331">
            <w:pPr>
              <w:jc w:val="center"/>
              <w:rPr>
                <w:rFonts w:ascii="Arial Narrow" w:hAnsi="Arial Narrow"/>
                <w:b/>
                <w:sz w:val="20"/>
                <w:szCs w:val="20"/>
              </w:rPr>
            </w:pPr>
            <w:r>
              <w:rPr>
                <w:rFonts w:ascii="Arial Narrow" w:hAnsi="Arial Narrow"/>
                <w:b/>
                <w:sz w:val="20"/>
                <w:szCs w:val="20"/>
              </w:rPr>
              <w:t>Wolf Creek</w:t>
            </w:r>
          </w:p>
        </w:tc>
        <w:tc>
          <w:tcPr>
            <w:tcW w:w="720" w:type="dxa"/>
            <w:shd w:val="clear" w:color="auto" w:fill="D9D9D9" w:themeFill="background1" w:themeFillShade="D9"/>
            <w:vAlign w:val="center"/>
          </w:tcPr>
          <w:p w14:paraId="15FF44E6" w14:textId="77777777" w:rsidR="00661331" w:rsidRPr="00396EC1" w:rsidRDefault="00661331" w:rsidP="00661331">
            <w:pPr>
              <w:jc w:val="center"/>
              <w:rPr>
                <w:rFonts w:ascii="Arial Narrow" w:hAnsi="Arial Narrow"/>
                <w:b/>
                <w:sz w:val="20"/>
                <w:szCs w:val="20"/>
              </w:rPr>
            </w:pPr>
            <w:r>
              <w:rPr>
                <w:rFonts w:ascii="Arial Narrow" w:hAnsi="Arial Narrow"/>
                <w:b/>
                <w:sz w:val="20"/>
                <w:szCs w:val="20"/>
              </w:rPr>
              <w:t>Tinker Creek</w:t>
            </w:r>
          </w:p>
        </w:tc>
        <w:tc>
          <w:tcPr>
            <w:tcW w:w="990" w:type="dxa"/>
            <w:shd w:val="clear" w:color="auto" w:fill="D9D9D9" w:themeFill="background1" w:themeFillShade="D9"/>
            <w:vAlign w:val="center"/>
          </w:tcPr>
          <w:p w14:paraId="7D02D762" w14:textId="77777777" w:rsidR="00661331" w:rsidRPr="00396EC1" w:rsidRDefault="00661331" w:rsidP="00661331">
            <w:pPr>
              <w:jc w:val="center"/>
              <w:rPr>
                <w:rFonts w:ascii="Arial Narrow" w:hAnsi="Arial Narrow"/>
                <w:b/>
                <w:sz w:val="20"/>
                <w:szCs w:val="20"/>
              </w:rPr>
            </w:pPr>
            <w:r>
              <w:rPr>
                <w:rFonts w:ascii="Arial Narrow" w:hAnsi="Arial Narrow"/>
                <w:b/>
                <w:sz w:val="20"/>
                <w:szCs w:val="20"/>
              </w:rPr>
              <w:t>Roanoke River (202.20)</w:t>
            </w:r>
          </w:p>
        </w:tc>
        <w:tc>
          <w:tcPr>
            <w:tcW w:w="990" w:type="dxa"/>
            <w:shd w:val="clear" w:color="auto" w:fill="D9D9D9" w:themeFill="background1" w:themeFillShade="D9"/>
            <w:vAlign w:val="center"/>
          </w:tcPr>
          <w:p w14:paraId="710DD4C4" w14:textId="77777777" w:rsidR="00661331" w:rsidRPr="00396EC1" w:rsidRDefault="00661331" w:rsidP="00661331">
            <w:pPr>
              <w:jc w:val="center"/>
              <w:rPr>
                <w:rFonts w:ascii="Arial Narrow" w:hAnsi="Arial Narrow"/>
                <w:b/>
                <w:sz w:val="20"/>
                <w:szCs w:val="20"/>
              </w:rPr>
            </w:pPr>
            <w:r>
              <w:rPr>
                <w:rFonts w:ascii="Arial Narrow" w:hAnsi="Arial Narrow"/>
                <w:b/>
                <w:sz w:val="20"/>
                <w:szCs w:val="20"/>
              </w:rPr>
              <w:t>Roanoke River (198.08)</w:t>
            </w:r>
          </w:p>
        </w:tc>
        <w:tc>
          <w:tcPr>
            <w:tcW w:w="3600" w:type="dxa"/>
            <w:shd w:val="clear" w:color="auto" w:fill="D9D9D9" w:themeFill="background1" w:themeFillShade="D9"/>
            <w:vAlign w:val="center"/>
          </w:tcPr>
          <w:p w14:paraId="3AA8614F" w14:textId="77777777" w:rsidR="00661331" w:rsidRPr="00613B31" w:rsidRDefault="00661331" w:rsidP="00661331">
            <w:pPr>
              <w:jc w:val="center"/>
              <w:rPr>
                <w:rFonts w:ascii="Arial Narrow" w:hAnsi="Arial Narrow"/>
                <w:b/>
                <w:sz w:val="20"/>
                <w:szCs w:val="20"/>
              </w:rPr>
            </w:pPr>
            <w:r w:rsidRPr="00396EC1">
              <w:rPr>
                <w:rFonts w:ascii="Arial Narrow" w:hAnsi="Arial Narrow"/>
                <w:b/>
                <w:sz w:val="20"/>
                <w:szCs w:val="20"/>
              </w:rPr>
              <w:t>Explanation</w:t>
            </w:r>
          </w:p>
        </w:tc>
      </w:tr>
      <w:tr w:rsidR="00661331" w:rsidRPr="007A0C83" w14:paraId="1C25FD4F" w14:textId="77777777" w:rsidTr="00661331">
        <w:trPr>
          <w:trHeight w:val="247"/>
        </w:trPr>
        <w:tc>
          <w:tcPr>
            <w:tcW w:w="2437" w:type="dxa"/>
            <w:vAlign w:val="center"/>
          </w:tcPr>
          <w:p w14:paraId="5855AC76" w14:textId="320CFEB7" w:rsidR="00661331" w:rsidRPr="00661331" w:rsidRDefault="00661331" w:rsidP="00661331">
            <w:pPr>
              <w:jc w:val="left"/>
              <w:rPr>
                <w:rFonts w:ascii="Arial Narrow" w:hAnsi="Arial Narrow"/>
                <w:sz w:val="20"/>
                <w:szCs w:val="20"/>
                <w:highlight w:val="yellow"/>
              </w:rPr>
            </w:pPr>
            <w:r w:rsidRPr="00661331">
              <w:rPr>
                <w:rFonts w:ascii="Arial Narrow" w:hAnsi="Arial Narrow" w:cs="Calibri"/>
                <w:color w:val="000000"/>
                <w:sz w:val="20"/>
                <w:szCs w:val="20"/>
              </w:rPr>
              <w:t>Spatial Co-occurrence</w:t>
            </w:r>
          </w:p>
        </w:tc>
        <w:tc>
          <w:tcPr>
            <w:tcW w:w="720" w:type="dxa"/>
            <w:vAlign w:val="center"/>
          </w:tcPr>
          <w:p w14:paraId="69C610D8" w14:textId="559C1CB5" w:rsidR="00661331" w:rsidRPr="00661331" w:rsidRDefault="00661331" w:rsidP="00661331">
            <w:pPr>
              <w:jc w:val="center"/>
              <w:rPr>
                <w:rFonts w:ascii="Arial Narrow" w:hAnsi="Arial Narrow" w:cs="Calibri"/>
                <w:color w:val="000000"/>
                <w:sz w:val="20"/>
                <w:szCs w:val="20"/>
              </w:rPr>
            </w:pPr>
            <w:r w:rsidRPr="00661331">
              <w:rPr>
                <w:rFonts w:ascii="Arial Narrow" w:hAnsi="Arial Narrow" w:cs="Calibri"/>
                <w:color w:val="000000"/>
                <w:sz w:val="20"/>
                <w:szCs w:val="20"/>
              </w:rPr>
              <w:t>0</w:t>
            </w:r>
          </w:p>
        </w:tc>
        <w:tc>
          <w:tcPr>
            <w:tcW w:w="720" w:type="dxa"/>
            <w:vAlign w:val="center"/>
          </w:tcPr>
          <w:p w14:paraId="6E811079" w14:textId="436FCECE" w:rsidR="00661331" w:rsidRPr="00661331" w:rsidRDefault="00661331" w:rsidP="00661331">
            <w:pPr>
              <w:jc w:val="center"/>
              <w:rPr>
                <w:rFonts w:ascii="Arial Narrow" w:hAnsi="Arial Narrow" w:cs="Calibri"/>
                <w:color w:val="000000"/>
                <w:sz w:val="20"/>
                <w:szCs w:val="20"/>
              </w:rPr>
            </w:pPr>
            <w:r w:rsidRPr="00661331">
              <w:rPr>
                <w:rFonts w:ascii="Arial Narrow" w:hAnsi="Arial Narrow" w:cs="Calibri"/>
                <w:color w:val="000000"/>
                <w:sz w:val="20"/>
                <w:szCs w:val="20"/>
              </w:rPr>
              <w:t>0</w:t>
            </w:r>
          </w:p>
        </w:tc>
        <w:tc>
          <w:tcPr>
            <w:tcW w:w="990" w:type="dxa"/>
            <w:vAlign w:val="center"/>
          </w:tcPr>
          <w:p w14:paraId="6861E246" w14:textId="279ECFDE" w:rsidR="00661331" w:rsidRPr="00661331" w:rsidRDefault="00661331" w:rsidP="00661331">
            <w:pPr>
              <w:jc w:val="center"/>
              <w:rPr>
                <w:rFonts w:ascii="Arial Narrow" w:hAnsi="Arial Narrow" w:cs="Calibri"/>
                <w:color w:val="000000"/>
                <w:sz w:val="20"/>
                <w:szCs w:val="20"/>
              </w:rPr>
            </w:pPr>
            <w:r w:rsidRPr="00661331">
              <w:rPr>
                <w:rFonts w:ascii="Arial Narrow" w:hAnsi="Arial Narrow" w:cs="Calibri"/>
                <w:color w:val="000000"/>
                <w:sz w:val="20"/>
                <w:szCs w:val="20"/>
              </w:rPr>
              <w:t>0</w:t>
            </w:r>
          </w:p>
        </w:tc>
        <w:tc>
          <w:tcPr>
            <w:tcW w:w="990" w:type="dxa"/>
            <w:vAlign w:val="center"/>
          </w:tcPr>
          <w:p w14:paraId="0E327C10" w14:textId="19CA7448" w:rsidR="00661331" w:rsidRPr="00661331" w:rsidRDefault="00661331" w:rsidP="00661331">
            <w:pPr>
              <w:jc w:val="center"/>
              <w:rPr>
                <w:rFonts w:ascii="Arial Narrow" w:hAnsi="Arial Narrow"/>
                <w:color w:val="000000"/>
                <w:sz w:val="20"/>
                <w:szCs w:val="20"/>
                <w:highlight w:val="yellow"/>
              </w:rPr>
            </w:pPr>
            <w:r w:rsidRPr="00661331">
              <w:rPr>
                <w:rFonts w:ascii="Arial Narrow" w:hAnsi="Arial Narrow" w:cs="Calibri"/>
                <w:color w:val="000000"/>
                <w:sz w:val="20"/>
                <w:szCs w:val="20"/>
              </w:rPr>
              <w:t>1</w:t>
            </w:r>
          </w:p>
        </w:tc>
        <w:tc>
          <w:tcPr>
            <w:tcW w:w="3600" w:type="dxa"/>
            <w:vAlign w:val="center"/>
          </w:tcPr>
          <w:p w14:paraId="41CE231E" w14:textId="34B77FCC" w:rsidR="00661331" w:rsidRPr="00661331" w:rsidRDefault="00661331" w:rsidP="00661331">
            <w:pPr>
              <w:jc w:val="left"/>
              <w:rPr>
                <w:rFonts w:ascii="Arial Narrow" w:hAnsi="Arial Narrow"/>
                <w:color w:val="000000"/>
                <w:sz w:val="20"/>
                <w:szCs w:val="20"/>
                <w:highlight w:val="yellow"/>
              </w:rPr>
            </w:pPr>
            <w:r w:rsidRPr="00661331">
              <w:rPr>
                <w:rFonts w:ascii="Arial Narrow" w:hAnsi="Arial Narrow" w:cs="Calibri"/>
                <w:color w:val="000000"/>
                <w:sz w:val="20"/>
                <w:szCs w:val="20"/>
              </w:rPr>
              <w:t>Benthic impairment is present upstream of the dam, but the benthic impairment increases in magnitude below the dam (from VSCI average of 55.3 to 49.3).</w:t>
            </w:r>
          </w:p>
        </w:tc>
      </w:tr>
      <w:tr w:rsidR="00661331" w:rsidRPr="007A0C83" w14:paraId="34F7973A" w14:textId="77777777" w:rsidTr="00661331">
        <w:trPr>
          <w:trHeight w:val="247"/>
        </w:trPr>
        <w:tc>
          <w:tcPr>
            <w:tcW w:w="2437" w:type="dxa"/>
            <w:vAlign w:val="center"/>
          </w:tcPr>
          <w:p w14:paraId="72B761D2" w14:textId="029B7844" w:rsidR="00661331" w:rsidRPr="00661331" w:rsidRDefault="00661331" w:rsidP="00661331">
            <w:pPr>
              <w:jc w:val="left"/>
              <w:rPr>
                <w:rFonts w:ascii="Arial Narrow" w:hAnsi="Arial Narrow" w:cs="Calibri"/>
                <w:b/>
                <w:bCs/>
                <w:color w:val="000000"/>
                <w:sz w:val="20"/>
                <w:szCs w:val="20"/>
              </w:rPr>
            </w:pPr>
            <w:r w:rsidRPr="00661331">
              <w:rPr>
                <w:rFonts w:ascii="Arial Narrow" w:hAnsi="Arial Narrow" w:cs="Calibri"/>
                <w:color w:val="000000"/>
                <w:sz w:val="20"/>
                <w:szCs w:val="20"/>
              </w:rPr>
              <w:t>Causal Pathway</w:t>
            </w:r>
          </w:p>
        </w:tc>
        <w:tc>
          <w:tcPr>
            <w:tcW w:w="720" w:type="dxa"/>
            <w:vAlign w:val="center"/>
          </w:tcPr>
          <w:p w14:paraId="0030A084" w14:textId="77777777" w:rsidR="00661331" w:rsidRPr="00661331" w:rsidRDefault="00661331" w:rsidP="00661331">
            <w:pPr>
              <w:jc w:val="center"/>
              <w:rPr>
                <w:rFonts w:ascii="Arial Narrow" w:hAnsi="Arial Narrow" w:cs="Calibri"/>
                <w:b/>
                <w:color w:val="000000"/>
                <w:sz w:val="20"/>
                <w:szCs w:val="20"/>
              </w:rPr>
            </w:pPr>
          </w:p>
        </w:tc>
        <w:tc>
          <w:tcPr>
            <w:tcW w:w="720" w:type="dxa"/>
            <w:vAlign w:val="center"/>
          </w:tcPr>
          <w:p w14:paraId="648A98BB" w14:textId="77777777" w:rsidR="00661331" w:rsidRPr="00661331" w:rsidRDefault="00661331" w:rsidP="00661331">
            <w:pPr>
              <w:jc w:val="center"/>
              <w:rPr>
                <w:rFonts w:ascii="Arial Narrow" w:hAnsi="Arial Narrow" w:cs="Calibri"/>
                <w:b/>
                <w:color w:val="000000"/>
                <w:sz w:val="20"/>
                <w:szCs w:val="20"/>
              </w:rPr>
            </w:pPr>
          </w:p>
        </w:tc>
        <w:tc>
          <w:tcPr>
            <w:tcW w:w="990" w:type="dxa"/>
            <w:vAlign w:val="center"/>
          </w:tcPr>
          <w:p w14:paraId="3412214B" w14:textId="77777777" w:rsidR="00661331" w:rsidRPr="00661331" w:rsidRDefault="00661331" w:rsidP="00661331">
            <w:pPr>
              <w:jc w:val="center"/>
              <w:rPr>
                <w:rFonts w:ascii="Arial Narrow" w:hAnsi="Arial Narrow" w:cs="Calibri"/>
                <w:b/>
                <w:color w:val="000000"/>
                <w:sz w:val="20"/>
                <w:szCs w:val="20"/>
              </w:rPr>
            </w:pPr>
          </w:p>
        </w:tc>
        <w:tc>
          <w:tcPr>
            <w:tcW w:w="990" w:type="dxa"/>
            <w:vAlign w:val="center"/>
          </w:tcPr>
          <w:p w14:paraId="3693F690" w14:textId="21618B04" w:rsidR="00661331" w:rsidRPr="00661331" w:rsidRDefault="00661331" w:rsidP="00661331">
            <w:pPr>
              <w:jc w:val="center"/>
              <w:rPr>
                <w:rFonts w:ascii="Arial Narrow" w:hAnsi="Arial Narrow" w:cs="Calibri"/>
                <w:b/>
                <w:color w:val="000000"/>
                <w:sz w:val="20"/>
                <w:szCs w:val="20"/>
              </w:rPr>
            </w:pPr>
            <w:r w:rsidRPr="00661331">
              <w:rPr>
                <w:rFonts w:ascii="Arial Narrow" w:hAnsi="Arial Narrow" w:cs="Calibri"/>
                <w:color w:val="000000"/>
                <w:sz w:val="20"/>
                <w:szCs w:val="20"/>
              </w:rPr>
              <w:t>2</w:t>
            </w:r>
          </w:p>
        </w:tc>
        <w:tc>
          <w:tcPr>
            <w:tcW w:w="3600" w:type="dxa"/>
            <w:vAlign w:val="center"/>
          </w:tcPr>
          <w:p w14:paraId="6566D49E" w14:textId="361EE8C8" w:rsidR="00661331" w:rsidRPr="00661331" w:rsidRDefault="00661331" w:rsidP="00661331">
            <w:pPr>
              <w:jc w:val="left"/>
              <w:rPr>
                <w:rFonts w:ascii="Arial Narrow" w:hAnsi="Arial Narrow"/>
                <w:color w:val="000000"/>
                <w:sz w:val="20"/>
                <w:szCs w:val="20"/>
                <w:highlight w:val="yellow"/>
              </w:rPr>
            </w:pPr>
            <w:r w:rsidRPr="00661331">
              <w:rPr>
                <w:rFonts w:ascii="Arial Narrow" w:hAnsi="Arial Narrow" w:cs="Calibri"/>
                <w:color w:val="000000"/>
                <w:sz w:val="20"/>
                <w:szCs w:val="20"/>
              </w:rPr>
              <w:t xml:space="preserve">The causal pathway from nutrient loads to greater nutrient retention as a result of the dam to increased algae growth and modified feeding niches is intact.  </w:t>
            </w:r>
          </w:p>
        </w:tc>
      </w:tr>
      <w:tr w:rsidR="000F3C74" w:rsidRPr="007A0C83" w14:paraId="03881BB6" w14:textId="77777777" w:rsidTr="000F3C74">
        <w:trPr>
          <w:trHeight w:val="247"/>
        </w:trPr>
        <w:tc>
          <w:tcPr>
            <w:tcW w:w="2437" w:type="dxa"/>
            <w:vAlign w:val="center"/>
          </w:tcPr>
          <w:p w14:paraId="3724B9C3" w14:textId="2B6C0A21" w:rsidR="000F3C74" w:rsidRPr="000F3C74" w:rsidRDefault="000F3C74" w:rsidP="000F3C74">
            <w:pPr>
              <w:jc w:val="left"/>
              <w:rPr>
                <w:rFonts w:ascii="Arial Narrow" w:hAnsi="Arial Narrow" w:cs="Calibri"/>
                <w:color w:val="000000"/>
                <w:sz w:val="20"/>
                <w:szCs w:val="20"/>
              </w:rPr>
            </w:pPr>
            <w:r w:rsidRPr="000F3C74">
              <w:rPr>
                <w:rFonts w:ascii="Arial Narrow" w:hAnsi="Arial Narrow" w:cs="Calibri"/>
                <w:color w:val="000000"/>
                <w:sz w:val="20"/>
                <w:szCs w:val="20"/>
              </w:rPr>
              <w:t>Temporal Sequence</w:t>
            </w:r>
          </w:p>
        </w:tc>
        <w:tc>
          <w:tcPr>
            <w:tcW w:w="720" w:type="dxa"/>
            <w:vAlign w:val="center"/>
          </w:tcPr>
          <w:p w14:paraId="16F75000" w14:textId="77777777" w:rsidR="000F3C74" w:rsidRPr="000F3C74" w:rsidRDefault="000F3C74" w:rsidP="000F3C74">
            <w:pPr>
              <w:jc w:val="left"/>
              <w:rPr>
                <w:rFonts w:ascii="Arial Narrow" w:hAnsi="Arial Narrow" w:cs="Calibri"/>
                <w:b/>
                <w:color w:val="000000"/>
                <w:sz w:val="20"/>
                <w:szCs w:val="20"/>
              </w:rPr>
            </w:pPr>
          </w:p>
        </w:tc>
        <w:tc>
          <w:tcPr>
            <w:tcW w:w="720" w:type="dxa"/>
            <w:vAlign w:val="center"/>
          </w:tcPr>
          <w:p w14:paraId="28C4C188" w14:textId="77777777" w:rsidR="000F3C74" w:rsidRPr="000F3C74" w:rsidRDefault="000F3C74" w:rsidP="000F3C74">
            <w:pPr>
              <w:jc w:val="left"/>
              <w:rPr>
                <w:rFonts w:ascii="Arial Narrow" w:hAnsi="Arial Narrow" w:cs="Calibri"/>
                <w:b/>
                <w:color w:val="000000"/>
                <w:sz w:val="20"/>
                <w:szCs w:val="20"/>
              </w:rPr>
            </w:pPr>
          </w:p>
        </w:tc>
        <w:tc>
          <w:tcPr>
            <w:tcW w:w="990" w:type="dxa"/>
            <w:vAlign w:val="center"/>
          </w:tcPr>
          <w:p w14:paraId="1F41345B" w14:textId="77777777" w:rsidR="000F3C74" w:rsidRPr="000F3C74" w:rsidRDefault="000F3C74" w:rsidP="000F3C74">
            <w:pPr>
              <w:jc w:val="left"/>
              <w:rPr>
                <w:rFonts w:ascii="Arial Narrow" w:hAnsi="Arial Narrow" w:cs="Calibri"/>
                <w:b/>
                <w:color w:val="000000"/>
                <w:sz w:val="20"/>
                <w:szCs w:val="20"/>
              </w:rPr>
            </w:pPr>
          </w:p>
        </w:tc>
        <w:tc>
          <w:tcPr>
            <w:tcW w:w="990" w:type="dxa"/>
            <w:vAlign w:val="center"/>
          </w:tcPr>
          <w:p w14:paraId="23825882" w14:textId="6ACD65F5" w:rsidR="000F3C74" w:rsidRPr="000F3C74" w:rsidRDefault="000F3C74" w:rsidP="000F3C74">
            <w:pPr>
              <w:jc w:val="center"/>
              <w:rPr>
                <w:rFonts w:ascii="Arial Narrow" w:hAnsi="Arial Narrow" w:cs="Calibri"/>
                <w:color w:val="000000"/>
                <w:sz w:val="20"/>
                <w:szCs w:val="20"/>
              </w:rPr>
            </w:pPr>
            <w:r w:rsidRPr="000F3C74">
              <w:rPr>
                <w:rFonts w:ascii="Arial Narrow" w:hAnsi="Arial Narrow" w:cs="Calibri"/>
                <w:color w:val="000000"/>
                <w:sz w:val="20"/>
                <w:szCs w:val="20"/>
              </w:rPr>
              <w:t>-2</w:t>
            </w:r>
          </w:p>
        </w:tc>
        <w:tc>
          <w:tcPr>
            <w:tcW w:w="3600" w:type="dxa"/>
            <w:vAlign w:val="center"/>
          </w:tcPr>
          <w:p w14:paraId="5A8A37B6" w14:textId="64CD5D44" w:rsidR="000F3C74" w:rsidRPr="000F3C74" w:rsidRDefault="000F3C74" w:rsidP="000F3C74">
            <w:pPr>
              <w:jc w:val="left"/>
              <w:rPr>
                <w:rFonts w:ascii="Arial Narrow" w:hAnsi="Arial Narrow" w:cs="Calibri"/>
                <w:color w:val="000000"/>
                <w:sz w:val="20"/>
                <w:szCs w:val="20"/>
              </w:rPr>
            </w:pPr>
            <w:r w:rsidRPr="000F3C74">
              <w:rPr>
                <w:rFonts w:ascii="Arial Narrow" w:hAnsi="Arial Narrow" w:cs="Calibri"/>
                <w:color w:val="000000"/>
                <w:sz w:val="20"/>
                <w:szCs w:val="20"/>
              </w:rPr>
              <w:t>Physical dam impacts should be consistent over time, however, fall benthic scores are often above 60 and non-impaired.</w:t>
            </w:r>
          </w:p>
        </w:tc>
      </w:tr>
      <w:tr w:rsidR="00661331" w:rsidRPr="002D647C" w14:paraId="02F02E65" w14:textId="77777777" w:rsidTr="00661331">
        <w:trPr>
          <w:trHeight w:val="247"/>
        </w:trPr>
        <w:tc>
          <w:tcPr>
            <w:tcW w:w="2437" w:type="dxa"/>
            <w:vAlign w:val="center"/>
          </w:tcPr>
          <w:p w14:paraId="3533B2D5" w14:textId="7DB5B344" w:rsidR="00661331" w:rsidRPr="00661331" w:rsidRDefault="00661331" w:rsidP="00661331">
            <w:pPr>
              <w:jc w:val="left"/>
              <w:rPr>
                <w:rFonts w:ascii="Arial Narrow" w:hAnsi="Arial Narrow" w:cs="Calibri"/>
                <w:b/>
                <w:bCs/>
                <w:color w:val="000000"/>
                <w:sz w:val="20"/>
                <w:szCs w:val="20"/>
              </w:rPr>
            </w:pPr>
            <w:r w:rsidRPr="00661331">
              <w:rPr>
                <w:rFonts w:ascii="Arial Narrow" w:hAnsi="Arial Narrow" w:cs="Calibri"/>
                <w:color w:val="000000"/>
                <w:sz w:val="20"/>
                <w:szCs w:val="20"/>
              </w:rPr>
              <w:t>Stressor-Response Relationships from Other Field Studies</w:t>
            </w:r>
          </w:p>
        </w:tc>
        <w:tc>
          <w:tcPr>
            <w:tcW w:w="720" w:type="dxa"/>
            <w:vAlign w:val="center"/>
          </w:tcPr>
          <w:p w14:paraId="1B6075E4" w14:textId="77777777" w:rsidR="00661331" w:rsidRPr="00661331" w:rsidRDefault="00661331" w:rsidP="00661331">
            <w:pPr>
              <w:jc w:val="center"/>
              <w:rPr>
                <w:rFonts w:ascii="Arial Narrow" w:hAnsi="Arial Narrow" w:cs="Calibri"/>
                <w:b/>
                <w:color w:val="000000"/>
                <w:sz w:val="20"/>
                <w:szCs w:val="20"/>
              </w:rPr>
            </w:pPr>
          </w:p>
        </w:tc>
        <w:tc>
          <w:tcPr>
            <w:tcW w:w="720" w:type="dxa"/>
            <w:vAlign w:val="center"/>
          </w:tcPr>
          <w:p w14:paraId="5E975D81" w14:textId="77777777" w:rsidR="00661331" w:rsidRPr="00661331" w:rsidRDefault="00661331" w:rsidP="00661331">
            <w:pPr>
              <w:jc w:val="center"/>
              <w:rPr>
                <w:rFonts w:ascii="Arial Narrow" w:hAnsi="Arial Narrow" w:cs="Calibri"/>
                <w:b/>
                <w:color w:val="000000"/>
                <w:sz w:val="20"/>
                <w:szCs w:val="20"/>
              </w:rPr>
            </w:pPr>
          </w:p>
        </w:tc>
        <w:tc>
          <w:tcPr>
            <w:tcW w:w="990" w:type="dxa"/>
            <w:vAlign w:val="center"/>
          </w:tcPr>
          <w:p w14:paraId="6FEB081C" w14:textId="77777777" w:rsidR="00661331" w:rsidRPr="00661331" w:rsidRDefault="00661331" w:rsidP="00661331">
            <w:pPr>
              <w:jc w:val="center"/>
              <w:rPr>
                <w:rFonts w:ascii="Arial Narrow" w:hAnsi="Arial Narrow" w:cs="Calibri"/>
                <w:b/>
                <w:color w:val="000000"/>
                <w:sz w:val="20"/>
                <w:szCs w:val="20"/>
              </w:rPr>
            </w:pPr>
          </w:p>
        </w:tc>
        <w:tc>
          <w:tcPr>
            <w:tcW w:w="990" w:type="dxa"/>
            <w:vAlign w:val="center"/>
          </w:tcPr>
          <w:p w14:paraId="26A309BE" w14:textId="3EAB3296" w:rsidR="00661331" w:rsidRPr="00661331" w:rsidRDefault="00661331" w:rsidP="00661331">
            <w:pPr>
              <w:jc w:val="center"/>
              <w:rPr>
                <w:rFonts w:ascii="Arial Narrow" w:hAnsi="Arial Narrow" w:cs="Calibri"/>
                <w:b/>
                <w:color w:val="000000"/>
                <w:sz w:val="20"/>
                <w:szCs w:val="20"/>
              </w:rPr>
            </w:pPr>
            <w:r w:rsidRPr="00661331">
              <w:rPr>
                <w:rFonts w:ascii="Arial Narrow" w:hAnsi="Arial Narrow" w:cs="Calibri"/>
                <w:color w:val="000000"/>
                <w:sz w:val="20"/>
                <w:szCs w:val="20"/>
              </w:rPr>
              <w:t>2</w:t>
            </w:r>
          </w:p>
        </w:tc>
        <w:tc>
          <w:tcPr>
            <w:tcW w:w="3600" w:type="dxa"/>
            <w:vAlign w:val="center"/>
          </w:tcPr>
          <w:p w14:paraId="57B98355" w14:textId="48C07A23" w:rsidR="00661331" w:rsidRPr="00661331" w:rsidRDefault="00661331" w:rsidP="00661331">
            <w:pPr>
              <w:jc w:val="left"/>
              <w:rPr>
                <w:rFonts w:ascii="Arial Narrow" w:hAnsi="Arial Narrow"/>
                <w:b/>
                <w:color w:val="000000"/>
                <w:sz w:val="20"/>
                <w:szCs w:val="20"/>
                <w:highlight w:val="yellow"/>
              </w:rPr>
            </w:pPr>
            <w:proofErr w:type="spellStart"/>
            <w:r w:rsidRPr="00661331">
              <w:rPr>
                <w:rFonts w:ascii="Arial Narrow" w:hAnsi="Arial Narrow" w:cs="Calibri"/>
                <w:color w:val="000000"/>
                <w:sz w:val="20"/>
                <w:szCs w:val="20"/>
              </w:rPr>
              <w:t>Mellado</w:t>
            </w:r>
            <w:proofErr w:type="spellEnd"/>
            <w:r w:rsidRPr="00661331">
              <w:rPr>
                <w:rFonts w:ascii="Arial Narrow" w:hAnsi="Arial Narrow" w:cs="Calibri"/>
                <w:color w:val="000000"/>
                <w:sz w:val="20"/>
                <w:szCs w:val="20"/>
              </w:rPr>
              <w:t>-Díaz et al. (2019) found that most measures of benthic health took more than 6.8 miles downstream to recover from dam impacts. Roanoke River station 198.08 is only approximately one mile downstream from the Niagara Dam.</w:t>
            </w:r>
          </w:p>
        </w:tc>
      </w:tr>
      <w:tr w:rsidR="00661331" w:rsidRPr="002D647C" w14:paraId="7AD32802" w14:textId="77777777" w:rsidTr="00661331">
        <w:trPr>
          <w:trHeight w:val="247"/>
        </w:trPr>
        <w:tc>
          <w:tcPr>
            <w:tcW w:w="2437" w:type="dxa"/>
            <w:vAlign w:val="center"/>
          </w:tcPr>
          <w:p w14:paraId="4BD565CE" w14:textId="480961F6" w:rsidR="00661331" w:rsidRPr="00661331" w:rsidRDefault="00661331" w:rsidP="00661331">
            <w:pPr>
              <w:jc w:val="left"/>
              <w:rPr>
                <w:rFonts w:ascii="Arial Narrow" w:hAnsi="Arial Narrow" w:cs="Calibri"/>
                <w:b/>
                <w:bCs/>
                <w:color w:val="000000"/>
                <w:sz w:val="20"/>
                <w:szCs w:val="20"/>
              </w:rPr>
            </w:pPr>
            <w:r w:rsidRPr="00661331">
              <w:rPr>
                <w:rFonts w:ascii="Arial Narrow" w:hAnsi="Arial Narrow" w:cs="Calibri"/>
                <w:color w:val="000000"/>
                <w:sz w:val="20"/>
                <w:szCs w:val="20"/>
              </w:rPr>
              <w:t>Stressor-Response Relationships from Simulation Models</w:t>
            </w:r>
          </w:p>
        </w:tc>
        <w:tc>
          <w:tcPr>
            <w:tcW w:w="720" w:type="dxa"/>
            <w:vAlign w:val="center"/>
          </w:tcPr>
          <w:p w14:paraId="54AF5E96" w14:textId="77777777" w:rsidR="00661331" w:rsidRPr="00661331" w:rsidRDefault="00661331" w:rsidP="00661331">
            <w:pPr>
              <w:jc w:val="center"/>
              <w:rPr>
                <w:rFonts w:ascii="Arial Narrow" w:hAnsi="Arial Narrow" w:cs="Calibri"/>
                <w:b/>
                <w:color w:val="000000"/>
                <w:sz w:val="20"/>
                <w:szCs w:val="20"/>
              </w:rPr>
            </w:pPr>
          </w:p>
        </w:tc>
        <w:tc>
          <w:tcPr>
            <w:tcW w:w="720" w:type="dxa"/>
            <w:vAlign w:val="center"/>
          </w:tcPr>
          <w:p w14:paraId="66CC76A8" w14:textId="77777777" w:rsidR="00661331" w:rsidRPr="00661331" w:rsidRDefault="00661331" w:rsidP="00661331">
            <w:pPr>
              <w:jc w:val="center"/>
              <w:rPr>
                <w:rFonts w:ascii="Arial Narrow" w:hAnsi="Arial Narrow" w:cs="Calibri"/>
                <w:b/>
                <w:color w:val="000000"/>
                <w:sz w:val="20"/>
                <w:szCs w:val="20"/>
              </w:rPr>
            </w:pPr>
          </w:p>
        </w:tc>
        <w:tc>
          <w:tcPr>
            <w:tcW w:w="990" w:type="dxa"/>
            <w:vAlign w:val="center"/>
          </w:tcPr>
          <w:p w14:paraId="4CF106E3" w14:textId="77777777" w:rsidR="00661331" w:rsidRPr="00661331" w:rsidRDefault="00661331" w:rsidP="00661331">
            <w:pPr>
              <w:jc w:val="center"/>
              <w:rPr>
                <w:rFonts w:ascii="Arial Narrow" w:hAnsi="Arial Narrow" w:cs="Calibri"/>
                <w:b/>
                <w:color w:val="000000"/>
                <w:sz w:val="20"/>
                <w:szCs w:val="20"/>
              </w:rPr>
            </w:pPr>
          </w:p>
        </w:tc>
        <w:tc>
          <w:tcPr>
            <w:tcW w:w="990" w:type="dxa"/>
            <w:vAlign w:val="center"/>
          </w:tcPr>
          <w:p w14:paraId="55A215F8" w14:textId="2B000118" w:rsidR="00661331" w:rsidRPr="00661331" w:rsidRDefault="00661331" w:rsidP="00661331">
            <w:pPr>
              <w:jc w:val="center"/>
              <w:rPr>
                <w:rFonts w:ascii="Arial Narrow" w:hAnsi="Arial Narrow" w:cs="Calibri"/>
                <w:b/>
                <w:color w:val="000000"/>
                <w:sz w:val="20"/>
                <w:szCs w:val="20"/>
              </w:rPr>
            </w:pPr>
            <w:r w:rsidRPr="00661331">
              <w:rPr>
                <w:rFonts w:ascii="Arial Narrow" w:hAnsi="Arial Narrow" w:cs="Calibri"/>
                <w:color w:val="000000"/>
                <w:sz w:val="20"/>
                <w:szCs w:val="20"/>
              </w:rPr>
              <w:t>1</w:t>
            </w:r>
          </w:p>
        </w:tc>
        <w:tc>
          <w:tcPr>
            <w:tcW w:w="3600" w:type="dxa"/>
            <w:vAlign w:val="center"/>
          </w:tcPr>
          <w:p w14:paraId="4631AD53" w14:textId="3A36D0AF" w:rsidR="00661331" w:rsidRPr="00661331" w:rsidRDefault="00661331" w:rsidP="00661331">
            <w:pPr>
              <w:jc w:val="left"/>
              <w:rPr>
                <w:rFonts w:ascii="Arial Narrow" w:hAnsi="Arial Narrow"/>
                <w:b/>
                <w:color w:val="000000"/>
                <w:sz w:val="20"/>
                <w:szCs w:val="20"/>
                <w:highlight w:val="yellow"/>
              </w:rPr>
            </w:pPr>
            <w:r w:rsidRPr="00661331">
              <w:rPr>
                <w:rFonts w:ascii="Arial Narrow" w:hAnsi="Arial Narrow" w:cs="Calibri"/>
                <w:color w:val="000000"/>
                <w:sz w:val="20"/>
                <w:szCs w:val="20"/>
              </w:rPr>
              <w:t xml:space="preserve">Using the Soil and Water Assessment Tool (SWAT) modeling approach, Bosch (2008) demonstrated that river impoundments greatly reduced the nitrogen export from riverine systems. This means greater nutrient retention, utilization, and cycling. </w:t>
            </w:r>
          </w:p>
        </w:tc>
      </w:tr>
      <w:tr w:rsidR="00661331" w:rsidRPr="002D647C" w14:paraId="0933DC41" w14:textId="77777777" w:rsidTr="00661331">
        <w:trPr>
          <w:trHeight w:val="247"/>
        </w:trPr>
        <w:tc>
          <w:tcPr>
            <w:tcW w:w="2437" w:type="dxa"/>
            <w:vAlign w:val="center"/>
          </w:tcPr>
          <w:p w14:paraId="4B3321EB" w14:textId="30CC6C54" w:rsidR="00661331" w:rsidRPr="00661331" w:rsidRDefault="00661331" w:rsidP="00661331">
            <w:pPr>
              <w:jc w:val="left"/>
              <w:rPr>
                <w:rFonts w:ascii="Arial Narrow" w:hAnsi="Arial Narrow" w:cs="Calibri"/>
                <w:b/>
                <w:bCs/>
                <w:color w:val="000000"/>
                <w:sz w:val="20"/>
                <w:szCs w:val="20"/>
              </w:rPr>
            </w:pPr>
            <w:r w:rsidRPr="00661331">
              <w:rPr>
                <w:rFonts w:ascii="Arial Narrow" w:hAnsi="Arial Narrow" w:cs="Calibri"/>
                <w:color w:val="000000"/>
                <w:sz w:val="20"/>
                <w:szCs w:val="20"/>
              </w:rPr>
              <w:t>Consistency of Evidence</w:t>
            </w:r>
          </w:p>
        </w:tc>
        <w:tc>
          <w:tcPr>
            <w:tcW w:w="720" w:type="dxa"/>
            <w:vAlign w:val="center"/>
          </w:tcPr>
          <w:p w14:paraId="03A90ED0" w14:textId="060D6096" w:rsidR="00661331" w:rsidRPr="00661331" w:rsidRDefault="00661331" w:rsidP="00661331">
            <w:pPr>
              <w:jc w:val="center"/>
              <w:rPr>
                <w:rFonts w:ascii="Arial Narrow" w:hAnsi="Arial Narrow" w:cs="Calibri"/>
                <w:b/>
                <w:color w:val="000000"/>
                <w:sz w:val="20"/>
                <w:szCs w:val="20"/>
              </w:rPr>
            </w:pPr>
            <w:r w:rsidRPr="00661331">
              <w:rPr>
                <w:rFonts w:ascii="Arial Narrow" w:hAnsi="Arial Narrow" w:cs="Calibri"/>
                <w:color w:val="000000"/>
                <w:sz w:val="20"/>
                <w:szCs w:val="20"/>
              </w:rPr>
              <w:t>0</w:t>
            </w:r>
          </w:p>
        </w:tc>
        <w:tc>
          <w:tcPr>
            <w:tcW w:w="720" w:type="dxa"/>
            <w:vAlign w:val="center"/>
          </w:tcPr>
          <w:p w14:paraId="07A9FE42" w14:textId="6E80C65A" w:rsidR="00661331" w:rsidRPr="00661331" w:rsidRDefault="00661331" w:rsidP="00661331">
            <w:pPr>
              <w:jc w:val="center"/>
              <w:rPr>
                <w:rFonts w:ascii="Arial Narrow" w:hAnsi="Arial Narrow" w:cs="Calibri"/>
                <w:b/>
                <w:color w:val="000000"/>
                <w:sz w:val="20"/>
                <w:szCs w:val="20"/>
              </w:rPr>
            </w:pPr>
            <w:r w:rsidRPr="00661331">
              <w:rPr>
                <w:rFonts w:ascii="Arial Narrow" w:hAnsi="Arial Narrow" w:cs="Calibri"/>
                <w:color w:val="000000"/>
                <w:sz w:val="20"/>
                <w:szCs w:val="20"/>
              </w:rPr>
              <w:t>0</w:t>
            </w:r>
          </w:p>
        </w:tc>
        <w:tc>
          <w:tcPr>
            <w:tcW w:w="990" w:type="dxa"/>
            <w:vAlign w:val="center"/>
          </w:tcPr>
          <w:p w14:paraId="1F8BE266" w14:textId="6F2FA5F1" w:rsidR="00661331" w:rsidRPr="00661331" w:rsidRDefault="00661331" w:rsidP="00661331">
            <w:pPr>
              <w:jc w:val="center"/>
              <w:rPr>
                <w:rFonts w:ascii="Arial Narrow" w:hAnsi="Arial Narrow" w:cs="Calibri"/>
                <w:b/>
                <w:color w:val="000000"/>
                <w:sz w:val="20"/>
                <w:szCs w:val="20"/>
              </w:rPr>
            </w:pPr>
            <w:r w:rsidRPr="00661331">
              <w:rPr>
                <w:rFonts w:ascii="Arial Narrow" w:hAnsi="Arial Narrow" w:cs="Calibri"/>
                <w:color w:val="000000"/>
                <w:sz w:val="20"/>
                <w:szCs w:val="20"/>
              </w:rPr>
              <w:t>0</w:t>
            </w:r>
          </w:p>
        </w:tc>
        <w:tc>
          <w:tcPr>
            <w:tcW w:w="990" w:type="dxa"/>
            <w:vAlign w:val="center"/>
          </w:tcPr>
          <w:p w14:paraId="54793447" w14:textId="5680E236" w:rsidR="00661331" w:rsidRPr="00661331" w:rsidRDefault="00661331" w:rsidP="00661331">
            <w:pPr>
              <w:jc w:val="center"/>
              <w:rPr>
                <w:rFonts w:ascii="Arial Narrow" w:hAnsi="Arial Narrow" w:cs="Calibri"/>
                <w:b/>
                <w:color w:val="000000"/>
                <w:sz w:val="20"/>
                <w:szCs w:val="20"/>
              </w:rPr>
            </w:pPr>
            <w:r w:rsidRPr="00661331">
              <w:rPr>
                <w:rFonts w:ascii="Arial Narrow" w:hAnsi="Arial Narrow" w:cs="Calibri"/>
                <w:color w:val="000000"/>
                <w:sz w:val="20"/>
                <w:szCs w:val="20"/>
              </w:rPr>
              <w:t>1</w:t>
            </w:r>
          </w:p>
        </w:tc>
        <w:tc>
          <w:tcPr>
            <w:tcW w:w="3600" w:type="dxa"/>
            <w:vAlign w:val="center"/>
          </w:tcPr>
          <w:p w14:paraId="48D75DBC" w14:textId="40B8D494" w:rsidR="00661331" w:rsidRPr="00661331" w:rsidRDefault="00661331" w:rsidP="00661331">
            <w:pPr>
              <w:jc w:val="left"/>
              <w:rPr>
                <w:rFonts w:ascii="Arial Narrow" w:hAnsi="Arial Narrow"/>
                <w:b/>
                <w:color w:val="000000"/>
                <w:sz w:val="20"/>
                <w:szCs w:val="20"/>
                <w:highlight w:val="yellow"/>
              </w:rPr>
            </w:pPr>
            <w:r w:rsidRPr="00661331">
              <w:rPr>
                <w:rFonts w:ascii="Arial Narrow" w:hAnsi="Arial Narrow" w:cs="Calibri"/>
                <w:color w:val="000000"/>
                <w:sz w:val="20"/>
                <w:szCs w:val="20"/>
              </w:rPr>
              <w:t>Most evidence consistently supported the dam as a stressor.</w:t>
            </w:r>
          </w:p>
        </w:tc>
      </w:tr>
      <w:tr w:rsidR="00661331" w:rsidRPr="00661331" w14:paraId="139D2125" w14:textId="77777777" w:rsidTr="00661331">
        <w:trPr>
          <w:trHeight w:val="247"/>
        </w:trPr>
        <w:tc>
          <w:tcPr>
            <w:tcW w:w="2437" w:type="dxa"/>
            <w:vAlign w:val="center"/>
          </w:tcPr>
          <w:p w14:paraId="5CB27F6C" w14:textId="40D972D8" w:rsidR="00661331" w:rsidRPr="00661331" w:rsidRDefault="00661331" w:rsidP="00661331">
            <w:pPr>
              <w:jc w:val="right"/>
              <w:rPr>
                <w:rFonts w:ascii="Arial Narrow" w:hAnsi="Arial Narrow" w:cs="Calibri"/>
                <w:b/>
                <w:bCs/>
                <w:color w:val="000000"/>
                <w:sz w:val="20"/>
                <w:szCs w:val="20"/>
              </w:rPr>
            </w:pPr>
            <w:r w:rsidRPr="00661331">
              <w:rPr>
                <w:rFonts w:ascii="Arial Narrow" w:hAnsi="Arial Narrow" w:cs="Calibri"/>
                <w:b/>
                <w:bCs/>
                <w:color w:val="000000"/>
                <w:sz w:val="20"/>
                <w:szCs w:val="20"/>
              </w:rPr>
              <w:t>Sum</w:t>
            </w:r>
          </w:p>
        </w:tc>
        <w:tc>
          <w:tcPr>
            <w:tcW w:w="720" w:type="dxa"/>
            <w:vAlign w:val="center"/>
          </w:tcPr>
          <w:p w14:paraId="46CF4ADE" w14:textId="32BD623E" w:rsidR="00661331" w:rsidRPr="00661331" w:rsidRDefault="00661331" w:rsidP="00661331">
            <w:pPr>
              <w:jc w:val="center"/>
              <w:rPr>
                <w:rFonts w:ascii="Arial Narrow" w:hAnsi="Arial Narrow" w:cs="Calibri"/>
                <w:b/>
                <w:color w:val="000000"/>
                <w:sz w:val="20"/>
                <w:szCs w:val="20"/>
              </w:rPr>
            </w:pPr>
            <w:r w:rsidRPr="00661331">
              <w:rPr>
                <w:rFonts w:ascii="Arial Narrow" w:hAnsi="Arial Narrow" w:cs="Calibri"/>
                <w:b/>
                <w:color w:val="000000"/>
                <w:sz w:val="20"/>
                <w:szCs w:val="20"/>
              </w:rPr>
              <w:t>0</w:t>
            </w:r>
          </w:p>
        </w:tc>
        <w:tc>
          <w:tcPr>
            <w:tcW w:w="720" w:type="dxa"/>
            <w:vAlign w:val="center"/>
          </w:tcPr>
          <w:p w14:paraId="1978116D" w14:textId="00DD4F39" w:rsidR="00661331" w:rsidRPr="00661331" w:rsidRDefault="00661331" w:rsidP="00661331">
            <w:pPr>
              <w:jc w:val="center"/>
              <w:rPr>
                <w:rFonts w:ascii="Arial Narrow" w:hAnsi="Arial Narrow" w:cs="Calibri"/>
                <w:b/>
                <w:color w:val="000000"/>
                <w:sz w:val="20"/>
                <w:szCs w:val="20"/>
              </w:rPr>
            </w:pPr>
            <w:r w:rsidRPr="00661331">
              <w:rPr>
                <w:rFonts w:ascii="Arial Narrow" w:hAnsi="Arial Narrow" w:cs="Calibri"/>
                <w:b/>
                <w:color w:val="000000"/>
                <w:sz w:val="20"/>
                <w:szCs w:val="20"/>
              </w:rPr>
              <w:t>0</w:t>
            </w:r>
          </w:p>
        </w:tc>
        <w:tc>
          <w:tcPr>
            <w:tcW w:w="990" w:type="dxa"/>
            <w:vAlign w:val="center"/>
          </w:tcPr>
          <w:p w14:paraId="2E412FDB" w14:textId="17D3CF41" w:rsidR="00661331" w:rsidRPr="00661331" w:rsidRDefault="00661331" w:rsidP="00661331">
            <w:pPr>
              <w:jc w:val="center"/>
              <w:rPr>
                <w:rFonts w:ascii="Arial Narrow" w:hAnsi="Arial Narrow" w:cs="Calibri"/>
                <w:b/>
                <w:color w:val="000000"/>
                <w:sz w:val="20"/>
                <w:szCs w:val="20"/>
              </w:rPr>
            </w:pPr>
            <w:r w:rsidRPr="00661331">
              <w:rPr>
                <w:rFonts w:ascii="Arial Narrow" w:hAnsi="Arial Narrow" w:cs="Calibri"/>
                <w:b/>
                <w:color w:val="000000"/>
                <w:sz w:val="20"/>
                <w:szCs w:val="20"/>
              </w:rPr>
              <w:t>0</w:t>
            </w:r>
          </w:p>
        </w:tc>
        <w:tc>
          <w:tcPr>
            <w:tcW w:w="990" w:type="dxa"/>
            <w:vAlign w:val="center"/>
          </w:tcPr>
          <w:p w14:paraId="15D5B350" w14:textId="2EA7A433" w:rsidR="00661331" w:rsidRPr="00661331" w:rsidRDefault="000F3C74" w:rsidP="00661331">
            <w:pPr>
              <w:jc w:val="center"/>
              <w:rPr>
                <w:rFonts w:ascii="Arial Narrow" w:hAnsi="Arial Narrow" w:cs="Calibri"/>
                <w:b/>
                <w:color w:val="000000"/>
                <w:sz w:val="20"/>
                <w:szCs w:val="20"/>
              </w:rPr>
            </w:pPr>
            <w:r>
              <w:rPr>
                <w:rFonts w:ascii="Arial Narrow" w:hAnsi="Arial Narrow" w:cs="Calibri"/>
                <w:b/>
                <w:color w:val="000000"/>
                <w:sz w:val="20"/>
                <w:szCs w:val="20"/>
              </w:rPr>
              <w:t>5</w:t>
            </w:r>
          </w:p>
        </w:tc>
        <w:tc>
          <w:tcPr>
            <w:tcW w:w="3600" w:type="dxa"/>
            <w:vAlign w:val="center"/>
          </w:tcPr>
          <w:p w14:paraId="424CB3DE" w14:textId="77777777" w:rsidR="00661331" w:rsidRPr="00661331" w:rsidRDefault="00661331" w:rsidP="00661331">
            <w:pPr>
              <w:jc w:val="left"/>
              <w:rPr>
                <w:rFonts w:ascii="Arial Narrow" w:hAnsi="Arial Narrow"/>
                <w:b/>
                <w:color w:val="000000"/>
                <w:sz w:val="20"/>
                <w:szCs w:val="20"/>
                <w:highlight w:val="yellow"/>
              </w:rPr>
            </w:pPr>
          </w:p>
        </w:tc>
      </w:tr>
    </w:tbl>
    <w:p w14:paraId="6FB41E72" w14:textId="77777777" w:rsidR="002D647C" w:rsidRPr="00F46E0C" w:rsidRDefault="002D647C" w:rsidP="00BD7375">
      <w:pPr>
        <w:pStyle w:val="BlockText"/>
        <w:spacing w:before="0" w:after="0" w:line="240" w:lineRule="auto"/>
      </w:pPr>
    </w:p>
    <w:p w14:paraId="765E7B6E" w14:textId="62EF5401" w:rsidR="008A1F50" w:rsidRPr="00F46E0C" w:rsidRDefault="008A1F50" w:rsidP="008A1F50">
      <w:pPr>
        <w:pStyle w:val="Heading1"/>
        <w:rPr>
          <w:noProof/>
        </w:rPr>
      </w:pPr>
      <w:bookmarkStart w:id="271" w:name="_Ref51941508"/>
      <w:bookmarkStart w:id="272" w:name="_Toc162948208"/>
      <w:r w:rsidRPr="00F46E0C">
        <w:rPr>
          <w:noProof/>
        </w:rPr>
        <w:t>C</w:t>
      </w:r>
      <w:r w:rsidR="00F46E0C" w:rsidRPr="00F46E0C">
        <w:rPr>
          <w:noProof/>
        </w:rPr>
        <w:t>ausal Analysis Summary</w:t>
      </w:r>
      <w:bookmarkEnd w:id="272"/>
    </w:p>
    <w:p w14:paraId="675282CD" w14:textId="086FFB58" w:rsidR="00841251" w:rsidRDefault="00F46E0C" w:rsidP="00F46E0C">
      <w:pPr>
        <w:pStyle w:val="BlockText"/>
      </w:pPr>
      <w:r w:rsidRPr="00F46E0C">
        <w:rPr>
          <w:noProof/>
        </w:rPr>
        <w:t xml:space="preserve">The total causal analysis scores for each candidate stressor are shown in </w:t>
      </w:r>
      <w:r w:rsidRPr="00F46E0C">
        <w:rPr>
          <w:noProof/>
        </w:rPr>
        <w:fldChar w:fldCharType="begin"/>
      </w:r>
      <w:r w:rsidRPr="00F46E0C">
        <w:rPr>
          <w:noProof/>
        </w:rPr>
        <w:instrText xml:space="preserve"> REF _Ref51921850 \h  \* MERGEFORMAT </w:instrText>
      </w:r>
      <w:r w:rsidRPr="00F46E0C">
        <w:rPr>
          <w:noProof/>
        </w:rPr>
      </w:r>
      <w:r w:rsidRPr="00F46E0C">
        <w:rPr>
          <w:noProof/>
        </w:rPr>
        <w:fldChar w:fldCharType="separate"/>
      </w:r>
      <w:r w:rsidR="004A78BF" w:rsidRPr="007E72F0">
        <w:t xml:space="preserve">Table </w:t>
      </w:r>
      <w:r w:rsidR="004A78BF">
        <w:rPr>
          <w:noProof/>
        </w:rPr>
        <w:t>48</w:t>
      </w:r>
      <w:r w:rsidRPr="00F46E0C">
        <w:rPr>
          <w:noProof/>
        </w:rPr>
        <w:fldChar w:fldCharType="end"/>
      </w:r>
      <w:r w:rsidRPr="00F46E0C">
        <w:rPr>
          <w:noProof/>
        </w:rPr>
        <w:t xml:space="preserve">. </w:t>
      </w:r>
      <w:r w:rsidR="006145C3">
        <w:rPr>
          <w:noProof/>
        </w:rPr>
        <w:t>Twelve</w:t>
      </w:r>
      <w:r w:rsidRPr="00F46E0C">
        <w:rPr>
          <w:noProof/>
        </w:rPr>
        <w:t xml:space="preserve"> of the </w:t>
      </w:r>
      <w:r w:rsidR="006145C3">
        <w:rPr>
          <w:noProof/>
        </w:rPr>
        <w:t>twenty</w:t>
      </w:r>
      <w:r w:rsidRPr="00F46E0C">
        <w:rPr>
          <w:noProof/>
        </w:rPr>
        <w:t xml:space="preserve"> candidate stressors had causal analysis scores </w:t>
      </w:r>
      <w:r w:rsidRPr="00F46E0C">
        <w:t xml:space="preserve">≤0 and were classified as non-stressors in </w:t>
      </w:r>
      <w:r w:rsidR="008C49AB">
        <w:t xml:space="preserve">each of the Roanoke River Project streams. </w:t>
      </w:r>
      <w:r w:rsidRPr="00F46E0C">
        <w:t>F</w:t>
      </w:r>
      <w:r w:rsidR="00EE2FD8">
        <w:t>ive</w:t>
      </w:r>
      <w:r w:rsidRPr="00F46E0C">
        <w:t xml:space="preserve"> candidate stressors had causal analysis scores of 1-3 in one or more</w:t>
      </w:r>
      <w:r>
        <w:t xml:space="preserve"> stream and </w:t>
      </w:r>
      <w:r w:rsidRPr="007E72F0">
        <w:t>were classified as possible stressors</w:t>
      </w:r>
      <w:r>
        <w:t xml:space="preserve">. These included conductivity/TDS in </w:t>
      </w:r>
      <w:r w:rsidR="002444CE">
        <w:t xml:space="preserve">Tinker Creek and </w:t>
      </w:r>
      <w:r w:rsidR="006818A1">
        <w:t xml:space="preserve">the </w:t>
      </w:r>
      <w:r w:rsidR="002444CE">
        <w:t xml:space="preserve">Roanoke River (198.08), </w:t>
      </w:r>
      <w:r w:rsidR="00841251">
        <w:t xml:space="preserve">total nitrogen in Tinker Creek, </w:t>
      </w:r>
      <w:r w:rsidR="00EE2FD8">
        <w:t xml:space="preserve">sediment metals in Tinker Creek, </w:t>
      </w:r>
      <w:r w:rsidR="00841251">
        <w:t xml:space="preserve">sediment PAHs in </w:t>
      </w:r>
      <w:r w:rsidR="006818A1">
        <w:t xml:space="preserve">the </w:t>
      </w:r>
      <w:r w:rsidR="00841251">
        <w:t xml:space="preserve">Roanoke River (202.20), and sediment PCBs in </w:t>
      </w:r>
      <w:r w:rsidR="006818A1">
        <w:t xml:space="preserve">the </w:t>
      </w:r>
      <w:r w:rsidR="00841251">
        <w:t xml:space="preserve">Roanoke River (202.20 and 198.08). Five </w:t>
      </w:r>
      <w:r w:rsidRPr="007E72F0">
        <w:t xml:space="preserve">candidate stressors </w:t>
      </w:r>
      <w:r>
        <w:t>had causal analysis scores</w:t>
      </w:r>
      <w:r w:rsidRPr="007E72F0">
        <w:t xml:space="preserve"> &gt;3 </w:t>
      </w:r>
      <w:r>
        <w:t xml:space="preserve">and </w:t>
      </w:r>
      <w:r w:rsidRPr="007E72F0">
        <w:t>were classified as probable stressors</w:t>
      </w:r>
      <w:r>
        <w:t xml:space="preserve"> in one or more stream</w:t>
      </w:r>
      <w:r w:rsidR="00C622B2">
        <w:t>s</w:t>
      </w:r>
      <w:r w:rsidRPr="007E72F0">
        <w:t xml:space="preserve">. </w:t>
      </w:r>
      <w:r>
        <w:t xml:space="preserve">Results showed that sediment is a probable stressor in </w:t>
      </w:r>
      <w:r w:rsidR="00841251">
        <w:t xml:space="preserve">Wolf Creek, Tinker Creek, and </w:t>
      </w:r>
      <w:r w:rsidR="006818A1">
        <w:t xml:space="preserve">the </w:t>
      </w:r>
      <w:r w:rsidR="00841251">
        <w:t xml:space="preserve">Roanoke River (202.20); total phosphorus is a probable stressor in </w:t>
      </w:r>
      <w:r w:rsidR="006818A1">
        <w:t xml:space="preserve">the </w:t>
      </w:r>
      <w:r w:rsidR="00841251">
        <w:t xml:space="preserve">Roanoke River (202.20 and 198.08); total nitrogen is a probable stressor in </w:t>
      </w:r>
      <w:r w:rsidR="006818A1">
        <w:t xml:space="preserve">the </w:t>
      </w:r>
      <w:r w:rsidR="00841251">
        <w:t xml:space="preserve">Roanoke River (198.08); sediment PCBs are a probable stressor in Tinker Creek; and the Niagara dam is a probable stressor in </w:t>
      </w:r>
      <w:r w:rsidR="006818A1">
        <w:t xml:space="preserve">the </w:t>
      </w:r>
      <w:r w:rsidR="00841251">
        <w:t xml:space="preserve">Roanoke River (198.08). </w:t>
      </w:r>
    </w:p>
    <w:p w14:paraId="5FC4E417" w14:textId="7F8C7BA8" w:rsidR="00F46E0C" w:rsidRDefault="00F46E0C" w:rsidP="00F46E0C">
      <w:pPr>
        <w:pStyle w:val="BlockText"/>
      </w:pPr>
      <w:r w:rsidRPr="007E72F0">
        <w:fldChar w:fldCharType="begin"/>
      </w:r>
      <w:r w:rsidRPr="007E72F0">
        <w:instrText xml:space="preserve"> REF _Ref51922000 \h  \* MERGEFORMAT </w:instrText>
      </w:r>
      <w:r w:rsidRPr="007E72F0">
        <w:fldChar w:fldCharType="separate"/>
      </w:r>
      <w:r w:rsidR="004A78BF" w:rsidRPr="00966714">
        <w:t xml:space="preserve">Table </w:t>
      </w:r>
      <w:r w:rsidR="004A78BF">
        <w:rPr>
          <w:noProof/>
        </w:rPr>
        <w:t>49</w:t>
      </w:r>
      <w:r w:rsidRPr="007E72F0">
        <w:fldChar w:fldCharType="end"/>
      </w:r>
      <w:r w:rsidRPr="007E72F0">
        <w:t xml:space="preserve"> </w:t>
      </w:r>
      <w:r>
        <w:t>summarizes</w:t>
      </w:r>
      <w:r w:rsidRPr="007E72F0">
        <w:t xml:space="preserve"> the possible </w:t>
      </w:r>
      <w:r w:rsidR="00841251">
        <w:t xml:space="preserve">and probable </w:t>
      </w:r>
      <w:r w:rsidRPr="007E72F0">
        <w:t xml:space="preserve">stressors identified for </w:t>
      </w:r>
      <w:r>
        <w:t xml:space="preserve">each of the </w:t>
      </w:r>
      <w:r w:rsidR="00841251">
        <w:t>Roanoke River Project streams</w:t>
      </w:r>
      <w:r>
        <w:t xml:space="preserve">. </w:t>
      </w:r>
      <w:r w:rsidR="00841251">
        <w:t>To address the probable stressors, sediment TMDLs will be developed for Wolf Creek</w:t>
      </w:r>
      <w:r w:rsidR="006818A1">
        <w:t xml:space="preserve"> and</w:t>
      </w:r>
      <w:r w:rsidR="00841251">
        <w:t xml:space="preserve"> Tinker Creek</w:t>
      </w:r>
      <w:r w:rsidR="006818A1">
        <w:t>, and total phosphorus and total nitrogen TMDLs will be developed for the Roanoke River (198.08). The sediment stressor in the Roanoke River (202.20) will be addressed through the existing sediment TMDL for the Roanoke River (</w:t>
      </w:r>
      <w:r w:rsidR="00AD3E85">
        <w:t>Louis Berger Group, 2006</w:t>
      </w:r>
      <w:r w:rsidR="006818A1">
        <w:t>), and t</w:t>
      </w:r>
      <w:r w:rsidR="00841251">
        <w:t>he sediment PCB stressor in Tinker Creek will be addressed through the existing PCB TMDL for the Roanoke River</w:t>
      </w:r>
      <w:r w:rsidR="00521880">
        <w:t xml:space="preserve"> (Tetra Tech, 2009)</w:t>
      </w:r>
      <w:r w:rsidR="00841251">
        <w:t xml:space="preserve">. </w:t>
      </w:r>
      <w:r w:rsidR="00521880">
        <w:t xml:space="preserve">While still a stressor, the Niagara Dam is not a pollutant and cannot be addressed through TMDL development. </w:t>
      </w:r>
    </w:p>
    <w:p w14:paraId="0929A230" w14:textId="7204B706" w:rsidR="00F46E0C" w:rsidRPr="007E72F0" w:rsidRDefault="00F46E0C" w:rsidP="00F46E0C">
      <w:pPr>
        <w:pStyle w:val="Caption"/>
      </w:pPr>
      <w:bookmarkStart w:id="273" w:name="_Ref51921850"/>
      <w:bookmarkStart w:id="274" w:name="_Toc162948315"/>
      <w:r w:rsidRPr="007E72F0">
        <w:t xml:space="preserve">Table </w:t>
      </w:r>
      <w:r w:rsidRPr="007E72F0">
        <w:rPr>
          <w:noProof/>
        </w:rPr>
        <w:fldChar w:fldCharType="begin"/>
      </w:r>
      <w:r w:rsidRPr="007E72F0">
        <w:rPr>
          <w:noProof/>
        </w:rPr>
        <w:instrText xml:space="preserve"> SEQ Table \* ARABIC </w:instrText>
      </w:r>
      <w:r w:rsidRPr="007E72F0">
        <w:rPr>
          <w:noProof/>
        </w:rPr>
        <w:fldChar w:fldCharType="separate"/>
      </w:r>
      <w:r w:rsidR="004A78BF">
        <w:rPr>
          <w:noProof/>
        </w:rPr>
        <w:t>48</w:t>
      </w:r>
      <w:r w:rsidRPr="007E72F0">
        <w:rPr>
          <w:noProof/>
        </w:rPr>
        <w:fldChar w:fldCharType="end"/>
      </w:r>
      <w:bookmarkEnd w:id="273"/>
      <w:r w:rsidRPr="007E72F0">
        <w:t>. Total causal analysis scores by stream and by candidate stressor. Green indicates non-stressors, orange indicates possible stressors, and red indicates probable stressors.</w:t>
      </w:r>
      <w:bookmarkEnd w:id="274"/>
    </w:p>
    <w:tbl>
      <w:tblPr>
        <w:tblW w:w="9274" w:type="dxa"/>
        <w:tblInd w:w="78" w:type="dxa"/>
        <w:tblLayout w:type="fixed"/>
        <w:tblLook w:val="0000" w:firstRow="0" w:lastRow="0" w:firstColumn="0" w:lastColumn="0" w:noHBand="0" w:noVBand="0"/>
      </w:tblPr>
      <w:tblGrid>
        <w:gridCol w:w="3244"/>
        <w:gridCol w:w="1800"/>
        <w:gridCol w:w="1080"/>
        <w:gridCol w:w="1710"/>
        <w:gridCol w:w="1440"/>
      </w:tblGrid>
      <w:tr w:rsidR="00D04A12" w:rsidRPr="007E72F0" w14:paraId="7BDFBD44" w14:textId="77777777" w:rsidTr="00D04A12">
        <w:trPr>
          <w:cantSplit/>
          <w:trHeight w:val="786"/>
        </w:trPr>
        <w:tc>
          <w:tcPr>
            <w:tcW w:w="3244" w:type="dxa"/>
            <w:tcBorders>
              <w:top w:val="single" w:sz="6" w:space="0" w:color="auto"/>
              <w:left w:val="single" w:sz="6" w:space="0" w:color="auto"/>
              <w:bottom w:val="single" w:sz="6" w:space="0" w:color="auto"/>
              <w:right w:val="single" w:sz="6" w:space="0" w:color="auto"/>
            </w:tcBorders>
            <w:shd w:val="clear" w:color="auto" w:fill="E0E0E0"/>
            <w:vAlign w:val="center"/>
          </w:tcPr>
          <w:p w14:paraId="1D3FC18A" w14:textId="0C252E4D" w:rsidR="00D04A12" w:rsidRPr="00D04A12" w:rsidRDefault="00D04A12" w:rsidP="00D04A12">
            <w:pPr>
              <w:jc w:val="center"/>
              <w:rPr>
                <w:rFonts w:ascii="Arial Narrow" w:hAnsi="Arial Narrow"/>
                <w:b/>
                <w:sz w:val="20"/>
                <w:szCs w:val="20"/>
              </w:rPr>
            </w:pPr>
          </w:p>
        </w:tc>
        <w:tc>
          <w:tcPr>
            <w:tcW w:w="1800" w:type="dxa"/>
            <w:tcBorders>
              <w:top w:val="single" w:sz="6" w:space="0" w:color="auto"/>
              <w:left w:val="single" w:sz="6" w:space="0" w:color="auto"/>
              <w:bottom w:val="single" w:sz="6" w:space="0" w:color="auto"/>
              <w:right w:val="single" w:sz="6" w:space="0" w:color="auto"/>
            </w:tcBorders>
            <w:shd w:val="clear" w:color="auto" w:fill="E0E0E0"/>
            <w:vAlign w:val="center"/>
          </w:tcPr>
          <w:p w14:paraId="31F08428" w14:textId="5B2F884B" w:rsidR="00D04A12" w:rsidRPr="00D04A12" w:rsidRDefault="00D04A12" w:rsidP="00D04A12">
            <w:pPr>
              <w:jc w:val="center"/>
              <w:rPr>
                <w:rFonts w:ascii="Arial Narrow" w:hAnsi="Arial Narrow"/>
                <w:b/>
                <w:sz w:val="20"/>
                <w:szCs w:val="20"/>
              </w:rPr>
            </w:pPr>
            <w:r w:rsidRPr="00D04A12">
              <w:rPr>
                <w:rFonts w:ascii="Arial Narrow" w:hAnsi="Arial Narrow" w:cs="Calibri"/>
                <w:b/>
                <w:bCs/>
                <w:color w:val="000000"/>
                <w:sz w:val="20"/>
                <w:szCs w:val="20"/>
              </w:rPr>
              <w:t>Wolf Creek</w:t>
            </w:r>
          </w:p>
        </w:tc>
        <w:tc>
          <w:tcPr>
            <w:tcW w:w="1080" w:type="dxa"/>
            <w:tcBorders>
              <w:top w:val="single" w:sz="6" w:space="0" w:color="auto"/>
              <w:left w:val="single" w:sz="6" w:space="0" w:color="auto"/>
              <w:bottom w:val="single" w:sz="6" w:space="0" w:color="auto"/>
              <w:right w:val="single" w:sz="6" w:space="0" w:color="auto"/>
            </w:tcBorders>
            <w:shd w:val="clear" w:color="auto" w:fill="E0E0E0"/>
            <w:vAlign w:val="center"/>
          </w:tcPr>
          <w:p w14:paraId="51CE7BD0" w14:textId="498C7AE4" w:rsidR="00D04A12" w:rsidRPr="00D04A12" w:rsidRDefault="00D04A12" w:rsidP="00D04A12">
            <w:pPr>
              <w:jc w:val="center"/>
              <w:rPr>
                <w:rFonts w:ascii="Arial Narrow" w:hAnsi="Arial Narrow"/>
                <w:b/>
                <w:sz w:val="20"/>
                <w:szCs w:val="20"/>
              </w:rPr>
            </w:pPr>
            <w:r w:rsidRPr="00D04A12">
              <w:rPr>
                <w:rFonts w:ascii="Arial Narrow" w:hAnsi="Arial Narrow" w:cs="Calibri"/>
                <w:b/>
                <w:bCs/>
                <w:color w:val="000000"/>
                <w:sz w:val="20"/>
                <w:szCs w:val="20"/>
              </w:rPr>
              <w:t>Tinker Creek</w:t>
            </w:r>
          </w:p>
        </w:tc>
        <w:tc>
          <w:tcPr>
            <w:tcW w:w="1710" w:type="dxa"/>
            <w:tcBorders>
              <w:top w:val="single" w:sz="6" w:space="0" w:color="auto"/>
              <w:left w:val="single" w:sz="6" w:space="0" w:color="auto"/>
              <w:bottom w:val="single" w:sz="6" w:space="0" w:color="auto"/>
              <w:right w:val="single" w:sz="6" w:space="0" w:color="auto"/>
            </w:tcBorders>
            <w:shd w:val="clear" w:color="auto" w:fill="E0E0E0"/>
            <w:vAlign w:val="center"/>
          </w:tcPr>
          <w:p w14:paraId="072D3BA0" w14:textId="2D5347E8" w:rsidR="00D04A12" w:rsidRPr="00D04A12" w:rsidRDefault="00D04A12" w:rsidP="00D04A12">
            <w:pPr>
              <w:jc w:val="center"/>
              <w:rPr>
                <w:rFonts w:ascii="Arial Narrow" w:hAnsi="Arial Narrow"/>
                <w:b/>
                <w:sz w:val="20"/>
                <w:szCs w:val="20"/>
              </w:rPr>
            </w:pPr>
            <w:r w:rsidRPr="00D04A12">
              <w:rPr>
                <w:rFonts w:ascii="Arial Narrow" w:hAnsi="Arial Narrow" w:cs="Calibri"/>
                <w:b/>
                <w:bCs/>
                <w:color w:val="000000"/>
                <w:sz w:val="20"/>
                <w:szCs w:val="20"/>
              </w:rPr>
              <w:t>Roanoke River (202.20)</w:t>
            </w:r>
          </w:p>
        </w:tc>
        <w:tc>
          <w:tcPr>
            <w:tcW w:w="1440" w:type="dxa"/>
            <w:tcBorders>
              <w:top w:val="single" w:sz="6" w:space="0" w:color="auto"/>
              <w:left w:val="single" w:sz="6" w:space="0" w:color="auto"/>
              <w:bottom w:val="single" w:sz="6" w:space="0" w:color="auto"/>
              <w:right w:val="single" w:sz="6" w:space="0" w:color="auto"/>
            </w:tcBorders>
            <w:shd w:val="clear" w:color="auto" w:fill="E0E0E0"/>
            <w:vAlign w:val="center"/>
          </w:tcPr>
          <w:p w14:paraId="730AAEC5" w14:textId="17A55BAD" w:rsidR="00D04A12" w:rsidRPr="00D04A12" w:rsidRDefault="00D04A12" w:rsidP="00D04A12">
            <w:pPr>
              <w:jc w:val="center"/>
              <w:rPr>
                <w:rFonts w:ascii="Arial Narrow" w:hAnsi="Arial Narrow"/>
                <w:b/>
                <w:sz w:val="20"/>
                <w:szCs w:val="20"/>
              </w:rPr>
            </w:pPr>
            <w:r w:rsidRPr="00D04A12">
              <w:rPr>
                <w:rFonts w:ascii="Arial Narrow" w:hAnsi="Arial Narrow" w:cs="Calibri"/>
                <w:b/>
                <w:bCs/>
                <w:color w:val="000000"/>
                <w:sz w:val="20"/>
                <w:szCs w:val="20"/>
              </w:rPr>
              <w:t>Roanoke River (198.08)</w:t>
            </w:r>
          </w:p>
        </w:tc>
      </w:tr>
      <w:tr w:rsidR="00D04A12" w:rsidRPr="007E72F0" w14:paraId="0FCC6B02" w14:textId="77777777" w:rsidTr="00D04A12">
        <w:trPr>
          <w:trHeight w:val="247"/>
        </w:trPr>
        <w:tc>
          <w:tcPr>
            <w:tcW w:w="3244" w:type="dxa"/>
            <w:tcBorders>
              <w:top w:val="single" w:sz="6" w:space="0" w:color="auto"/>
              <w:left w:val="single" w:sz="6" w:space="0" w:color="auto"/>
              <w:bottom w:val="single" w:sz="6" w:space="0" w:color="auto"/>
              <w:right w:val="single" w:sz="6" w:space="0" w:color="auto"/>
            </w:tcBorders>
            <w:vAlign w:val="bottom"/>
          </w:tcPr>
          <w:p w14:paraId="516CC3BA" w14:textId="4257219C" w:rsidR="00D04A12" w:rsidRPr="00D04A12" w:rsidRDefault="00D04A12" w:rsidP="00D04A12">
            <w:pPr>
              <w:rPr>
                <w:rFonts w:ascii="Arial Narrow" w:hAnsi="Arial Narrow"/>
                <w:color w:val="000000"/>
                <w:sz w:val="20"/>
                <w:szCs w:val="20"/>
              </w:rPr>
            </w:pPr>
            <w:r w:rsidRPr="00D04A12">
              <w:rPr>
                <w:rFonts w:ascii="Arial Narrow" w:hAnsi="Arial Narrow" w:cs="Calibri"/>
                <w:color w:val="000000"/>
                <w:sz w:val="20"/>
                <w:szCs w:val="20"/>
              </w:rPr>
              <w:t>Temperature</w:t>
            </w:r>
          </w:p>
        </w:tc>
        <w:tc>
          <w:tcPr>
            <w:tcW w:w="1800" w:type="dxa"/>
            <w:tcBorders>
              <w:top w:val="single" w:sz="6" w:space="0" w:color="auto"/>
              <w:left w:val="single" w:sz="6" w:space="0" w:color="auto"/>
              <w:bottom w:val="single" w:sz="6" w:space="0" w:color="auto"/>
              <w:right w:val="single" w:sz="6" w:space="0" w:color="auto"/>
            </w:tcBorders>
            <w:shd w:val="clear" w:color="auto" w:fill="C5E0B3" w:themeFill="accent6" w:themeFillTint="66"/>
            <w:vAlign w:val="bottom"/>
          </w:tcPr>
          <w:p w14:paraId="549D914F" w14:textId="63409084" w:rsidR="00D04A12" w:rsidRPr="00D04A12" w:rsidRDefault="00D04A12" w:rsidP="00D04A12">
            <w:pPr>
              <w:jc w:val="center"/>
              <w:rPr>
                <w:rFonts w:ascii="Arial Narrow" w:hAnsi="Arial Narrow"/>
                <w:color w:val="000000" w:themeColor="text1"/>
                <w:sz w:val="20"/>
                <w:szCs w:val="20"/>
              </w:rPr>
            </w:pPr>
            <w:r w:rsidRPr="00D04A12">
              <w:rPr>
                <w:rFonts w:ascii="Arial Narrow" w:hAnsi="Arial Narrow" w:cs="Calibri"/>
                <w:color w:val="000000" w:themeColor="text1"/>
                <w:sz w:val="20"/>
                <w:szCs w:val="20"/>
              </w:rPr>
              <w:t>-14</w:t>
            </w:r>
          </w:p>
        </w:tc>
        <w:tc>
          <w:tcPr>
            <w:tcW w:w="1080" w:type="dxa"/>
            <w:tcBorders>
              <w:top w:val="single" w:sz="6" w:space="0" w:color="auto"/>
              <w:left w:val="single" w:sz="6" w:space="0" w:color="auto"/>
              <w:bottom w:val="single" w:sz="6" w:space="0" w:color="auto"/>
              <w:right w:val="single" w:sz="6" w:space="0" w:color="auto"/>
            </w:tcBorders>
            <w:shd w:val="clear" w:color="auto" w:fill="C5E0B3"/>
            <w:vAlign w:val="bottom"/>
          </w:tcPr>
          <w:p w14:paraId="7518D5D4" w14:textId="3EF4FC95" w:rsidR="00D04A12" w:rsidRPr="00D04A12" w:rsidRDefault="00D04A12" w:rsidP="00D04A12">
            <w:pPr>
              <w:jc w:val="center"/>
              <w:rPr>
                <w:rFonts w:ascii="Arial Narrow" w:hAnsi="Arial Narrow" w:cs="Calibri"/>
                <w:color w:val="000000" w:themeColor="text1"/>
                <w:sz w:val="20"/>
                <w:szCs w:val="20"/>
              </w:rPr>
            </w:pPr>
            <w:r w:rsidRPr="00D04A12">
              <w:rPr>
                <w:rFonts w:ascii="Arial Narrow" w:hAnsi="Arial Narrow" w:cs="Calibri"/>
                <w:color w:val="000000" w:themeColor="text1"/>
                <w:sz w:val="20"/>
                <w:szCs w:val="20"/>
              </w:rPr>
              <w:t>-12</w:t>
            </w:r>
          </w:p>
        </w:tc>
        <w:tc>
          <w:tcPr>
            <w:tcW w:w="1710" w:type="dxa"/>
            <w:tcBorders>
              <w:top w:val="single" w:sz="6" w:space="0" w:color="auto"/>
              <w:left w:val="single" w:sz="6" w:space="0" w:color="auto"/>
              <w:bottom w:val="single" w:sz="6" w:space="0" w:color="auto"/>
              <w:right w:val="single" w:sz="6" w:space="0" w:color="auto"/>
            </w:tcBorders>
            <w:shd w:val="clear" w:color="auto" w:fill="C5E0B3"/>
            <w:vAlign w:val="bottom"/>
          </w:tcPr>
          <w:p w14:paraId="77F4720F" w14:textId="578AB7CB" w:rsidR="00D04A12" w:rsidRPr="00D04A12" w:rsidRDefault="00D04A12" w:rsidP="00D04A12">
            <w:pPr>
              <w:jc w:val="center"/>
              <w:rPr>
                <w:rFonts w:ascii="Arial Narrow" w:hAnsi="Arial Narrow" w:cs="Calibri"/>
                <w:color w:val="000000" w:themeColor="text1"/>
                <w:sz w:val="20"/>
                <w:szCs w:val="20"/>
              </w:rPr>
            </w:pPr>
            <w:r w:rsidRPr="00D04A12">
              <w:rPr>
                <w:rFonts w:ascii="Arial Narrow" w:hAnsi="Arial Narrow" w:cs="Calibri"/>
                <w:color w:val="000000" w:themeColor="text1"/>
                <w:sz w:val="20"/>
                <w:szCs w:val="20"/>
              </w:rPr>
              <w:t>-6</w:t>
            </w:r>
          </w:p>
        </w:tc>
        <w:tc>
          <w:tcPr>
            <w:tcW w:w="1440" w:type="dxa"/>
            <w:tcBorders>
              <w:top w:val="single" w:sz="6" w:space="0" w:color="auto"/>
              <w:left w:val="single" w:sz="6" w:space="0" w:color="auto"/>
              <w:bottom w:val="single" w:sz="6" w:space="0" w:color="auto"/>
              <w:right w:val="single" w:sz="6" w:space="0" w:color="auto"/>
            </w:tcBorders>
            <w:shd w:val="clear" w:color="auto" w:fill="C5E0B3"/>
            <w:vAlign w:val="bottom"/>
          </w:tcPr>
          <w:p w14:paraId="3BDC5C44" w14:textId="171AA9C4" w:rsidR="00D04A12" w:rsidRPr="00D04A12" w:rsidRDefault="00D04A12" w:rsidP="00D04A12">
            <w:pPr>
              <w:jc w:val="center"/>
              <w:rPr>
                <w:rFonts w:ascii="Arial Narrow" w:hAnsi="Arial Narrow" w:cs="Calibri"/>
                <w:color w:val="000000" w:themeColor="text1"/>
                <w:sz w:val="20"/>
                <w:szCs w:val="20"/>
              </w:rPr>
            </w:pPr>
            <w:r w:rsidRPr="00D04A12">
              <w:rPr>
                <w:rFonts w:ascii="Arial Narrow" w:hAnsi="Arial Narrow" w:cs="Calibri"/>
                <w:color w:val="000000" w:themeColor="text1"/>
                <w:sz w:val="20"/>
                <w:szCs w:val="20"/>
              </w:rPr>
              <w:t>-6</w:t>
            </w:r>
          </w:p>
        </w:tc>
      </w:tr>
      <w:tr w:rsidR="00D04A12" w:rsidRPr="007E72F0" w14:paraId="6C11745A" w14:textId="77777777" w:rsidTr="00D04A12">
        <w:trPr>
          <w:trHeight w:val="247"/>
        </w:trPr>
        <w:tc>
          <w:tcPr>
            <w:tcW w:w="3244" w:type="dxa"/>
            <w:tcBorders>
              <w:top w:val="single" w:sz="6" w:space="0" w:color="auto"/>
              <w:left w:val="single" w:sz="6" w:space="0" w:color="auto"/>
              <w:bottom w:val="single" w:sz="6" w:space="0" w:color="auto"/>
              <w:right w:val="single" w:sz="6" w:space="0" w:color="auto"/>
            </w:tcBorders>
            <w:vAlign w:val="bottom"/>
          </w:tcPr>
          <w:p w14:paraId="3031D816" w14:textId="24308478" w:rsidR="00D04A12" w:rsidRPr="00D04A12" w:rsidRDefault="00D04A12" w:rsidP="00D04A12">
            <w:pPr>
              <w:rPr>
                <w:rFonts w:ascii="Arial Narrow" w:hAnsi="Arial Narrow"/>
                <w:color w:val="000000"/>
                <w:sz w:val="20"/>
                <w:szCs w:val="20"/>
              </w:rPr>
            </w:pPr>
            <w:r w:rsidRPr="00D04A12">
              <w:rPr>
                <w:rFonts w:ascii="Arial Narrow" w:hAnsi="Arial Narrow" w:cs="Calibri"/>
                <w:color w:val="000000"/>
                <w:sz w:val="20"/>
                <w:szCs w:val="20"/>
              </w:rPr>
              <w:t>pH</w:t>
            </w:r>
          </w:p>
        </w:tc>
        <w:tc>
          <w:tcPr>
            <w:tcW w:w="1800" w:type="dxa"/>
            <w:tcBorders>
              <w:top w:val="single" w:sz="6" w:space="0" w:color="auto"/>
              <w:left w:val="single" w:sz="6" w:space="0" w:color="auto"/>
              <w:bottom w:val="single" w:sz="6" w:space="0" w:color="auto"/>
              <w:right w:val="single" w:sz="6" w:space="0" w:color="auto"/>
            </w:tcBorders>
            <w:shd w:val="clear" w:color="auto" w:fill="C5E0B3"/>
            <w:vAlign w:val="bottom"/>
          </w:tcPr>
          <w:p w14:paraId="033B8BDA" w14:textId="3BFCACBA" w:rsidR="00D04A12" w:rsidRPr="00D04A12" w:rsidRDefault="00D04A12" w:rsidP="00D04A12">
            <w:pPr>
              <w:jc w:val="center"/>
              <w:rPr>
                <w:rFonts w:ascii="Arial Narrow" w:hAnsi="Arial Narrow"/>
                <w:color w:val="000000" w:themeColor="text1"/>
                <w:sz w:val="20"/>
                <w:szCs w:val="20"/>
              </w:rPr>
            </w:pPr>
            <w:r w:rsidRPr="00D04A12">
              <w:rPr>
                <w:rFonts w:ascii="Arial Narrow" w:hAnsi="Arial Narrow" w:cs="Calibri"/>
                <w:color w:val="000000" w:themeColor="text1"/>
                <w:sz w:val="20"/>
                <w:szCs w:val="20"/>
              </w:rPr>
              <w:t>-17</w:t>
            </w:r>
          </w:p>
        </w:tc>
        <w:tc>
          <w:tcPr>
            <w:tcW w:w="1080" w:type="dxa"/>
            <w:tcBorders>
              <w:top w:val="single" w:sz="6" w:space="0" w:color="auto"/>
              <w:left w:val="single" w:sz="6" w:space="0" w:color="auto"/>
              <w:bottom w:val="single" w:sz="6" w:space="0" w:color="auto"/>
              <w:right w:val="single" w:sz="6" w:space="0" w:color="auto"/>
            </w:tcBorders>
            <w:shd w:val="clear" w:color="auto" w:fill="C5E0B3"/>
            <w:vAlign w:val="bottom"/>
          </w:tcPr>
          <w:p w14:paraId="4C63319D" w14:textId="677B33E9" w:rsidR="00D04A12" w:rsidRPr="00D04A12" w:rsidRDefault="00D04A12" w:rsidP="00D04A12">
            <w:pPr>
              <w:jc w:val="center"/>
              <w:rPr>
                <w:rFonts w:ascii="Arial Narrow" w:hAnsi="Arial Narrow" w:cs="Calibri"/>
                <w:color w:val="000000" w:themeColor="text1"/>
                <w:sz w:val="20"/>
                <w:szCs w:val="20"/>
              </w:rPr>
            </w:pPr>
            <w:r w:rsidRPr="00D04A12">
              <w:rPr>
                <w:rFonts w:ascii="Arial Narrow" w:hAnsi="Arial Narrow" w:cs="Calibri"/>
                <w:color w:val="000000" w:themeColor="text1"/>
                <w:sz w:val="20"/>
                <w:szCs w:val="20"/>
              </w:rPr>
              <w:t>-17</w:t>
            </w:r>
          </w:p>
        </w:tc>
        <w:tc>
          <w:tcPr>
            <w:tcW w:w="1710" w:type="dxa"/>
            <w:tcBorders>
              <w:top w:val="single" w:sz="6" w:space="0" w:color="auto"/>
              <w:left w:val="single" w:sz="6" w:space="0" w:color="auto"/>
              <w:bottom w:val="single" w:sz="6" w:space="0" w:color="auto"/>
              <w:right w:val="single" w:sz="6" w:space="0" w:color="auto"/>
            </w:tcBorders>
            <w:shd w:val="clear" w:color="auto" w:fill="C5E0B3"/>
            <w:vAlign w:val="bottom"/>
          </w:tcPr>
          <w:p w14:paraId="66DF4BE6" w14:textId="7C835166" w:rsidR="00D04A12" w:rsidRPr="00D04A12" w:rsidRDefault="00D04A12" w:rsidP="00D04A12">
            <w:pPr>
              <w:jc w:val="center"/>
              <w:rPr>
                <w:rFonts w:ascii="Arial Narrow" w:hAnsi="Arial Narrow" w:cs="Calibri"/>
                <w:color w:val="000000" w:themeColor="text1"/>
                <w:sz w:val="20"/>
                <w:szCs w:val="20"/>
              </w:rPr>
            </w:pPr>
            <w:r w:rsidRPr="00D04A12">
              <w:rPr>
                <w:rFonts w:ascii="Arial Narrow" w:hAnsi="Arial Narrow" w:cs="Calibri"/>
                <w:color w:val="000000" w:themeColor="text1"/>
                <w:sz w:val="20"/>
                <w:szCs w:val="20"/>
              </w:rPr>
              <w:t>-19</w:t>
            </w:r>
          </w:p>
        </w:tc>
        <w:tc>
          <w:tcPr>
            <w:tcW w:w="1440" w:type="dxa"/>
            <w:tcBorders>
              <w:top w:val="single" w:sz="6" w:space="0" w:color="auto"/>
              <w:left w:val="single" w:sz="6" w:space="0" w:color="auto"/>
              <w:bottom w:val="single" w:sz="6" w:space="0" w:color="auto"/>
              <w:right w:val="single" w:sz="6" w:space="0" w:color="auto"/>
            </w:tcBorders>
            <w:shd w:val="clear" w:color="auto" w:fill="C5E0B3"/>
            <w:vAlign w:val="bottom"/>
          </w:tcPr>
          <w:p w14:paraId="1E70E517" w14:textId="4CE40AAC" w:rsidR="00D04A12" w:rsidRPr="00D04A12" w:rsidRDefault="00D04A12" w:rsidP="00D04A12">
            <w:pPr>
              <w:jc w:val="center"/>
              <w:rPr>
                <w:rFonts w:ascii="Arial Narrow" w:hAnsi="Arial Narrow" w:cs="Calibri"/>
                <w:color w:val="000000" w:themeColor="text1"/>
                <w:sz w:val="20"/>
                <w:szCs w:val="20"/>
              </w:rPr>
            </w:pPr>
            <w:r w:rsidRPr="00D04A12">
              <w:rPr>
                <w:rFonts w:ascii="Arial Narrow" w:hAnsi="Arial Narrow" w:cs="Calibri"/>
                <w:color w:val="000000" w:themeColor="text1"/>
                <w:sz w:val="20"/>
                <w:szCs w:val="20"/>
              </w:rPr>
              <w:t>-21</w:t>
            </w:r>
          </w:p>
        </w:tc>
      </w:tr>
      <w:tr w:rsidR="00D04A12" w:rsidRPr="007E72F0" w14:paraId="27E4D4FD" w14:textId="77777777" w:rsidTr="00D04A12">
        <w:trPr>
          <w:trHeight w:val="247"/>
        </w:trPr>
        <w:tc>
          <w:tcPr>
            <w:tcW w:w="3244" w:type="dxa"/>
            <w:tcBorders>
              <w:top w:val="single" w:sz="6" w:space="0" w:color="auto"/>
              <w:left w:val="single" w:sz="6" w:space="0" w:color="auto"/>
              <w:bottom w:val="single" w:sz="6" w:space="0" w:color="auto"/>
              <w:right w:val="single" w:sz="6" w:space="0" w:color="auto"/>
            </w:tcBorders>
            <w:vAlign w:val="bottom"/>
          </w:tcPr>
          <w:p w14:paraId="74A99F19" w14:textId="624CB2F9" w:rsidR="00D04A12" w:rsidRPr="00D04A12" w:rsidRDefault="00D04A12" w:rsidP="00D04A12">
            <w:pPr>
              <w:rPr>
                <w:rFonts w:ascii="Arial Narrow" w:hAnsi="Arial Narrow"/>
                <w:color w:val="000000"/>
                <w:sz w:val="20"/>
                <w:szCs w:val="20"/>
                <w:highlight w:val="yellow"/>
              </w:rPr>
            </w:pPr>
            <w:r w:rsidRPr="00D04A12">
              <w:rPr>
                <w:rFonts w:ascii="Arial Narrow" w:hAnsi="Arial Narrow" w:cs="Calibri"/>
                <w:color w:val="000000"/>
                <w:sz w:val="20"/>
                <w:szCs w:val="20"/>
              </w:rPr>
              <w:t>DO</w:t>
            </w:r>
          </w:p>
        </w:tc>
        <w:tc>
          <w:tcPr>
            <w:tcW w:w="1800" w:type="dxa"/>
            <w:tcBorders>
              <w:top w:val="single" w:sz="6" w:space="0" w:color="auto"/>
              <w:left w:val="single" w:sz="6" w:space="0" w:color="auto"/>
              <w:bottom w:val="single" w:sz="6" w:space="0" w:color="auto"/>
              <w:right w:val="single" w:sz="6" w:space="0" w:color="auto"/>
            </w:tcBorders>
            <w:shd w:val="clear" w:color="auto" w:fill="C5E0B3"/>
            <w:vAlign w:val="bottom"/>
          </w:tcPr>
          <w:p w14:paraId="2A496C68" w14:textId="0B6E4AEE" w:rsidR="00D04A12" w:rsidRPr="00D04A12" w:rsidRDefault="00D04A12" w:rsidP="00D04A12">
            <w:pPr>
              <w:jc w:val="center"/>
              <w:rPr>
                <w:rFonts w:ascii="Arial Narrow" w:hAnsi="Arial Narrow"/>
                <w:color w:val="000000" w:themeColor="text1"/>
                <w:sz w:val="20"/>
                <w:szCs w:val="20"/>
              </w:rPr>
            </w:pPr>
            <w:r w:rsidRPr="00D04A12">
              <w:rPr>
                <w:rFonts w:ascii="Arial Narrow" w:hAnsi="Arial Narrow" w:cs="Calibri"/>
                <w:color w:val="000000" w:themeColor="text1"/>
                <w:sz w:val="20"/>
                <w:szCs w:val="20"/>
              </w:rPr>
              <w:t>-21</w:t>
            </w:r>
          </w:p>
        </w:tc>
        <w:tc>
          <w:tcPr>
            <w:tcW w:w="1080" w:type="dxa"/>
            <w:tcBorders>
              <w:top w:val="single" w:sz="6" w:space="0" w:color="auto"/>
              <w:left w:val="single" w:sz="6" w:space="0" w:color="auto"/>
              <w:bottom w:val="single" w:sz="6" w:space="0" w:color="auto"/>
              <w:right w:val="single" w:sz="6" w:space="0" w:color="auto"/>
            </w:tcBorders>
            <w:shd w:val="clear" w:color="auto" w:fill="C5E0B3" w:themeFill="accent6" w:themeFillTint="66"/>
            <w:vAlign w:val="bottom"/>
          </w:tcPr>
          <w:p w14:paraId="2199DD37" w14:textId="213D4269" w:rsidR="00D04A12" w:rsidRPr="00D04A12" w:rsidRDefault="00D04A12" w:rsidP="00D04A12">
            <w:pPr>
              <w:jc w:val="center"/>
              <w:rPr>
                <w:rFonts w:ascii="Arial Narrow" w:hAnsi="Arial Narrow" w:cs="Calibri"/>
                <w:color w:val="000000" w:themeColor="text1"/>
                <w:sz w:val="20"/>
                <w:szCs w:val="20"/>
              </w:rPr>
            </w:pPr>
            <w:r w:rsidRPr="00D04A12">
              <w:rPr>
                <w:rFonts w:ascii="Arial Narrow" w:hAnsi="Arial Narrow" w:cs="Calibri"/>
                <w:color w:val="000000" w:themeColor="text1"/>
                <w:sz w:val="20"/>
                <w:szCs w:val="20"/>
              </w:rPr>
              <w:t>-19</w:t>
            </w:r>
          </w:p>
        </w:tc>
        <w:tc>
          <w:tcPr>
            <w:tcW w:w="1710" w:type="dxa"/>
            <w:tcBorders>
              <w:top w:val="single" w:sz="6" w:space="0" w:color="auto"/>
              <w:left w:val="single" w:sz="6" w:space="0" w:color="auto"/>
              <w:bottom w:val="single" w:sz="6" w:space="0" w:color="auto"/>
              <w:right w:val="single" w:sz="6" w:space="0" w:color="auto"/>
            </w:tcBorders>
            <w:shd w:val="clear" w:color="auto" w:fill="C5E0B3" w:themeFill="accent6" w:themeFillTint="66"/>
            <w:vAlign w:val="bottom"/>
          </w:tcPr>
          <w:p w14:paraId="172E36EB" w14:textId="46298797" w:rsidR="00D04A12" w:rsidRPr="00D04A12" w:rsidRDefault="00D04A12" w:rsidP="00D04A12">
            <w:pPr>
              <w:jc w:val="center"/>
              <w:rPr>
                <w:rFonts w:ascii="Arial Narrow" w:hAnsi="Arial Narrow" w:cs="Calibri"/>
                <w:color w:val="000000" w:themeColor="text1"/>
                <w:sz w:val="20"/>
                <w:szCs w:val="20"/>
              </w:rPr>
            </w:pPr>
            <w:r w:rsidRPr="00D04A12">
              <w:rPr>
                <w:rFonts w:ascii="Arial Narrow" w:hAnsi="Arial Narrow" w:cs="Calibri"/>
                <w:color w:val="000000" w:themeColor="text1"/>
                <w:sz w:val="20"/>
                <w:szCs w:val="20"/>
              </w:rPr>
              <w:t>-18</w:t>
            </w:r>
          </w:p>
        </w:tc>
        <w:tc>
          <w:tcPr>
            <w:tcW w:w="1440" w:type="dxa"/>
            <w:tcBorders>
              <w:top w:val="single" w:sz="6" w:space="0" w:color="auto"/>
              <w:left w:val="single" w:sz="6" w:space="0" w:color="auto"/>
              <w:bottom w:val="single" w:sz="6" w:space="0" w:color="auto"/>
              <w:right w:val="single" w:sz="6" w:space="0" w:color="auto"/>
            </w:tcBorders>
            <w:shd w:val="clear" w:color="auto" w:fill="C5E0B3" w:themeFill="accent6" w:themeFillTint="66"/>
            <w:vAlign w:val="bottom"/>
          </w:tcPr>
          <w:p w14:paraId="5DD0A207" w14:textId="35F951FB" w:rsidR="00D04A12" w:rsidRPr="00D04A12" w:rsidRDefault="00D04A12" w:rsidP="00D04A12">
            <w:pPr>
              <w:jc w:val="center"/>
              <w:rPr>
                <w:rFonts w:ascii="Arial Narrow" w:hAnsi="Arial Narrow" w:cs="Calibri"/>
                <w:color w:val="000000" w:themeColor="text1"/>
                <w:sz w:val="20"/>
                <w:szCs w:val="20"/>
              </w:rPr>
            </w:pPr>
            <w:r w:rsidRPr="00D04A12">
              <w:rPr>
                <w:rFonts w:ascii="Arial Narrow" w:hAnsi="Arial Narrow" w:cs="Calibri"/>
                <w:color w:val="000000" w:themeColor="text1"/>
                <w:sz w:val="20"/>
                <w:szCs w:val="20"/>
              </w:rPr>
              <w:t>-18</w:t>
            </w:r>
          </w:p>
        </w:tc>
      </w:tr>
      <w:tr w:rsidR="00D04A12" w:rsidRPr="007E72F0" w14:paraId="47842741" w14:textId="77777777" w:rsidTr="00D04A12">
        <w:trPr>
          <w:trHeight w:val="247"/>
        </w:trPr>
        <w:tc>
          <w:tcPr>
            <w:tcW w:w="3244" w:type="dxa"/>
            <w:tcBorders>
              <w:top w:val="single" w:sz="6" w:space="0" w:color="auto"/>
              <w:left w:val="single" w:sz="6" w:space="0" w:color="auto"/>
              <w:bottom w:val="single" w:sz="6" w:space="0" w:color="auto"/>
              <w:right w:val="single" w:sz="6" w:space="0" w:color="auto"/>
            </w:tcBorders>
            <w:vAlign w:val="bottom"/>
          </w:tcPr>
          <w:p w14:paraId="10CBBDB6" w14:textId="5853061B" w:rsidR="00D04A12" w:rsidRPr="00D04A12" w:rsidRDefault="00D04A12" w:rsidP="00D04A12">
            <w:pPr>
              <w:rPr>
                <w:rFonts w:ascii="Arial Narrow" w:hAnsi="Arial Narrow"/>
                <w:color w:val="000000"/>
                <w:sz w:val="20"/>
                <w:szCs w:val="20"/>
              </w:rPr>
            </w:pPr>
            <w:r w:rsidRPr="00D04A12">
              <w:rPr>
                <w:rFonts w:ascii="Arial Narrow" w:hAnsi="Arial Narrow" w:cs="Calibri"/>
                <w:color w:val="000000"/>
                <w:sz w:val="20"/>
                <w:szCs w:val="20"/>
              </w:rPr>
              <w:t>Conductivity/TDS</w:t>
            </w:r>
          </w:p>
        </w:tc>
        <w:tc>
          <w:tcPr>
            <w:tcW w:w="1800" w:type="dxa"/>
            <w:tcBorders>
              <w:top w:val="single" w:sz="6" w:space="0" w:color="auto"/>
              <w:left w:val="single" w:sz="6" w:space="0" w:color="auto"/>
              <w:bottom w:val="single" w:sz="6" w:space="0" w:color="auto"/>
              <w:right w:val="single" w:sz="6" w:space="0" w:color="auto"/>
            </w:tcBorders>
            <w:shd w:val="clear" w:color="auto" w:fill="C5E0B3" w:themeFill="accent6" w:themeFillTint="66"/>
            <w:vAlign w:val="bottom"/>
          </w:tcPr>
          <w:p w14:paraId="7339B3C0" w14:textId="0FB6C68F" w:rsidR="00D04A12" w:rsidRPr="00D04A12" w:rsidRDefault="00D04A12" w:rsidP="00D04A12">
            <w:pPr>
              <w:jc w:val="center"/>
              <w:rPr>
                <w:rFonts w:ascii="Arial Narrow" w:hAnsi="Arial Narrow"/>
                <w:color w:val="000000" w:themeColor="text1"/>
                <w:sz w:val="20"/>
                <w:szCs w:val="20"/>
              </w:rPr>
            </w:pPr>
            <w:r w:rsidRPr="00D04A12">
              <w:rPr>
                <w:rFonts w:ascii="Arial Narrow" w:hAnsi="Arial Narrow" w:cs="Calibri"/>
                <w:color w:val="000000" w:themeColor="text1"/>
                <w:sz w:val="20"/>
                <w:szCs w:val="20"/>
              </w:rPr>
              <w:t>-16</w:t>
            </w:r>
          </w:p>
        </w:tc>
        <w:tc>
          <w:tcPr>
            <w:tcW w:w="1080" w:type="dxa"/>
            <w:tcBorders>
              <w:top w:val="single" w:sz="6" w:space="0" w:color="auto"/>
              <w:left w:val="single" w:sz="6" w:space="0" w:color="auto"/>
              <w:bottom w:val="single" w:sz="6" w:space="0" w:color="auto"/>
              <w:right w:val="single" w:sz="6" w:space="0" w:color="auto"/>
            </w:tcBorders>
            <w:shd w:val="clear" w:color="auto" w:fill="FFD966"/>
            <w:vAlign w:val="bottom"/>
          </w:tcPr>
          <w:p w14:paraId="6A354F26" w14:textId="71EC19B0" w:rsidR="00D04A12" w:rsidRPr="00D04A12" w:rsidRDefault="00D04A12" w:rsidP="00D04A12">
            <w:pPr>
              <w:jc w:val="center"/>
              <w:rPr>
                <w:rFonts w:ascii="Arial Narrow" w:hAnsi="Arial Narrow" w:cs="Calibri"/>
                <w:color w:val="000000" w:themeColor="text1"/>
                <w:sz w:val="20"/>
                <w:szCs w:val="20"/>
              </w:rPr>
            </w:pPr>
            <w:r w:rsidRPr="00D04A12">
              <w:rPr>
                <w:rFonts w:ascii="Arial Narrow" w:hAnsi="Arial Narrow" w:cs="Calibri"/>
                <w:color w:val="000000" w:themeColor="text1"/>
                <w:sz w:val="20"/>
                <w:szCs w:val="20"/>
              </w:rPr>
              <w:t>2</w:t>
            </w:r>
          </w:p>
        </w:tc>
        <w:tc>
          <w:tcPr>
            <w:tcW w:w="1710" w:type="dxa"/>
            <w:tcBorders>
              <w:top w:val="single" w:sz="6" w:space="0" w:color="auto"/>
              <w:left w:val="single" w:sz="6" w:space="0" w:color="auto"/>
              <w:bottom w:val="single" w:sz="6" w:space="0" w:color="auto"/>
              <w:right w:val="single" w:sz="6" w:space="0" w:color="auto"/>
            </w:tcBorders>
            <w:shd w:val="clear" w:color="auto" w:fill="C5E0B3" w:themeFill="accent6" w:themeFillTint="66"/>
            <w:vAlign w:val="bottom"/>
          </w:tcPr>
          <w:p w14:paraId="32698AA9" w14:textId="09A2688E" w:rsidR="00D04A12" w:rsidRPr="00D04A12" w:rsidRDefault="00D04A12" w:rsidP="00D04A12">
            <w:pPr>
              <w:jc w:val="center"/>
              <w:rPr>
                <w:rFonts w:ascii="Arial Narrow" w:hAnsi="Arial Narrow" w:cs="Calibri"/>
                <w:color w:val="000000" w:themeColor="text1"/>
                <w:sz w:val="20"/>
                <w:szCs w:val="20"/>
              </w:rPr>
            </w:pPr>
            <w:r w:rsidRPr="00D04A12">
              <w:rPr>
                <w:rFonts w:ascii="Arial Narrow" w:hAnsi="Arial Narrow" w:cs="Calibri"/>
                <w:color w:val="000000" w:themeColor="text1"/>
                <w:sz w:val="20"/>
                <w:szCs w:val="20"/>
              </w:rPr>
              <w:t>-8</w:t>
            </w:r>
          </w:p>
        </w:tc>
        <w:tc>
          <w:tcPr>
            <w:tcW w:w="1440" w:type="dxa"/>
            <w:tcBorders>
              <w:top w:val="single" w:sz="6" w:space="0" w:color="auto"/>
              <w:left w:val="single" w:sz="6" w:space="0" w:color="auto"/>
              <w:bottom w:val="single" w:sz="6" w:space="0" w:color="auto"/>
              <w:right w:val="single" w:sz="6" w:space="0" w:color="auto"/>
            </w:tcBorders>
            <w:shd w:val="clear" w:color="auto" w:fill="FFD966"/>
            <w:vAlign w:val="bottom"/>
          </w:tcPr>
          <w:p w14:paraId="07B1B547" w14:textId="12877C62" w:rsidR="00D04A12" w:rsidRPr="00D04A12" w:rsidRDefault="00D04A12" w:rsidP="00D04A12">
            <w:pPr>
              <w:jc w:val="center"/>
              <w:rPr>
                <w:rFonts w:ascii="Arial Narrow" w:hAnsi="Arial Narrow" w:cs="Calibri"/>
                <w:color w:val="000000" w:themeColor="text1"/>
                <w:sz w:val="20"/>
                <w:szCs w:val="20"/>
              </w:rPr>
            </w:pPr>
            <w:r w:rsidRPr="00D04A12">
              <w:rPr>
                <w:rFonts w:ascii="Arial Narrow" w:hAnsi="Arial Narrow" w:cs="Calibri"/>
                <w:color w:val="000000" w:themeColor="text1"/>
                <w:sz w:val="20"/>
                <w:szCs w:val="20"/>
              </w:rPr>
              <w:t>1</w:t>
            </w:r>
          </w:p>
        </w:tc>
      </w:tr>
      <w:tr w:rsidR="00D04A12" w:rsidRPr="007E72F0" w14:paraId="79B823D3" w14:textId="77777777" w:rsidTr="00D04A12">
        <w:trPr>
          <w:trHeight w:val="247"/>
        </w:trPr>
        <w:tc>
          <w:tcPr>
            <w:tcW w:w="3244" w:type="dxa"/>
            <w:tcBorders>
              <w:top w:val="single" w:sz="6" w:space="0" w:color="auto"/>
              <w:left w:val="single" w:sz="6" w:space="0" w:color="auto"/>
              <w:bottom w:val="single" w:sz="6" w:space="0" w:color="auto"/>
              <w:right w:val="single" w:sz="6" w:space="0" w:color="auto"/>
            </w:tcBorders>
            <w:vAlign w:val="bottom"/>
          </w:tcPr>
          <w:p w14:paraId="33E2C6E0" w14:textId="4D3BB127" w:rsidR="00D04A12" w:rsidRPr="00D04A12" w:rsidRDefault="00841251" w:rsidP="00D04A12">
            <w:pPr>
              <w:rPr>
                <w:rFonts w:ascii="Arial Narrow" w:hAnsi="Arial Narrow"/>
                <w:color w:val="000000"/>
                <w:sz w:val="20"/>
                <w:szCs w:val="20"/>
              </w:rPr>
            </w:pPr>
            <w:r>
              <w:rPr>
                <w:rFonts w:ascii="Arial Narrow" w:hAnsi="Arial Narrow" w:cs="Calibri"/>
                <w:color w:val="000000"/>
                <w:sz w:val="20"/>
                <w:szCs w:val="20"/>
              </w:rPr>
              <w:t xml:space="preserve">Dissolved </w:t>
            </w:r>
            <w:r w:rsidR="00D04A12" w:rsidRPr="00D04A12">
              <w:rPr>
                <w:rFonts w:ascii="Arial Narrow" w:hAnsi="Arial Narrow" w:cs="Calibri"/>
                <w:color w:val="000000"/>
                <w:sz w:val="20"/>
                <w:szCs w:val="20"/>
              </w:rPr>
              <w:t>Sodium</w:t>
            </w:r>
          </w:p>
        </w:tc>
        <w:tc>
          <w:tcPr>
            <w:tcW w:w="1800" w:type="dxa"/>
            <w:tcBorders>
              <w:top w:val="single" w:sz="6" w:space="0" w:color="auto"/>
              <w:left w:val="single" w:sz="6" w:space="0" w:color="auto"/>
              <w:bottom w:val="single" w:sz="6" w:space="0" w:color="auto"/>
              <w:right w:val="single" w:sz="6" w:space="0" w:color="auto"/>
            </w:tcBorders>
            <w:shd w:val="clear" w:color="auto" w:fill="C5E0B3"/>
            <w:vAlign w:val="bottom"/>
          </w:tcPr>
          <w:p w14:paraId="1DF4462F" w14:textId="2A59E1B8" w:rsidR="00D04A12" w:rsidRPr="00D04A12" w:rsidRDefault="00D04A12" w:rsidP="00D04A12">
            <w:pPr>
              <w:jc w:val="center"/>
              <w:rPr>
                <w:rFonts w:ascii="Arial Narrow" w:hAnsi="Arial Narrow"/>
                <w:color w:val="000000" w:themeColor="text1"/>
                <w:sz w:val="20"/>
                <w:szCs w:val="20"/>
              </w:rPr>
            </w:pPr>
            <w:r w:rsidRPr="00D04A12">
              <w:rPr>
                <w:rFonts w:ascii="Arial Narrow" w:hAnsi="Arial Narrow" w:cs="Calibri"/>
                <w:color w:val="000000" w:themeColor="text1"/>
                <w:sz w:val="20"/>
                <w:szCs w:val="20"/>
              </w:rPr>
              <w:t>-15</w:t>
            </w:r>
          </w:p>
        </w:tc>
        <w:tc>
          <w:tcPr>
            <w:tcW w:w="1080" w:type="dxa"/>
            <w:tcBorders>
              <w:top w:val="single" w:sz="6" w:space="0" w:color="auto"/>
              <w:left w:val="single" w:sz="6" w:space="0" w:color="auto"/>
              <w:bottom w:val="single" w:sz="6" w:space="0" w:color="auto"/>
              <w:right w:val="single" w:sz="6" w:space="0" w:color="auto"/>
            </w:tcBorders>
            <w:shd w:val="clear" w:color="auto" w:fill="C5E0B3"/>
            <w:vAlign w:val="bottom"/>
          </w:tcPr>
          <w:p w14:paraId="64559338" w14:textId="55352A6E" w:rsidR="00D04A12" w:rsidRPr="00D04A12" w:rsidRDefault="00D04A12" w:rsidP="00D04A12">
            <w:pPr>
              <w:jc w:val="center"/>
              <w:rPr>
                <w:rFonts w:ascii="Arial Narrow" w:hAnsi="Arial Narrow" w:cs="Calibri"/>
                <w:color w:val="000000" w:themeColor="text1"/>
                <w:sz w:val="20"/>
                <w:szCs w:val="20"/>
              </w:rPr>
            </w:pPr>
            <w:r w:rsidRPr="00D04A12">
              <w:rPr>
                <w:rFonts w:ascii="Arial Narrow" w:hAnsi="Arial Narrow" w:cs="Calibri"/>
                <w:color w:val="000000" w:themeColor="text1"/>
                <w:sz w:val="20"/>
                <w:szCs w:val="20"/>
              </w:rPr>
              <w:t>-6</w:t>
            </w:r>
          </w:p>
        </w:tc>
        <w:tc>
          <w:tcPr>
            <w:tcW w:w="1710" w:type="dxa"/>
            <w:tcBorders>
              <w:top w:val="single" w:sz="6" w:space="0" w:color="auto"/>
              <w:left w:val="single" w:sz="6" w:space="0" w:color="auto"/>
              <w:bottom w:val="single" w:sz="6" w:space="0" w:color="auto"/>
              <w:right w:val="single" w:sz="6" w:space="0" w:color="auto"/>
            </w:tcBorders>
            <w:shd w:val="clear" w:color="auto" w:fill="C5E0B3"/>
            <w:vAlign w:val="bottom"/>
          </w:tcPr>
          <w:p w14:paraId="18DFFCC8" w14:textId="73A9AEF3" w:rsidR="00D04A12" w:rsidRPr="00D04A12" w:rsidRDefault="00D04A12" w:rsidP="00D04A12">
            <w:pPr>
              <w:jc w:val="center"/>
              <w:rPr>
                <w:rFonts w:ascii="Arial Narrow" w:hAnsi="Arial Narrow" w:cs="Calibri"/>
                <w:color w:val="000000" w:themeColor="text1"/>
                <w:sz w:val="20"/>
                <w:szCs w:val="20"/>
              </w:rPr>
            </w:pPr>
            <w:r w:rsidRPr="00D04A12">
              <w:rPr>
                <w:rFonts w:ascii="Arial Narrow" w:hAnsi="Arial Narrow" w:cs="Calibri"/>
                <w:color w:val="000000" w:themeColor="text1"/>
                <w:sz w:val="20"/>
                <w:szCs w:val="20"/>
              </w:rPr>
              <w:t>-17</w:t>
            </w:r>
          </w:p>
        </w:tc>
        <w:tc>
          <w:tcPr>
            <w:tcW w:w="1440" w:type="dxa"/>
            <w:tcBorders>
              <w:top w:val="single" w:sz="6" w:space="0" w:color="auto"/>
              <w:left w:val="single" w:sz="6" w:space="0" w:color="auto"/>
              <w:bottom w:val="single" w:sz="6" w:space="0" w:color="auto"/>
              <w:right w:val="single" w:sz="6" w:space="0" w:color="auto"/>
            </w:tcBorders>
            <w:shd w:val="clear" w:color="auto" w:fill="C5E0B3"/>
            <w:vAlign w:val="bottom"/>
          </w:tcPr>
          <w:p w14:paraId="3F354580" w14:textId="38FFE61F" w:rsidR="00D04A12" w:rsidRPr="00D04A12" w:rsidRDefault="00D04A12" w:rsidP="00D04A12">
            <w:pPr>
              <w:jc w:val="center"/>
              <w:rPr>
                <w:rFonts w:ascii="Arial Narrow" w:hAnsi="Arial Narrow" w:cs="Calibri"/>
                <w:color w:val="000000" w:themeColor="text1"/>
                <w:sz w:val="20"/>
                <w:szCs w:val="20"/>
              </w:rPr>
            </w:pPr>
            <w:r w:rsidRPr="00D04A12">
              <w:rPr>
                <w:rFonts w:ascii="Arial Narrow" w:hAnsi="Arial Narrow" w:cs="Calibri"/>
                <w:color w:val="000000" w:themeColor="text1"/>
                <w:sz w:val="20"/>
                <w:szCs w:val="20"/>
              </w:rPr>
              <w:t>-5</w:t>
            </w:r>
          </w:p>
        </w:tc>
      </w:tr>
      <w:tr w:rsidR="00D04A12" w:rsidRPr="007E72F0" w14:paraId="0CB59B2B" w14:textId="77777777" w:rsidTr="00D04A12">
        <w:trPr>
          <w:trHeight w:val="247"/>
        </w:trPr>
        <w:tc>
          <w:tcPr>
            <w:tcW w:w="3244" w:type="dxa"/>
            <w:tcBorders>
              <w:top w:val="single" w:sz="6" w:space="0" w:color="auto"/>
              <w:left w:val="single" w:sz="6" w:space="0" w:color="auto"/>
              <w:bottom w:val="single" w:sz="6" w:space="0" w:color="auto"/>
              <w:right w:val="single" w:sz="6" w:space="0" w:color="auto"/>
            </w:tcBorders>
            <w:vAlign w:val="bottom"/>
          </w:tcPr>
          <w:p w14:paraId="28435E2C" w14:textId="447C26AB" w:rsidR="00D04A12" w:rsidRPr="00D04A12" w:rsidRDefault="00841251" w:rsidP="00D04A12">
            <w:pPr>
              <w:rPr>
                <w:rFonts w:ascii="Arial Narrow" w:hAnsi="Arial Narrow"/>
                <w:color w:val="000000"/>
                <w:sz w:val="20"/>
                <w:szCs w:val="20"/>
              </w:rPr>
            </w:pPr>
            <w:r>
              <w:rPr>
                <w:rFonts w:ascii="Arial Narrow" w:hAnsi="Arial Narrow" w:cs="Calibri"/>
                <w:color w:val="000000"/>
                <w:sz w:val="20"/>
                <w:szCs w:val="20"/>
              </w:rPr>
              <w:t xml:space="preserve">Dissolved </w:t>
            </w:r>
            <w:r w:rsidR="00D04A12" w:rsidRPr="00D04A12">
              <w:rPr>
                <w:rFonts w:ascii="Arial Narrow" w:hAnsi="Arial Narrow" w:cs="Calibri"/>
                <w:color w:val="000000"/>
                <w:sz w:val="20"/>
                <w:szCs w:val="20"/>
              </w:rPr>
              <w:t>Potassium</w:t>
            </w:r>
          </w:p>
        </w:tc>
        <w:tc>
          <w:tcPr>
            <w:tcW w:w="1800" w:type="dxa"/>
            <w:tcBorders>
              <w:top w:val="single" w:sz="6" w:space="0" w:color="auto"/>
              <w:left w:val="single" w:sz="6" w:space="0" w:color="auto"/>
              <w:bottom w:val="single" w:sz="6" w:space="0" w:color="auto"/>
              <w:right w:val="single" w:sz="6" w:space="0" w:color="auto"/>
            </w:tcBorders>
            <w:shd w:val="clear" w:color="auto" w:fill="C5E0B3"/>
            <w:vAlign w:val="bottom"/>
          </w:tcPr>
          <w:p w14:paraId="3B809607" w14:textId="12E7325D" w:rsidR="00D04A12" w:rsidRPr="00D04A12" w:rsidRDefault="00D04A12" w:rsidP="00D04A12">
            <w:pPr>
              <w:jc w:val="center"/>
              <w:rPr>
                <w:rFonts w:ascii="Arial Narrow" w:hAnsi="Arial Narrow"/>
                <w:color w:val="000000" w:themeColor="text1"/>
                <w:sz w:val="20"/>
                <w:szCs w:val="20"/>
              </w:rPr>
            </w:pPr>
            <w:r w:rsidRPr="00D04A12">
              <w:rPr>
                <w:rFonts w:ascii="Arial Narrow" w:hAnsi="Arial Narrow" w:cs="Calibri"/>
                <w:color w:val="000000" w:themeColor="text1"/>
                <w:sz w:val="20"/>
                <w:szCs w:val="20"/>
              </w:rPr>
              <w:t>-11</w:t>
            </w:r>
          </w:p>
        </w:tc>
        <w:tc>
          <w:tcPr>
            <w:tcW w:w="1080" w:type="dxa"/>
            <w:tcBorders>
              <w:top w:val="single" w:sz="6" w:space="0" w:color="auto"/>
              <w:left w:val="single" w:sz="6" w:space="0" w:color="auto"/>
              <w:bottom w:val="single" w:sz="6" w:space="0" w:color="auto"/>
              <w:right w:val="single" w:sz="6" w:space="0" w:color="auto"/>
            </w:tcBorders>
            <w:shd w:val="clear" w:color="auto" w:fill="C5E0B3" w:themeFill="accent6" w:themeFillTint="66"/>
            <w:vAlign w:val="bottom"/>
          </w:tcPr>
          <w:p w14:paraId="3EFDFC79" w14:textId="4A83E05E" w:rsidR="00D04A12" w:rsidRPr="00D04A12" w:rsidRDefault="00D04A12" w:rsidP="00D04A12">
            <w:pPr>
              <w:jc w:val="center"/>
              <w:rPr>
                <w:rFonts w:ascii="Arial Narrow" w:hAnsi="Arial Narrow" w:cs="Calibri"/>
                <w:color w:val="000000" w:themeColor="text1"/>
                <w:sz w:val="20"/>
                <w:szCs w:val="20"/>
              </w:rPr>
            </w:pPr>
            <w:r w:rsidRPr="00D04A12">
              <w:rPr>
                <w:rFonts w:ascii="Arial Narrow" w:hAnsi="Arial Narrow" w:cs="Calibri"/>
                <w:color w:val="000000" w:themeColor="text1"/>
                <w:sz w:val="20"/>
                <w:szCs w:val="20"/>
              </w:rPr>
              <w:t>-5</w:t>
            </w:r>
          </w:p>
        </w:tc>
        <w:tc>
          <w:tcPr>
            <w:tcW w:w="1710" w:type="dxa"/>
            <w:tcBorders>
              <w:top w:val="single" w:sz="6" w:space="0" w:color="auto"/>
              <w:left w:val="single" w:sz="6" w:space="0" w:color="auto"/>
              <w:bottom w:val="single" w:sz="6" w:space="0" w:color="auto"/>
              <w:right w:val="single" w:sz="6" w:space="0" w:color="auto"/>
            </w:tcBorders>
            <w:shd w:val="clear" w:color="auto" w:fill="C5E0B3" w:themeFill="accent6" w:themeFillTint="66"/>
            <w:vAlign w:val="bottom"/>
          </w:tcPr>
          <w:p w14:paraId="398470B2" w14:textId="40435409" w:rsidR="00D04A12" w:rsidRPr="00D04A12" w:rsidRDefault="00D04A12" w:rsidP="00D04A12">
            <w:pPr>
              <w:jc w:val="center"/>
              <w:rPr>
                <w:rFonts w:ascii="Arial Narrow" w:hAnsi="Arial Narrow" w:cs="Calibri"/>
                <w:color w:val="000000" w:themeColor="text1"/>
                <w:sz w:val="20"/>
                <w:szCs w:val="20"/>
              </w:rPr>
            </w:pPr>
            <w:r w:rsidRPr="00D04A12">
              <w:rPr>
                <w:rFonts w:ascii="Arial Narrow" w:hAnsi="Arial Narrow" w:cs="Calibri"/>
                <w:color w:val="000000" w:themeColor="text1"/>
                <w:sz w:val="20"/>
                <w:szCs w:val="20"/>
              </w:rPr>
              <w:t>-7</w:t>
            </w:r>
          </w:p>
        </w:tc>
        <w:tc>
          <w:tcPr>
            <w:tcW w:w="1440" w:type="dxa"/>
            <w:tcBorders>
              <w:top w:val="single" w:sz="6" w:space="0" w:color="auto"/>
              <w:left w:val="single" w:sz="6" w:space="0" w:color="auto"/>
              <w:bottom w:val="single" w:sz="6" w:space="0" w:color="auto"/>
              <w:right w:val="single" w:sz="6" w:space="0" w:color="auto"/>
            </w:tcBorders>
            <w:shd w:val="clear" w:color="auto" w:fill="C5E0B3" w:themeFill="accent6" w:themeFillTint="66"/>
            <w:vAlign w:val="bottom"/>
          </w:tcPr>
          <w:p w14:paraId="4F084E6D" w14:textId="5E59799D" w:rsidR="00D04A12" w:rsidRPr="00D04A12" w:rsidRDefault="00D04A12" w:rsidP="00D04A12">
            <w:pPr>
              <w:jc w:val="center"/>
              <w:rPr>
                <w:rFonts w:ascii="Arial Narrow" w:hAnsi="Arial Narrow" w:cs="Calibri"/>
                <w:color w:val="000000" w:themeColor="text1"/>
                <w:sz w:val="20"/>
                <w:szCs w:val="20"/>
              </w:rPr>
            </w:pPr>
            <w:r w:rsidRPr="00D04A12">
              <w:rPr>
                <w:rFonts w:ascii="Arial Narrow" w:hAnsi="Arial Narrow" w:cs="Calibri"/>
                <w:color w:val="000000" w:themeColor="text1"/>
                <w:sz w:val="20"/>
                <w:szCs w:val="20"/>
              </w:rPr>
              <w:t>-5</w:t>
            </w:r>
          </w:p>
        </w:tc>
      </w:tr>
      <w:tr w:rsidR="00D04A12" w:rsidRPr="007E72F0" w14:paraId="716A484B" w14:textId="77777777" w:rsidTr="00D04A12">
        <w:trPr>
          <w:trHeight w:val="247"/>
        </w:trPr>
        <w:tc>
          <w:tcPr>
            <w:tcW w:w="3244" w:type="dxa"/>
            <w:tcBorders>
              <w:top w:val="single" w:sz="6" w:space="0" w:color="auto"/>
              <w:left w:val="single" w:sz="6" w:space="0" w:color="auto"/>
              <w:bottom w:val="single" w:sz="6" w:space="0" w:color="auto"/>
              <w:right w:val="single" w:sz="6" w:space="0" w:color="auto"/>
            </w:tcBorders>
            <w:vAlign w:val="bottom"/>
          </w:tcPr>
          <w:p w14:paraId="2E0E85DB" w14:textId="2C6EADA1" w:rsidR="00D04A12" w:rsidRPr="00D04A12" w:rsidRDefault="00841251" w:rsidP="00D04A12">
            <w:pPr>
              <w:rPr>
                <w:rFonts w:ascii="Arial Narrow" w:hAnsi="Arial Narrow"/>
                <w:color w:val="000000"/>
                <w:sz w:val="20"/>
                <w:szCs w:val="20"/>
              </w:rPr>
            </w:pPr>
            <w:r>
              <w:rPr>
                <w:rFonts w:ascii="Arial Narrow" w:hAnsi="Arial Narrow" w:cs="Calibri"/>
                <w:color w:val="000000"/>
                <w:sz w:val="20"/>
                <w:szCs w:val="20"/>
              </w:rPr>
              <w:t xml:space="preserve">Dissolved </w:t>
            </w:r>
            <w:r w:rsidR="00D04A12" w:rsidRPr="00D04A12">
              <w:rPr>
                <w:rFonts w:ascii="Arial Narrow" w:hAnsi="Arial Narrow" w:cs="Calibri"/>
                <w:color w:val="000000"/>
                <w:sz w:val="20"/>
                <w:szCs w:val="20"/>
              </w:rPr>
              <w:t>Chloride</w:t>
            </w:r>
          </w:p>
        </w:tc>
        <w:tc>
          <w:tcPr>
            <w:tcW w:w="1800" w:type="dxa"/>
            <w:tcBorders>
              <w:top w:val="single" w:sz="6" w:space="0" w:color="auto"/>
              <w:left w:val="single" w:sz="6" w:space="0" w:color="auto"/>
              <w:bottom w:val="single" w:sz="6" w:space="0" w:color="auto"/>
              <w:right w:val="single" w:sz="6" w:space="0" w:color="auto"/>
            </w:tcBorders>
            <w:shd w:val="clear" w:color="auto" w:fill="C5E0B3"/>
            <w:vAlign w:val="bottom"/>
          </w:tcPr>
          <w:p w14:paraId="7E31F61A" w14:textId="4781407F" w:rsidR="00D04A12" w:rsidRPr="00D04A12" w:rsidRDefault="00D04A12" w:rsidP="00D04A12">
            <w:pPr>
              <w:jc w:val="center"/>
              <w:rPr>
                <w:rFonts w:ascii="Arial Narrow" w:hAnsi="Arial Narrow"/>
                <w:color w:val="000000" w:themeColor="text1"/>
                <w:sz w:val="20"/>
                <w:szCs w:val="20"/>
              </w:rPr>
            </w:pPr>
            <w:r w:rsidRPr="00D04A12">
              <w:rPr>
                <w:rFonts w:ascii="Arial Narrow" w:hAnsi="Arial Narrow" w:cs="Calibri"/>
                <w:color w:val="000000" w:themeColor="text1"/>
                <w:sz w:val="20"/>
                <w:szCs w:val="20"/>
              </w:rPr>
              <w:t>-22</w:t>
            </w:r>
          </w:p>
        </w:tc>
        <w:tc>
          <w:tcPr>
            <w:tcW w:w="1080" w:type="dxa"/>
            <w:tcBorders>
              <w:top w:val="single" w:sz="6" w:space="0" w:color="auto"/>
              <w:left w:val="single" w:sz="6" w:space="0" w:color="auto"/>
              <w:bottom w:val="single" w:sz="6" w:space="0" w:color="auto"/>
              <w:right w:val="single" w:sz="6" w:space="0" w:color="auto"/>
            </w:tcBorders>
            <w:shd w:val="clear" w:color="auto" w:fill="C5E0B3"/>
            <w:vAlign w:val="bottom"/>
          </w:tcPr>
          <w:p w14:paraId="0B7E8AC7" w14:textId="44942160" w:rsidR="00D04A12" w:rsidRPr="00D04A12" w:rsidRDefault="00D04A12" w:rsidP="00D04A12">
            <w:pPr>
              <w:jc w:val="center"/>
              <w:rPr>
                <w:rFonts w:ascii="Arial Narrow" w:hAnsi="Arial Narrow" w:cs="Calibri"/>
                <w:color w:val="000000" w:themeColor="text1"/>
                <w:sz w:val="20"/>
                <w:szCs w:val="20"/>
              </w:rPr>
            </w:pPr>
            <w:r w:rsidRPr="00D04A12">
              <w:rPr>
                <w:rFonts w:ascii="Arial Narrow" w:hAnsi="Arial Narrow" w:cs="Calibri"/>
                <w:color w:val="000000" w:themeColor="text1"/>
                <w:sz w:val="20"/>
                <w:szCs w:val="20"/>
              </w:rPr>
              <w:t>-13</w:t>
            </w:r>
          </w:p>
        </w:tc>
        <w:tc>
          <w:tcPr>
            <w:tcW w:w="1710" w:type="dxa"/>
            <w:tcBorders>
              <w:top w:val="single" w:sz="6" w:space="0" w:color="auto"/>
              <w:left w:val="single" w:sz="6" w:space="0" w:color="auto"/>
              <w:bottom w:val="single" w:sz="6" w:space="0" w:color="auto"/>
              <w:right w:val="single" w:sz="6" w:space="0" w:color="auto"/>
            </w:tcBorders>
            <w:shd w:val="clear" w:color="auto" w:fill="C5E0B3"/>
            <w:vAlign w:val="bottom"/>
          </w:tcPr>
          <w:p w14:paraId="53B5DF6F" w14:textId="01D14688" w:rsidR="00D04A12" w:rsidRPr="00D04A12" w:rsidRDefault="00D04A12" w:rsidP="00D04A12">
            <w:pPr>
              <w:jc w:val="center"/>
              <w:rPr>
                <w:rFonts w:ascii="Arial Narrow" w:hAnsi="Arial Narrow" w:cs="Calibri"/>
                <w:color w:val="000000" w:themeColor="text1"/>
                <w:sz w:val="20"/>
                <w:szCs w:val="20"/>
              </w:rPr>
            </w:pPr>
            <w:r w:rsidRPr="00D04A12">
              <w:rPr>
                <w:rFonts w:ascii="Arial Narrow" w:hAnsi="Arial Narrow" w:cs="Calibri"/>
                <w:color w:val="000000" w:themeColor="text1"/>
                <w:sz w:val="20"/>
                <w:szCs w:val="20"/>
              </w:rPr>
              <w:t>-19</w:t>
            </w:r>
          </w:p>
        </w:tc>
        <w:tc>
          <w:tcPr>
            <w:tcW w:w="1440" w:type="dxa"/>
            <w:tcBorders>
              <w:top w:val="single" w:sz="6" w:space="0" w:color="auto"/>
              <w:left w:val="single" w:sz="6" w:space="0" w:color="auto"/>
              <w:bottom w:val="single" w:sz="6" w:space="0" w:color="auto"/>
              <w:right w:val="single" w:sz="6" w:space="0" w:color="auto"/>
            </w:tcBorders>
            <w:shd w:val="clear" w:color="auto" w:fill="C5E0B3"/>
            <w:vAlign w:val="bottom"/>
          </w:tcPr>
          <w:p w14:paraId="5DBB3197" w14:textId="0648B3DE" w:rsidR="00D04A12" w:rsidRPr="00D04A12" w:rsidRDefault="00D04A12" w:rsidP="00D04A12">
            <w:pPr>
              <w:jc w:val="center"/>
              <w:rPr>
                <w:rFonts w:ascii="Arial Narrow" w:hAnsi="Arial Narrow" w:cs="Calibri"/>
                <w:color w:val="000000" w:themeColor="text1"/>
                <w:sz w:val="20"/>
                <w:szCs w:val="20"/>
              </w:rPr>
            </w:pPr>
            <w:r w:rsidRPr="00D04A12">
              <w:rPr>
                <w:rFonts w:ascii="Arial Narrow" w:hAnsi="Arial Narrow" w:cs="Calibri"/>
                <w:color w:val="000000" w:themeColor="text1"/>
                <w:sz w:val="20"/>
                <w:szCs w:val="20"/>
              </w:rPr>
              <w:t>-13</w:t>
            </w:r>
          </w:p>
        </w:tc>
      </w:tr>
      <w:tr w:rsidR="00D04A12" w:rsidRPr="007E72F0" w14:paraId="0BC503C1" w14:textId="77777777" w:rsidTr="00D04A12">
        <w:trPr>
          <w:trHeight w:val="247"/>
        </w:trPr>
        <w:tc>
          <w:tcPr>
            <w:tcW w:w="3244" w:type="dxa"/>
            <w:tcBorders>
              <w:top w:val="single" w:sz="6" w:space="0" w:color="auto"/>
              <w:left w:val="single" w:sz="6" w:space="0" w:color="auto"/>
              <w:bottom w:val="single" w:sz="6" w:space="0" w:color="auto"/>
              <w:right w:val="single" w:sz="6" w:space="0" w:color="auto"/>
            </w:tcBorders>
            <w:vAlign w:val="bottom"/>
          </w:tcPr>
          <w:p w14:paraId="1564484E" w14:textId="73FD0285" w:rsidR="00D04A12" w:rsidRPr="00D04A12" w:rsidRDefault="00841251" w:rsidP="00D04A12">
            <w:pPr>
              <w:rPr>
                <w:rFonts w:ascii="Arial Narrow" w:hAnsi="Arial Narrow"/>
                <w:color w:val="000000"/>
                <w:sz w:val="20"/>
                <w:szCs w:val="20"/>
              </w:rPr>
            </w:pPr>
            <w:r>
              <w:rPr>
                <w:rFonts w:ascii="Arial Narrow" w:hAnsi="Arial Narrow" w:cs="Calibri"/>
                <w:color w:val="000000"/>
                <w:sz w:val="20"/>
                <w:szCs w:val="20"/>
              </w:rPr>
              <w:t xml:space="preserve">Dissolved </w:t>
            </w:r>
            <w:r w:rsidR="00D04A12" w:rsidRPr="00D04A12">
              <w:rPr>
                <w:rFonts w:ascii="Arial Narrow" w:hAnsi="Arial Narrow" w:cs="Calibri"/>
                <w:color w:val="000000"/>
                <w:sz w:val="20"/>
                <w:szCs w:val="20"/>
              </w:rPr>
              <w:t>Sulfate</w:t>
            </w:r>
          </w:p>
        </w:tc>
        <w:tc>
          <w:tcPr>
            <w:tcW w:w="1800" w:type="dxa"/>
            <w:tcBorders>
              <w:top w:val="single" w:sz="6" w:space="0" w:color="auto"/>
              <w:left w:val="single" w:sz="6" w:space="0" w:color="auto"/>
              <w:bottom w:val="single" w:sz="6" w:space="0" w:color="auto"/>
              <w:right w:val="single" w:sz="6" w:space="0" w:color="auto"/>
            </w:tcBorders>
            <w:shd w:val="clear" w:color="auto" w:fill="C5E0B3"/>
            <w:vAlign w:val="bottom"/>
          </w:tcPr>
          <w:p w14:paraId="433690E8" w14:textId="5399E3C7" w:rsidR="00D04A12" w:rsidRPr="00D04A12" w:rsidRDefault="00D04A12" w:rsidP="00D04A12">
            <w:pPr>
              <w:jc w:val="center"/>
              <w:rPr>
                <w:rFonts w:ascii="Arial Narrow" w:hAnsi="Arial Narrow"/>
                <w:color w:val="000000" w:themeColor="text1"/>
                <w:sz w:val="20"/>
                <w:szCs w:val="20"/>
              </w:rPr>
            </w:pPr>
            <w:r w:rsidRPr="00D04A12">
              <w:rPr>
                <w:rFonts w:ascii="Arial Narrow" w:hAnsi="Arial Narrow" w:cs="Calibri"/>
                <w:color w:val="000000" w:themeColor="text1"/>
                <w:sz w:val="20"/>
                <w:szCs w:val="20"/>
              </w:rPr>
              <w:t>-18</w:t>
            </w:r>
          </w:p>
        </w:tc>
        <w:tc>
          <w:tcPr>
            <w:tcW w:w="1080" w:type="dxa"/>
            <w:tcBorders>
              <w:top w:val="single" w:sz="6" w:space="0" w:color="auto"/>
              <w:left w:val="single" w:sz="6" w:space="0" w:color="auto"/>
              <w:bottom w:val="single" w:sz="6" w:space="0" w:color="auto"/>
              <w:right w:val="single" w:sz="6" w:space="0" w:color="auto"/>
            </w:tcBorders>
            <w:shd w:val="clear" w:color="auto" w:fill="C5E0B3"/>
            <w:vAlign w:val="bottom"/>
          </w:tcPr>
          <w:p w14:paraId="2F9FF8DF" w14:textId="51C42AA0" w:rsidR="00D04A12" w:rsidRPr="00D04A12" w:rsidRDefault="00D04A12" w:rsidP="00D04A12">
            <w:pPr>
              <w:jc w:val="center"/>
              <w:rPr>
                <w:rFonts w:ascii="Arial Narrow" w:hAnsi="Arial Narrow" w:cs="Calibri"/>
                <w:color w:val="000000" w:themeColor="text1"/>
                <w:sz w:val="20"/>
                <w:szCs w:val="20"/>
              </w:rPr>
            </w:pPr>
            <w:r w:rsidRPr="00D04A12">
              <w:rPr>
                <w:rFonts w:ascii="Arial Narrow" w:hAnsi="Arial Narrow" w:cs="Calibri"/>
                <w:color w:val="000000" w:themeColor="text1"/>
                <w:sz w:val="20"/>
                <w:szCs w:val="20"/>
              </w:rPr>
              <w:t>-2</w:t>
            </w:r>
          </w:p>
        </w:tc>
        <w:tc>
          <w:tcPr>
            <w:tcW w:w="1710" w:type="dxa"/>
            <w:tcBorders>
              <w:top w:val="single" w:sz="6" w:space="0" w:color="auto"/>
              <w:left w:val="single" w:sz="6" w:space="0" w:color="auto"/>
              <w:bottom w:val="single" w:sz="6" w:space="0" w:color="auto"/>
              <w:right w:val="single" w:sz="6" w:space="0" w:color="auto"/>
            </w:tcBorders>
            <w:shd w:val="clear" w:color="auto" w:fill="C5E0B3"/>
            <w:vAlign w:val="bottom"/>
          </w:tcPr>
          <w:p w14:paraId="3788E9F2" w14:textId="6DA41417" w:rsidR="00D04A12" w:rsidRPr="00D04A12" w:rsidRDefault="00D04A12" w:rsidP="00D04A12">
            <w:pPr>
              <w:jc w:val="center"/>
              <w:rPr>
                <w:rFonts w:ascii="Arial Narrow" w:hAnsi="Arial Narrow" w:cs="Calibri"/>
                <w:color w:val="000000" w:themeColor="text1"/>
                <w:sz w:val="20"/>
                <w:szCs w:val="20"/>
              </w:rPr>
            </w:pPr>
            <w:r w:rsidRPr="00D04A12">
              <w:rPr>
                <w:rFonts w:ascii="Arial Narrow" w:hAnsi="Arial Narrow" w:cs="Calibri"/>
                <w:color w:val="000000" w:themeColor="text1"/>
                <w:sz w:val="20"/>
                <w:szCs w:val="20"/>
              </w:rPr>
              <w:t>-14</w:t>
            </w:r>
          </w:p>
        </w:tc>
        <w:tc>
          <w:tcPr>
            <w:tcW w:w="1440" w:type="dxa"/>
            <w:tcBorders>
              <w:top w:val="single" w:sz="6" w:space="0" w:color="auto"/>
              <w:left w:val="single" w:sz="6" w:space="0" w:color="auto"/>
              <w:bottom w:val="single" w:sz="6" w:space="0" w:color="auto"/>
              <w:right w:val="single" w:sz="6" w:space="0" w:color="auto"/>
            </w:tcBorders>
            <w:shd w:val="clear" w:color="auto" w:fill="C5E0B3"/>
            <w:vAlign w:val="bottom"/>
          </w:tcPr>
          <w:p w14:paraId="1F61F371" w14:textId="0149CF9F" w:rsidR="00D04A12" w:rsidRPr="00D04A12" w:rsidRDefault="00D04A12" w:rsidP="00D04A12">
            <w:pPr>
              <w:jc w:val="center"/>
              <w:rPr>
                <w:rFonts w:ascii="Arial Narrow" w:hAnsi="Arial Narrow" w:cs="Calibri"/>
                <w:color w:val="000000" w:themeColor="text1"/>
                <w:sz w:val="20"/>
                <w:szCs w:val="20"/>
              </w:rPr>
            </w:pPr>
            <w:r w:rsidRPr="00D04A12">
              <w:rPr>
                <w:rFonts w:ascii="Arial Narrow" w:hAnsi="Arial Narrow" w:cs="Calibri"/>
                <w:color w:val="000000" w:themeColor="text1"/>
                <w:sz w:val="20"/>
                <w:szCs w:val="20"/>
              </w:rPr>
              <w:t>-9</w:t>
            </w:r>
          </w:p>
        </w:tc>
      </w:tr>
      <w:tr w:rsidR="00D04A12" w:rsidRPr="007E72F0" w14:paraId="2252BA10" w14:textId="77777777" w:rsidTr="00D04A12">
        <w:trPr>
          <w:trHeight w:val="247"/>
        </w:trPr>
        <w:tc>
          <w:tcPr>
            <w:tcW w:w="3244" w:type="dxa"/>
            <w:tcBorders>
              <w:top w:val="single" w:sz="6" w:space="0" w:color="auto"/>
              <w:left w:val="single" w:sz="6" w:space="0" w:color="auto"/>
              <w:bottom w:val="single" w:sz="6" w:space="0" w:color="auto"/>
              <w:right w:val="single" w:sz="6" w:space="0" w:color="auto"/>
            </w:tcBorders>
            <w:vAlign w:val="bottom"/>
          </w:tcPr>
          <w:p w14:paraId="202DC474" w14:textId="53120004" w:rsidR="00D04A12" w:rsidRPr="00D04A12" w:rsidRDefault="00D04A12" w:rsidP="00D04A12">
            <w:pPr>
              <w:rPr>
                <w:rFonts w:ascii="Arial Narrow" w:hAnsi="Arial Narrow"/>
                <w:color w:val="000000"/>
                <w:sz w:val="20"/>
                <w:szCs w:val="20"/>
              </w:rPr>
            </w:pPr>
            <w:r w:rsidRPr="00D04A12">
              <w:rPr>
                <w:rFonts w:ascii="Arial Narrow" w:hAnsi="Arial Narrow" w:cs="Calibri"/>
                <w:color w:val="000000"/>
                <w:sz w:val="20"/>
                <w:szCs w:val="20"/>
              </w:rPr>
              <w:t>Sediment</w:t>
            </w:r>
          </w:p>
        </w:tc>
        <w:tc>
          <w:tcPr>
            <w:tcW w:w="1800" w:type="dxa"/>
            <w:tcBorders>
              <w:top w:val="single" w:sz="6" w:space="0" w:color="auto"/>
              <w:left w:val="single" w:sz="6" w:space="0" w:color="auto"/>
              <w:bottom w:val="single" w:sz="6" w:space="0" w:color="auto"/>
              <w:right w:val="single" w:sz="6" w:space="0" w:color="auto"/>
            </w:tcBorders>
            <w:shd w:val="clear" w:color="auto" w:fill="FF9999"/>
            <w:vAlign w:val="bottom"/>
          </w:tcPr>
          <w:p w14:paraId="16D6589B" w14:textId="73582CFC" w:rsidR="00D04A12" w:rsidRPr="00D04A12" w:rsidRDefault="00D04A12" w:rsidP="00D04A12">
            <w:pPr>
              <w:jc w:val="center"/>
              <w:rPr>
                <w:rFonts w:ascii="Arial Narrow" w:hAnsi="Arial Narrow"/>
                <w:color w:val="000000" w:themeColor="text1"/>
                <w:sz w:val="20"/>
                <w:szCs w:val="20"/>
              </w:rPr>
            </w:pPr>
            <w:r w:rsidRPr="00D04A12">
              <w:rPr>
                <w:rFonts w:ascii="Arial Narrow" w:hAnsi="Arial Narrow" w:cs="Calibri"/>
                <w:color w:val="000000" w:themeColor="text1"/>
                <w:sz w:val="20"/>
                <w:szCs w:val="20"/>
              </w:rPr>
              <w:t>10</w:t>
            </w:r>
          </w:p>
        </w:tc>
        <w:tc>
          <w:tcPr>
            <w:tcW w:w="1080" w:type="dxa"/>
            <w:tcBorders>
              <w:top w:val="single" w:sz="6" w:space="0" w:color="auto"/>
              <w:left w:val="single" w:sz="6" w:space="0" w:color="auto"/>
              <w:bottom w:val="single" w:sz="6" w:space="0" w:color="auto"/>
              <w:right w:val="single" w:sz="6" w:space="0" w:color="auto"/>
            </w:tcBorders>
            <w:shd w:val="clear" w:color="auto" w:fill="FF9999"/>
            <w:vAlign w:val="bottom"/>
          </w:tcPr>
          <w:p w14:paraId="5E8C96F6" w14:textId="18C2A1C8" w:rsidR="00D04A12" w:rsidRPr="00D04A12" w:rsidRDefault="00D04A12" w:rsidP="00D04A12">
            <w:pPr>
              <w:jc w:val="center"/>
              <w:rPr>
                <w:rFonts w:ascii="Arial Narrow" w:hAnsi="Arial Narrow" w:cs="Calibri"/>
                <w:color w:val="000000" w:themeColor="text1"/>
                <w:sz w:val="20"/>
                <w:szCs w:val="20"/>
              </w:rPr>
            </w:pPr>
            <w:r w:rsidRPr="00D04A12">
              <w:rPr>
                <w:rFonts w:ascii="Arial Narrow" w:hAnsi="Arial Narrow" w:cs="Calibri"/>
                <w:color w:val="000000" w:themeColor="text1"/>
                <w:sz w:val="20"/>
                <w:szCs w:val="20"/>
              </w:rPr>
              <w:t>13</w:t>
            </w:r>
          </w:p>
        </w:tc>
        <w:tc>
          <w:tcPr>
            <w:tcW w:w="1710" w:type="dxa"/>
            <w:tcBorders>
              <w:top w:val="single" w:sz="6" w:space="0" w:color="auto"/>
              <w:left w:val="single" w:sz="6" w:space="0" w:color="auto"/>
              <w:bottom w:val="single" w:sz="6" w:space="0" w:color="auto"/>
              <w:right w:val="single" w:sz="6" w:space="0" w:color="auto"/>
            </w:tcBorders>
            <w:shd w:val="clear" w:color="auto" w:fill="FF9999"/>
            <w:vAlign w:val="bottom"/>
          </w:tcPr>
          <w:p w14:paraId="4A40E0E5" w14:textId="7DC52E39" w:rsidR="00D04A12" w:rsidRPr="00D04A12" w:rsidRDefault="00D04A12" w:rsidP="00D04A12">
            <w:pPr>
              <w:jc w:val="center"/>
              <w:rPr>
                <w:rFonts w:ascii="Arial Narrow" w:hAnsi="Arial Narrow" w:cs="Calibri"/>
                <w:color w:val="000000" w:themeColor="text1"/>
                <w:sz w:val="20"/>
                <w:szCs w:val="20"/>
              </w:rPr>
            </w:pPr>
            <w:r w:rsidRPr="00D04A12">
              <w:rPr>
                <w:rFonts w:ascii="Arial Narrow" w:hAnsi="Arial Narrow" w:cs="Calibri"/>
                <w:color w:val="000000" w:themeColor="text1"/>
                <w:sz w:val="20"/>
                <w:szCs w:val="20"/>
              </w:rPr>
              <w:t>6</w:t>
            </w:r>
          </w:p>
        </w:tc>
        <w:tc>
          <w:tcPr>
            <w:tcW w:w="1440" w:type="dxa"/>
            <w:tcBorders>
              <w:top w:val="single" w:sz="6" w:space="0" w:color="auto"/>
              <w:left w:val="single" w:sz="6" w:space="0" w:color="auto"/>
              <w:bottom w:val="single" w:sz="6" w:space="0" w:color="auto"/>
              <w:right w:val="single" w:sz="6" w:space="0" w:color="auto"/>
            </w:tcBorders>
            <w:shd w:val="clear" w:color="auto" w:fill="C5E0B3" w:themeFill="accent6" w:themeFillTint="66"/>
            <w:vAlign w:val="bottom"/>
          </w:tcPr>
          <w:p w14:paraId="3811EA35" w14:textId="4A121349" w:rsidR="00D04A12" w:rsidRPr="00D04A12" w:rsidRDefault="00D04A12" w:rsidP="00D04A12">
            <w:pPr>
              <w:jc w:val="center"/>
              <w:rPr>
                <w:rFonts w:ascii="Arial Narrow" w:hAnsi="Arial Narrow" w:cs="Calibri"/>
                <w:color w:val="000000" w:themeColor="text1"/>
                <w:sz w:val="20"/>
                <w:szCs w:val="20"/>
              </w:rPr>
            </w:pPr>
            <w:r w:rsidRPr="00D04A12">
              <w:rPr>
                <w:rFonts w:ascii="Arial Narrow" w:hAnsi="Arial Narrow" w:cs="Calibri"/>
                <w:color w:val="000000" w:themeColor="text1"/>
                <w:sz w:val="20"/>
                <w:szCs w:val="20"/>
              </w:rPr>
              <w:t>-12</w:t>
            </w:r>
          </w:p>
        </w:tc>
      </w:tr>
      <w:tr w:rsidR="00D04A12" w:rsidRPr="007E72F0" w14:paraId="51DCB7B7" w14:textId="77777777" w:rsidTr="00D04A12">
        <w:trPr>
          <w:trHeight w:val="247"/>
        </w:trPr>
        <w:tc>
          <w:tcPr>
            <w:tcW w:w="3244" w:type="dxa"/>
            <w:tcBorders>
              <w:top w:val="single" w:sz="6" w:space="0" w:color="auto"/>
              <w:left w:val="single" w:sz="6" w:space="0" w:color="auto"/>
              <w:bottom w:val="single" w:sz="6" w:space="0" w:color="auto"/>
              <w:right w:val="single" w:sz="6" w:space="0" w:color="auto"/>
            </w:tcBorders>
            <w:vAlign w:val="bottom"/>
          </w:tcPr>
          <w:p w14:paraId="5AB8C43D" w14:textId="265D9A55" w:rsidR="00D04A12" w:rsidRPr="00D04A12" w:rsidRDefault="00D04A12" w:rsidP="00D04A12">
            <w:pPr>
              <w:rPr>
                <w:rFonts w:ascii="Arial Narrow" w:hAnsi="Arial Narrow"/>
                <w:color w:val="000000"/>
                <w:sz w:val="20"/>
                <w:szCs w:val="20"/>
              </w:rPr>
            </w:pPr>
            <w:r w:rsidRPr="00D04A12">
              <w:rPr>
                <w:rFonts w:ascii="Arial Narrow" w:hAnsi="Arial Narrow" w:cs="Calibri"/>
                <w:color w:val="000000"/>
                <w:sz w:val="20"/>
                <w:szCs w:val="20"/>
              </w:rPr>
              <w:t>Organic Matter</w:t>
            </w:r>
          </w:p>
        </w:tc>
        <w:tc>
          <w:tcPr>
            <w:tcW w:w="1800" w:type="dxa"/>
            <w:tcBorders>
              <w:top w:val="single" w:sz="6" w:space="0" w:color="auto"/>
              <w:left w:val="single" w:sz="6" w:space="0" w:color="auto"/>
              <w:bottom w:val="single" w:sz="6" w:space="0" w:color="auto"/>
              <w:right w:val="single" w:sz="6" w:space="0" w:color="auto"/>
            </w:tcBorders>
            <w:shd w:val="clear" w:color="auto" w:fill="C5E0B3"/>
            <w:vAlign w:val="bottom"/>
          </w:tcPr>
          <w:p w14:paraId="7D4D3C7C" w14:textId="5AEE65CE" w:rsidR="00D04A12" w:rsidRPr="00D04A12" w:rsidRDefault="00D04A12" w:rsidP="00D04A12">
            <w:pPr>
              <w:jc w:val="center"/>
              <w:rPr>
                <w:rFonts w:ascii="Arial Narrow" w:hAnsi="Arial Narrow"/>
                <w:color w:val="000000" w:themeColor="text1"/>
                <w:sz w:val="20"/>
                <w:szCs w:val="20"/>
              </w:rPr>
            </w:pPr>
            <w:r w:rsidRPr="00D04A12">
              <w:rPr>
                <w:rFonts w:ascii="Arial Narrow" w:hAnsi="Arial Narrow" w:cs="Calibri"/>
                <w:color w:val="000000" w:themeColor="text1"/>
                <w:sz w:val="20"/>
                <w:szCs w:val="20"/>
              </w:rPr>
              <w:t>-9</w:t>
            </w:r>
          </w:p>
        </w:tc>
        <w:tc>
          <w:tcPr>
            <w:tcW w:w="1080" w:type="dxa"/>
            <w:tcBorders>
              <w:top w:val="single" w:sz="6" w:space="0" w:color="auto"/>
              <w:left w:val="single" w:sz="6" w:space="0" w:color="auto"/>
              <w:bottom w:val="single" w:sz="6" w:space="0" w:color="auto"/>
              <w:right w:val="single" w:sz="6" w:space="0" w:color="auto"/>
            </w:tcBorders>
            <w:shd w:val="clear" w:color="auto" w:fill="C5E0B3" w:themeFill="accent6" w:themeFillTint="66"/>
            <w:vAlign w:val="bottom"/>
          </w:tcPr>
          <w:p w14:paraId="527035C1" w14:textId="06C47FDC" w:rsidR="00D04A12" w:rsidRPr="00D04A12" w:rsidRDefault="00D04A12" w:rsidP="00D04A12">
            <w:pPr>
              <w:jc w:val="center"/>
              <w:rPr>
                <w:rFonts w:ascii="Arial Narrow" w:hAnsi="Arial Narrow" w:cs="Calibri"/>
                <w:color w:val="000000" w:themeColor="text1"/>
                <w:sz w:val="20"/>
                <w:szCs w:val="20"/>
              </w:rPr>
            </w:pPr>
            <w:r w:rsidRPr="00D04A12">
              <w:rPr>
                <w:rFonts w:ascii="Arial Narrow" w:hAnsi="Arial Narrow" w:cs="Calibri"/>
                <w:color w:val="000000" w:themeColor="text1"/>
                <w:sz w:val="20"/>
                <w:szCs w:val="20"/>
              </w:rPr>
              <w:t>-11</w:t>
            </w:r>
          </w:p>
        </w:tc>
        <w:tc>
          <w:tcPr>
            <w:tcW w:w="1710" w:type="dxa"/>
            <w:tcBorders>
              <w:top w:val="single" w:sz="6" w:space="0" w:color="auto"/>
              <w:left w:val="single" w:sz="6" w:space="0" w:color="auto"/>
              <w:bottom w:val="single" w:sz="6" w:space="0" w:color="auto"/>
              <w:right w:val="single" w:sz="6" w:space="0" w:color="auto"/>
            </w:tcBorders>
            <w:shd w:val="clear" w:color="auto" w:fill="C5E0B3" w:themeFill="accent6" w:themeFillTint="66"/>
            <w:vAlign w:val="bottom"/>
          </w:tcPr>
          <w:p w14:paraId="4CAEF16A" w14:textId="3B69BD3D" w:rsidR="00D04A12" w:rsidRPr="00D04A12" w:rsidRDefault="00D04A12" w:rsidP="00D04A12">
            <w:pPr>
              <w:jc w:val="center"/>
              <w:rPr>
                <w:rFonts w:ascii="Arial Narrow" w:hAnsi="Arial Narrow" w:cs="Calibri"/>
                <w:color w:val="000000" w:themeColor="text1"/>
                <w:sz w:val="20"/>
                <w:szCs w:val="20"/>
              </w:rPr>
            </w:pPr>
            <w:r w:rsidRPr="00D04A12">
              <w:rPr>
                <w:rFonts w:ascii="Arial Narrow" w:hAnsi="Arial Narrow" w:cs="Calibri"/>
                <w:color w:val="000000" w:themeColor="text1"/>
                <w:sz w:val="20"/>
                <w:szCs w:val="20"/>
              </w:rPr>
              <w:t>-12</w:t>
            </w:r>
          </w:p>
        </w:tc>
        <w:tc>
          <w:tcPr>
            <w:tcW w:w="1440" w:type="dxa"/>
            <w:tcBorders>
              <w:top w:val="single" w:sz="6" w:space="0" w:color="auto"/>
              <w:left w:val="single" w:sz="6" w:space="0" w:color="auto"/>
              <w:bottom w:val="single" w:sz="6" w:space="0" w:color="auto"/>
              <w:right w:val="single" w:sz="6" w:space="0" w:color="auto"/>
            </w:tcBorders>
            <w:shd w:val="clear" w:color="auto" w:fill="C5E0B3" w:themeFill="accent6" w:themeFillTint="66"/>
            <w:vAlign w:val="bottom"/>
          </w:tcPr>
          <w:p w14:paraId="17166992" w14:textId="70662FFF" w:rsidR="00D04A12" w:rsidRPr="00D04A12" w:rsidRDefault="00D04A12" w:rsidP="00D04A12">
            <w:pPr>
              <w:jc w:val="center"/>
              <w:rPr>
                <w:rFonts w:ascii="Arial Narrow" w:hAnsi="Arial Narrow" w:cs="Calibri"/>
                <w:color w:val="000000" w:themeColor="text1"/>
                <w:sz w:val="20"/>
                <w:szCs w:val="20"/>
              </w:rPr>
            </w:pPr>
            <w:r w:rsidRPr="00D04A12">
              <w:rPr>
                <w:rFonts w:ascii="Arial Narrow" w:hAnsi="Arial Narrow" w:cs="Calibri"/>
                <w:color w:val="000000" w:themeColor="text1"/>
                <w:sz w:val="20"/>
                <w:szCs w:val="20"/>
              </w:rPr>
              <w:t>-11</w:t>
            </w:r>
          </w:p>
        </w:tc>
      </w:tr>
      <w:tr w:rsidR="00D04A12" w:rsidRPr="007E72F0" w14:paraId="7797AE9B" w14:textId="77777777" w:rsidTr="00D04A12">
        <w:trPr>
          <w:trHeight w:val="247"/>
        </w:trPr>
        <w:tc>
          <w:tcPr>
            <w:tcW w:w="3244" w:type="dxa"/>
            <w:tcBorders>
              <w:top w:val="single" w:sz="6" w:space="0" w:color="auto"/>
              <w:left w:val="single" w:sz="6" w:space="0" w:color="auto"/>
              <w:bottom w:val="single" w:sz="6" w:space="0" w:color="auto"/>
              <w:right w:val="single" w:sz="6" w:space="0" w:color="auto"/>
            </w:tcBorders>
            <w:vAlign w:val="bottom"/>
          </w:tcPr>
          <w:p w14:paraId="1B80D1BB" w14:textId="05B658F3" w:rsidR="00D04A12" w:rsidRPr="00D04A12" w:rsidRDefault="00841251" w:rsidP="00D04A12">
            <w:pPr>
              <w:rPr>
                <w:rFonts w:ascii="Arial Narrow" w:hAnsi="Arial Narrow"/>
                <w:color w:val="000000"/>
                <w:sz w:val="20"/>
                <w:szCs w:val="20"/>
                <w:highlight w:val="yellow"/>
              </w:rPr>
            </w:pPr>
            <w:r>
              <w:rPr>
                <w:rFonts w:ascii="Arial Narrow" w:hAnsi="Arial Narrow" w:cs="Calibri"/>
                <w:color w:val="000000"/>
                <w:sz w:val="20"/>
                <w:szCs w:val="20"/>
              </w:rPr>
              <w:t xml:space="preserve">Total </w:t>
            </w:r>
            <w:r w:rsidR="00D04A12" w:rsidRPr="00D04A12">
              <w:rPr>
                <w:rFonts w:ascii="Arial Narrow" w:hAnsi="Arial Narrow" w:cs="Calibri"/>
                <w:color w:val="000000"/>
                <w:sz w:val="20"/>
                <w:szCs w:val="20"/>
              </w:rPr>
              <w:t>Phosphorus</w:t>
            </w:r>
          </w:p>
        </w:tc>
        <w:tc>
          <w:tcPr>
            <w:tcW w:w="1800" w:type="dxa"/>
            <w:tcBorders>
              <w:top w:val="single" w:sz="6" w:space="0" w:color="auto"/>
              <w:left w:val="single" w:sz="6" w:space="0" w:color="auto"/>
              <w:bottom w:val="single" w:sz="6" w:space="0" w:color="auto"/>
              <w:right w:val="single" w:sz="6" w:space="0" w:color="auto"/>
            </w:tcBorders>
            <w:shd w:val="clear" w:color="auto" w:fill="C5E0B3"/>
            <w:vAlign w:val="bottom"/>
          </w:tcPr>
          <w:p w14:paraId="37FABC24" w14:textId="488F96BA" w:rsidR="00D04A12" w:rsidRPr="00D04A12" w:rsidRDefault="00D04A12" w:rsidP="00D04A12">
            <w:pPr>
              <w:jc w:val="center"/>
              <w:rPr>
                <w:rFonts w:ascii="Arial Narrow" w:hAnsi="Arial Narrow"/>
                <w:color w:val="000000" w:themeColor="text1"/>
                <w:sz w:val="20"/>
                <w:szCs w:val="20"/>
              </w:rPr>
            </w:pPr>
            <w:r w:rsidRPr="00D04A12">
              <w:rPr>
                <w:rFonts w:ascii="Arial Narrow" w:hAnsi="Arial Narrow" w:cs="Calibri"/>
                <w:color w:val="000000" w:themeColor="text1"/>
                <w:sz w:val="20"/>
                <w:szCs w:val="20"/>
              </w:rPr>
              <w:t>-5</w:t>
            </w:r>
          </w:p>
        </w:tc>
        <w:tc>
          <w:tcPr>
            <w:tcW w:w="1080" w:type="dxa"/>
            <w:tcBorders>
              <w:top w:val="single" w:sz="6" w:space="0" w:color="auto"/>
              <w:left w:val="single" w:sz="6" w:space="0" w:color="auto"/>
              <w:bottom w:val="single" w:sz="6" w:space="0" w:color="auto"/>
              <w:right w:val="single" w:sz="6" w:space="0" w:color="auto"/>
            </w:tcBorders>
            <w:shd w:val="clear" w:color="auto" w:fill="C5E0B3" w:themeFill="accent6" w:themeFillTint="66"/>
            <w:vAlign w:val="bottom"/>
          </w:tcPr>
          <w:p w14:paraId="4C828606" w14:textId="479636A9" w:rsidR="00D04A12" w:rsidRPr="00D04A12" w:rsidRDefault="00D04A12" w:rsidP="00D04A12">
            <w:pPr>
              <w:jc w:val="center"/>
              <w:rPr>
                <w:rFonts w:ascii="Arial Narrow" w:hAnsi="Arial Narrow" w:cs="Calibri"/>
                <w:color w:val="000000" w:themeColor="text1"/>
                <w:sz w:val="20"/>
                <w:szCs w:val="20"/>
              </w:rPr>
            </w:pPr>
            <w:r w:rsidRPr="00D04A12">
              <w:rPr>
                <w:rFonts w:ascii="Arial Narrow" w:hAnsi="Arial Narrow" w:cs="Calibri"/>
                <w:color w:val="000000" w:themeColor="text1"/>
                <w:sz w:val="20"/>
                <w:szCs w:val="20"/>
              </w:rPr>
              <w:t>-5</w:t>
            </w:r>
          </w:p>
        </w:tc>
        <w:tc>
          <w:tcPr>
            <w:tcW w:w="1710" w:type="dxa"/>
            <w:tcBorders>
              <w:top w:val="single" w:sz="6" w:space="0" w:color="auto"/>
              <w:left w:val="single" w:sz="6" w:space="0" w:color="auto"/>
              <w:bottom w:val="single" w:sz="6" w:space="0" w:color="auto"/>
              <w:right w:val="single" w:sz="6" w:space="0" w:color="auto"/>
            </w:tcBorders>
            <w:shd w:val="clear" w:color="auto" w:fill="FF9999"/>
            <w:vAlign w:val="bottom"/>
          </w:tcPr>
          <w:p w14:paraId="6780AD0F" w14:textId="68BBCA1C" w:rsidR="00D04A12" w:rsidRPr="00D04A12" w:rsidRDefault="00D04A12" w:rsidP="00D04A12">
            <w:pPr>
              <w:jc w:val="center"/>
              <w:rPr>
                <w:rFonts w:ascii="Arial Narrow" w:hAnsi="Arial Narrow" w:cs="Calibri"/>
                <w:color w:val="000000" w:themeColor="text1"/>
                <w:sz w:val="20"/>
                <w:szCs w:val="20"/>
              </w:rPr>
            </w:pPr>
            <w:r w:rsidRPr="00D04A12">
              <w:rPr>
                <w:rFonts w:ascii="Arial Narrow" w:hAnsi="Arial Narrow" w:cs="Calibri"/>
                <w:color w:val="000000" w:themeColor="text1"/>
                <w:sz w:val="20"/>
                <w:szCs w:val="20"/>
              </w:rPr>
              <w:t>5</w:t>
            </w:r>
          </w:p>
        </w:tc>
        <w:tc>
          <w:tcPr>
            <w:tcW w:w="1440" w:type="dxa"/>
            <w:tcBorders>
              <w:top w:val="single" w:sz="6" w:space="0" w:color="auto"/>
              <w:left w:val="single" w:sz="6" w:space="0" w:color="auto"/>
              <w:bottom w:val="single" w:sz="6" w:space="0" w:color="auto"/>
              <w:right w:val="single" w:sz="6" w:space="0" w:color="auto"/>
            </w:tcBorders>
            <w:shd w:val="clear" w:color="auto" w:fill="FF9999"/>
            <w:vAlign w:val="bottom"/>
          </w:tcPr>
          <w:p w14:paraId="29107650" w14:textId="0DF636A0" w:rsidR="00D04A12" w:rsidRPr="00D04A12" w:rsidRDefault="00D04A12" w:rsidP="00D04A12">
            <w:pPr>
              <w:jc w:val="center"/>
              <w:rPr>
                <w:rFonts w:ascii="Arial Narrow" w:hAnsi="Arial Narrow" w:cs="Calibri"/>
                <w:color w:val="000000" w:themeColor="text1"/>
                <w:sz w:val="20"/>
                <w:szCs w:val="20"/>
              </w:rPr>
            </w:pPr>
            <w:r w:rsidRPr="00D04A12">
              <w:rPr>
                <w:rFonts w:ascii="Arial Narrow" w:hAnsi="Arial Narrow" w:cs="Calibri"/>
                <w:color w:val="000000" w:themeColor="text1"/>
                <w:sz w:val="20"/>
                <w:szCs w:val="20"/>
              </w:rPr>
              <w:t>5</w:t>
            </w:r>
          </w:p>
        </w:tc>
      </w:tr>
      <w:tr w:rsidR="00D04A12" w:rsidRPr="007E72F0" w14:paraId="351E1913" w14:textId="77777777" w:rsidTr="00FB5146">
        <w:trPr>
          <w:trHeight w:val="247"/>
        </w:trPr>
        <w:tc>
          <w:tcPr>
            <w:tcW w:w="3244" w:type="dxa"/>
            <w:tcBorders>
              <w:top w:val="single" w:sz="6" w:space="0" w:color="auto"/>
              <w:left w:val="single" w:sz="6" w:space="0" w:color="auto"/>
              <w:bottom w:val="single" w:sz="6" w:space="0" w:color="auto"/>
              <w:right w:val="single" w:sz="6" w:space="0" w:color="auto"/>
            </w:tcBorders>
            <w:vAlign w:val="bottom"/>
          </w:tcPr>
          <w:p w14:paraId="11125E75" w14:textId="14E12B9A" w:rsidR="00D04A12" w:rsidRPr="00D04A12" w:rsidRDefault="00841251" w:rsidP="00D04A12">
            <w:pPr>
              <w:rPr>
                <w:rFonts w:ascii="Arial Narrow" w:hAnsi="Arial Narrow"/>
                <w:color w:val="000000"/>
                <w:sz w:val="20"/>
                <w:szCs w:val="20"/>
                <w:highlight w:val="yellow"/>
              </w:rPr>
            </w:pPr>
            <w:r>
              <w:rPr>
                <w:rFonts w:ascii="Arial Narrow" w:hAnsi="Arial Narrow" w:cs="Calibri"/>
                <w:color w:val="000000"/>
                <w:sz w:val="20"/>
                <w:szCs w:val="20"/>
              </w:rPr>
              <w:t xml:space="preserve">Total </w:t>
            </w:r>
            <w:r w:rsidR="00D04A12" w:rsidRPr="00D04A12">
              <w:rPr>
                <w:rFonts w:ascii="Arial Narrow" w:hAnsi="Arial Narrow" w:cs="Calibri"/>
                <w:color w:val="000000"/>
                <w:sz w:val="20"/>
                <w:szCs w:val="20"/>
              </w:rPr>
              <w:t>Nitrogen</w:t>
            </w:r>
          </w:p>
        </w:tc>
        <w:tc>
          <w:tcPr>
            <w:tcW w:w="1800" w:type="dxa"/>
            <w:tcBorders>
              <w:top w:val="single" w:sz="6" w:space="0" w:color="auto"/>
              <w:left w:val="single" w:sz="6" w:space="0" w:color="auto"/>
              <w:bottom w:val="single" w:sz="6" w:space="0" w:color="auto"/>
              <w:right w:val="single" w:sz="6" w:space="0" w:color="auto"/>
            </w:tcBorders>
            <w:shd w:val="clear" w:color="auto" w:fill="C5E0B3" w:themeFill="accent6" w:themeFillTint="66"/>
            <w:vAlign w:val="bottom"/>
          </w:tcPr>
          <w:p w14:paraId="08BE6295" w14:textId="2B3F5EDD" w:rsidR="00D04A12" w:rsidRPr="00D04A12" w:rsidRDefault="00D04A12" w:rsidP="00D04A12">
            <w:pPr>
              <w:jc w:val="center"/>
              <w:rPr>
                <w:rFonts w:ascii="Arial Narrow" w:hAnsi="Arial Narrow"/>
                <w:color w:val="000000" w:themeColor="text1"/>
                <w:sz w:val="20"/>
                <w:szCs w:val="20"/>
              </w:rPr>
            </w:pPr>
            <w:r w:rsidRPr="00D04A12">
              <w:rPr>
                <w:rFonts w:ascii="Arial Narrow" w:hAnsi="Arial Narrow" w:cs="Calibri"/>
                <w:color w:val="000000" w:themeColor="text1"/>
                <w:sz w:val="20"/>
                <w:szCs w:val="20"/>
              </w:rPr>
              <w:t>-3</w:t>
            </w:r>
          </w:p>
        </w:tc>
        <w:tc>
          <w:tcPr>
            <w:tcW w:w="1080" w:type="dxa"/>
            <w:tcBorders>
              <w:top w:val="single" w:sz="6" w:space="0" w:color="auto"/>
              <w:left w:val="single" w:sz="6" w:space="0" w:color="auto"/>
              <w:bottom w:val="single" w:sz="6" w:space="0" w:color="auto"/>
              <w:right w:val="single" w:sz="6" w:space="0" w:color="auto"/>
            </w:tcBorders>
            <w:shd w:val="clear" w:color="auto" w:fill="FFD966"/>
            <w:vAlign w:val="bottom"/>
          </w:tcPr>
          <w:p w14:paraId="622970AB" w14:textId="39271B5A" w:rsidR="00D04A12" w:rsidRPr="00D04A12" w:rsidRDefault="00D04A12" w:rsidP="00D04A12">
            <w:pPr>
              <w:jc w:val="center"/>
              <w:rPr>
                <w:rFonts w:ascii="Arial Narrow" w:hAnsi="Arial Narrow" w:cs="Calibri"/>
                <w:color w:val="000000" w:themeColor="text1"/>
                <w:sz w:val="20"/>
                <w:szCs w:val="20"/>
              </w:rPr>
            </w:pPr>
            <w:r w:rsidRPr="00D04A12">
              <w:rPr>
                <w:rFonts w:ascii="Arial Narrow" w:hAnsi="Arial Narrow" w:cs="Calibri"/>
                <w:color w:val="000000" w:themeColor="text1"/>
                <w:sz w:val="20"/>
                <w:szCs w:val="20"/>
              </w:rPr>
              <w:t>3</w:t>
            </w:r>
          </w:p>
        </w:tc>
        <w:tc>
          <w:tcPr>
            <w:tcW w:w="1710" w:type="dxa"/>
            <w:tcBorders>
              <w:top w:val="single" w:sz="6" w:space="0" w:color="auto"/>
              <w:left w:val="single" w:sz="6" w:space="0" w:color="auto"/>
              <w:bottom w:val="single" w:sz="6" w:space="0" w:color="auto"/>
              <w:right w:val="single" w:sz="6" w:space="0" w:color="auto"/>
            </w:tcBorders>
            <w:shd w:val="clear" w:color="auto" w:fill="C5E0B3" w:themeFill="accent6" w:themeFillTint="66"/>
            <w:vAlign w:val="bottom"/>
          </w:tcPr>
          <w:p w14:paraId="06AB744C" w14:textId="2C512815" w:rsidR="00D04A12" w:rsidRPr="00D04A12" w:rsidRDefault="00D04A12" w:rsidP="00D04A12">
            <w:pPr>
              <w:jc w:val="center"/>
              <w:rPr>
                <w:rFonts w:ascii="Arial Narrow" w:hAnsi="Arial Narrow" w:cs="Calibri"/>
                <w:color w:val="000000" w:themeColor="text1"/>
                <w:sz w:val="20"/>
                <w:szCs w:val="20"/>
              </w:rPr>
            </w:pPr>
            <w:r w:rsidRPr="00D04A12">
              <w:rPr>
                <w:rFonts w:ascii="Arial Narrow" w:hAnsi="Arial Narrow" w:cs="Calibri"/>
                <w:color w:val="000000" w:themeColor="text1"/>
                <w:sz w:val="20"/>
                <w:szCs w:val="20"/>
              </w:rPr>
              <w:t>-3</w:t>
            </w:r>
          </w:p>
        </w:tc>
        <w:tc>
          <w:tcPr>
            <w:tcW w:w="1440" w:type="dxa"/>
            <w:tcBorders>
              <w:top w:val="single" w:sz="6" w:space="0" w:color="auto"/>
              <w:left w:val="single" w:sz="6" w:space="0" w:color="auto"/>
              <w:bottom w:val="single" w:sz="6" w:space="0" w:color="auto"/>
              <w:right w:val="single" w:sz="6" w:space="0" w:color="auto"/>
            </w:tcBorders>
            <w:shd w:val="clear" w:color="auto" w:fill="FF9999"/>
            <w:vAlign w:val="bottom"/>
          </w:tcPr>
          <w:p w14:paraId="0AD8AAD3" w14:textId="5DD23AB9" w:rsidR="00D04A12" w:rsidRPr="00D04A12" w:rsidRDefault="00D04A12" w:rsidP="00D04A12">
            <w:pPr>
              <w:jc w:val="center"/>
              <w:rPr>
                <w:rFonts w:ascii="Arial Narrow" w:hAnsi="Arial Narrow" w:cs="Calibri"/>
                <w:color w:val="000000" w:themeColor="text1"/>
                <w:sz w:val="20"/>
                <w:szCs w:val="20"/>
              </w:rPr>
            </w:pPr>
            <w:r w:rsidRPr="00D04A12">
              <w:rPr>
                <w:rFonts w:ascii="Arial Narrow" w:hAnsi="Arial Narrow" w:cs="Calibri"/>
                <w:color w:val="000000" w:themeColor="text1"/>
                <w:sz w:val="20"/>
                <w:szCs w:val="20"/>
              </w:rPr>
              <w:t>14</w:t>
            </w:r>
          </w:p>
        </w:tc>
      </w:tr>
      <w:tr w:rsidR="00EE2FD8" w:rsidRPr="007E72F0" w14:paraId="7A138AFD" w14:textId="77777777" w:rsidTr="00D04A12">
        <w:trPr>
          <w:trHeight w:val="247"/>
        </w:trPr>
        <w:tc>
          <w:tcPr>
            <w:tcW w:w="3244" w:type="dxa"/>
            <w:tcBorders>
              <w:top w:val="single" w:sz="6" w:space="0" w:color="auto"/>
              <w:left w:val="single" w:sz="6" w:space="0" w:color="auto"/>
              <w:bottom w:val="single" w:sz="6" w:space="0" w:color="auto"/>
              <w:right w:val="single" w:sz="6" w:space="0" w:color="auto"/>
            </w:tcBorders>
            <w:vAlign w:val="bottom"/>
          </w:tcPr>
          <w:p w14:paraId="5EB4BF20" w14:textId="23AAAD18" w:rsidR="00EE2FD8" w:rsidRPr="00D04A12" w:rsidRDefault="00EE2FD8" w:rsidP="00EE2FD8">
            <w:pPr>
              <w:rPr>
                <w:rFonts w:ascii="Arial Narrow" w:hAnsi="Arial Narrow"/>
                <w:color w:val="000000"/>
                <w:sz w:val="20"/>
                <w:szCs w:val="20"/>
              </w:rPr>
            </w:pPr>
            <w:r w:rsidRPr="00D04A12">
              <w:rPr>
                <w:rFonts w:ascii="Arial Narrow" w:hAnsi="Arial Narrow" w:cs="Calibri"/>
                <w:color w:val="000000"/>
                <w:sz w:val="20"/>
                <w:szCs w:val="20"/>
              </w:rPr>
              <w:t>Ammonia</w:t>
            </w:r>
          </w:p>
        </w:tc>
        <w:tc>
          <w:tcPr>
            <w:tcW w:w="1800" w:type="dxa"/>
            <w:tcBorders>
              <w:top w:val="single" w:sz="6" w:space="0" w:color="auto"/>
              <w:left w:val="single" w:sz="6" w:space="0" w:color="auto"/>
              <w:bottom w:val="single" w:sz="6" w:space="0" w:color="auto"/>
              <w:right w:val="single" w:sz="6" w:space="0" w:color="auto"/>
            </w:tcBorders>
            <w:shd w:val="clear" w:color="auto" w:fill="C5E0B3"/>
            <w:vAlign w:val="bottom"/>
          </w:tcPr>
          <w:p w14:paraId="57150491" w14:textId="21FC2AFC" w:rsidR="00EE2FD8" w:rsidRPr="00EE2FD8" w:rsidRDefault="00EE2FD8" w:rsidP="00EE2FD8">
            <w:pPr>
              <w:jc w:val="center"/>
              <w:rPr>
                <w:rFonts w:ascii="Arial Narrow" w:hAnsi="Arial Narrow"/>
                <w:color w:val="000000" w:themeColor="text1"/>
                <w:sz w:val="20"/>
                <w:szCs w:val="20"/>
              </w:rPr>
            </w:pPr>
            <w:r w:rsidRPr="00EE2FD8">
              <w:rPr>
                <w:rFonts w:ascii="Arial Narrow" w:hAnsi="Arial Narrow" w:cs="Calibri"/>
                <w:color w:val="000000"/>
                <w:sz w:val="20"/>
                <w:szCs w:val="20"/>
              </w:rPr>
              <w:t>-14</w:t>
            </w:r>
          </w:p>
        </w:tc>
        <w:tc>
          <w:tcPr>
            <w:tcW w:w="1080" w:type="dxa"/>
            <w:tcBorders>
              <w:top w:val="single" w:sz="6" w:space="0" w:color="auto"/>
              <w:left w:val="single" w:sz="6" w:space="0" w:color="auto"/>
              <w:bottom w:val="single" w:sz="6" w:space="0" w:color="auto"/>
              <w:right w:val="single" w:sz="6" w:space="0" w:color="auto"/>
            </w:tcBorders>
            <w:shd w:val="clear" w:color="auto" w:fill="C5E0B3"/>
            <w:vAlign w:val="bottom"/>
          </w:tcPr>
          <w:p w14:paraId="6BE40B4D" w14:textId="2AFD61FD" w:rsidR="00EE2FD8" w:rsidRPr="00EE2FD8" w:rsidRDefault="00EE2FD8" w:rsidP="00EE2FD8">
            <w:pPr>
              <w:jc w:val="center"/>
              <w:rPr>
                <w:rFonts w:ascii="Arial Narrow" w:hAnsi="Arial Narrow" w:cs="Calibri"/>
                <w:color w:val="000000" w:themeColor="text1"/>
                <w:sz w:val="20"/>
                <w:szCs w:val="20"/>
              </w:rPr>
            </w:pPr>
            <w:r w:rsidRPr="00EE2FD8">
              <w:rPr>
                <w:rFonts w:ascii="Arial Narrow" w:hAnsi="Arial Narrow" w:cs="Calibri"/>
                <w:color w:val="000000"/>
                <w:sz w:val="20"/>
                <w:szCs w:val="20"/>
              </w:rPr>
              <w:t>-13</w:t>
            </w:r>
          </w:p>
        </w:tc>
        <w:tc>
          <w:tcPr>
            <w:tcW w:w="1710" w:type="dxa"/>
            <w:tcBorders>
              <w:top w:val="single" w:sz="6" w:space="0" w:color="auto"/>
              <w:left w:val="single" w:sz="6" w:space="0" w:color="auto"/>
              <w:bottom w:val="single" w:sz="6" w:space="0" w:color="auto"/>
              <w:right w:val="single" w:sz="6" w:space="0" w:color="auto"/>
            </w:tcBorders>
            <w:shd w:val="clear" w:color="auto" w:fill="C5E0B3"/>
            <w:vAlign w:val="bottom"/>
          </w:tcPr>
          <w:p w14:paraId="62A2167E" w14:textId="35E6D9C0" w:rsidR="00EE2FD8" w:rsidRPr="00EE2FD8" w:rsidRDefault="00EE2FD8" w:rsidP="00EE2FD8">
            <w:pPr>
              <w:jc w:val="center"/>
              <w:rPr>
                <w:rFonts w:ascii="Arial Narrow" w:hAnsi="Arial Narrow" w:cs="Calibri"/>
                <w:color w:val="000000" w:themeColor="text1"/>
                <w:sz w:val="20"/>
                <w:szCs w:val="20"/>
              </w:rPr>
            </w:pPr>
            <w:r w:rsidRPr="00EE2FD8">
              <w:rPr>
                <w:rFonts w:ascii="Arial Narrow" w:hAnsi="Arial Narrow" w:cs="Calibri"/>
                <w:color w:val="000000"/>
                <w:sz w:val="20"/>
                <w:szCs w:val="20"/>
              </w:rPr>
              <w:t>-16</w:t>
            </w:r>
          </w:p>
        </w:tc>
        <w:tc>
          <w:tcPr>
            <w:tcW w:w="1440" w:type="dxa"/>
            <w:tcBorders>
              <w:top w:val="single" w:sz="6" w:space="0" w:color="auto"/>
              <w:left w:val="single" w:sz="6" w:space="0" w:color="auto"/>
              <w:bottom w:val="single" w:sz="6" w:space="0" w:color="auto"/>
              <w:right w:val="single" w:sz="6" w:space="0" w:color="auto"/>
            </w:tcBorders>
            <w:shd w:val="clear" w:color="auto" w:fill="C5E0B3"/>
            <w:vAlign w:val="bottom"/>
          </w:tcPr>
          <w:p w14:paraId="5C5D15A0" w14:textId="4DDE9BB3" w:rsidR="00EE2FD8" w:rsidRPr="00EE2FD8" w:rsidRDefault="00EE2FD8" w:rsidP="00EE2FD8">
            <w:pPr>
              <w:jc w:val="center"/>
              <w:rPr>
                <w:rFonts w:ascii="Arial Narrow" w:hAnsi="Arial Narrow" w:cs="Calibri"/>
                <w:color w:val="000000" w:themeColor="text1"/>
                <w:sz w:val="20"/>
                <w:szCs w:val="20"/>
              </w:rPr>
            </w:pPr>
            <w:r w:rsidRPr="00EE2FD8">
              <w:rPr>
                <w:rFonts w:ascii="Arial Narrow" w:hAnsi="Arial Narrow" w:cs="Calibri"/>
                <w:color w:val="000000"/>
                <w:sz w:val="20"/>
                <w:szCs w:val="20"/>
              </w:rPr>
              <w:t>-15</w:t>
            </w:r>
          </w:p>
        </w:tc>
      </w:tr>
      <w:tr w:rsidR="00EE2FD8" w:rsidRPr="007E72F0" w14:paraId="7D5D83D5" w14:textId="77777777" w:rsidTr="00D04A12">
        <w:trPr>
          <w:trHeight w:val="247"/>
        </w:trPr>
        <w:tc>
          <w:tcPr>
            <w:tcW w:w="3244" w:type="dxa"/>
            <w:tcBorders>
              <w:top w:val="single" w:sz="6" w:space="0" w:color="auto"/>
              <w:left w:val="single" w:sz="6" w:space="0" w:color="auto"/>
              <w:bottom w:val="single" w:sz="6" w:space="0" w:color="auto"/>
              <w:right w:val="single" w:sz="6" w:space="0" w:color="auto"/>
            </w:tcBorders>
            <w:vAlign w:val="bottom"/>
          </w:tcPr>
          <w:p w14:paraId="5AC81361" w14:textId="0ECEA314" w:rsidR="00EE2FD8" w:rsidRPr="00D04A12" w:rsidRDefault="00EE2FD8" w:rsidP="00EE2FD8">
            <w:pPr>
              <w:rPr>
                <w:rFonts w:ascii="Arial Narrow" w:hAnsi="Arial Narrow"/>
                <w:color w:val="000000"/>
                <w:sz w:val="20"/>
                <w:szCs w:val="20"/>
              </w:rPr>
            </w:pPr>
            <w:r>
              <w:rPr>
                <w:rFonts w:ascii="Arial Narrow" w:hAnsi="Arial Narrow" w:cs="Calibri"/>
                <w:color w:val="000000"/>
                <w:sz w:val="20"/>
                <w:szCs w:val="20"/>
              </w:rPr>
              <w:t xml:space="preserve">Dissolved </w:t>
            </w:r>
            <w:r w:rsidRPr="00D04A12">
              <w:rPr>
                <w:rFonts w:ascii="Arial Narrow" w:hAnsi="Arial Narrow" w:cs="Calibri"/>
                <w:color w:val="000000"/>
                <w:sz w:val="20"/>
                <w:szCs w:val="20"/>
              </w:rPr>
              <w:t>Metals</w:t>
            </w:r>
          </w:p>
        </w:tc>
        <w:tc>
          <w:tcPr>
            <w:tcW w:w="1800" w:type="dxa"/>
            <w:tcBorders>
              <w:top w:val="single" w:sz="6" w:space="0" w:color="auto"/>
              <w:left w:val="single" w:sz="6" w:space="0" w:color="auto"/>
              <w:bottom w:val="single" w:sz="6" w:space="0" w:color="auto"/>
              <w:right w:val="single" w:sz="6" w:space="0" w:color="auto"/>
            </w:tcBorders>
            <w:shd w:val="clear" w:color="auto" w:fill="C5E0B3"/>
            <w:vAlign w:val="bottom"/>
          </w:tcPr>
          <w:p w14:paraId="489C59AA" w14:textId="7EFFB22D" w:rsidR="00EE2FD8" w:rsidRPr="00EE2FD8" w:rsidRDefault="00EE2FD8" w:rsidP="00EE2FD8">
            <w:pPr>
              <w:jc w:val="center"/>
              <w:rPr>
                <w:rFonts w:ascii="Arial Narrow" w:hAnsi="Arial Narrow"/>
                <w:color w:val="000000" w:themeColor="text1"/>
                <w:sz w:val="20"/>
                <w:szCs w:val="20"/>
              </w:rPr>
            </w:pPr>
            <w:r w:rsidRPr="00EE2FD8">
              <w:rPr>
                <w:rFonts w:ascii="Arial Narrow" w:hAnsi="Arial Narrow" w:cs="Calibri"/>
                <w:color w:val="000000"/>
                <w:sz w:val="20"/>
                <w:szCs w:val="20"/>
              </w:rPr>
              <w:t>-13</w:t>
            </w:r>
          </w:p>
        </w:tc>
        <w:tc>
          <w:tcPr>
            <w:tcW w:w="1080" w:type="dxa"/>
            <w:tcBorders>
              <w:top w:val="single" w:sz="6" w:space="0" w:color="auto"/>
              <w:left w:val="single" w:sz="6" w:space="0" w:color="auto"/>
              <w:bottom w:val="single" w:sz="6" w:space="0" w:color="auto"/>
              <w:right w:val="single" w:sz="6" w:space="0" w:color="auto"/>
            </w:tcBorders>
            <w:shd w:val="clear" w:color="auto" w:fill="C5E0B3"/>
            <w:vAlign w:val="bottom"/>
          </w:tcPr>
          <w:p w14:paraId="59C5CD38" w14:textId="2B38B4C3" w:rsidR="00EE2FD8" w:rsidRPr="00EE2FD8" w:rsidRDefault="00EE2FD8" w:rsidP="00EE2FD8">
            <w:pPr>
              <w:jc w:val="center"/>
              <w:rPr>
                <w:rFonts w:ascii="Arial Narrow" w:hAnsi="Arial Narrow" w:cs="Calibri"/>
                <w:color w:val="000000" w:themeColor="text1"/>
                <w:sz w:val="20"/>
                <w:szCs w:val="20"/>
              </w:rPr>
            </w:pPr>
            <w:r w:rsidRPr="00EE2FD8">
              <w:rPr>
                <w:rFonts w:ascii="Arial Narrow" w:hAnsi="Arial Narrow" w:cs="Calibri"/>
                <w:color w:val="000000"/>
                <w:sz w:val="20"/>
                <w:szCs w:val="20"/>
              </w:rPr>
              <w:t>-12</w:t>
            </w:r>
          </w:p>
        </w:tc>
        <w:tc>
          <w:tcPr>
            <w:tcW w:w="1710" w:type="dxa"/>
            <w:tcBorders>
              <w:top w:val="single" w:sz="6" w:space="0" w:color="auto"/>
              <w:left w:val="single" w:sz="6" w:space="0" w:color="auto"/>
              <w:bottom w:val="single" w:sz="6" w:space="0" w:color="auto"/>
              <w:right w:val="single" w:sz="6" w:space="0" w:color="auto"/>
            </w:tcBorders>
            <w:shd w:val="clear" w:color="auto" w:fill="C5E0B3"/>
            <w:vAlign w:val="bottom"/>
          </w:tcPr>
          <w:p w14:paraId="31D4835D" w14:textId="5098E1FA" w:rsidR="00EE2FD8" w:rsidRPr="00EE2FD8" w:rsidRDefault="00EE2FD8" w:rsidP="00EE2FD8">
            <w:pPr>
              <w:jc w:val="center"/>
              <w:rPr>
                <w:rFonts w:ascii="Arial Narrow" w:hAnsi="Arial Narrow" w:cs="Calibri"/>
                <w:color w:val="000000" w:themeColor="text1"/>
                <w:sz w:val="20"/>
                <w:szCs w:val="20"/>
              </w:rPr>
            </w:pPr>
            <w:r w:rsidRPr="00EE2FD8">
              <w:rPr>
                <w:rFonts w:ascii="Arial Narrow" w:hAnsi="Arial Narrow" w:cs="Calibri"/>
                <w:color w:val="000000"/>
                <w:sz w:val="20"/>
                <w:szCs w:val="20"/>
              </w:rPr>
              <w:t>-15</w:t>
            </w:r>
          </w:p>
        </w:tc>
        <w:tc>
          <w:tcPr>
            <w:tcW w:w="1440" w:type="dxa"/>
            <w:tcBorders>
              <w:top w:val="single" w:sz="6" w:space="0" w:color="auto"/>
              <w:left w:val="single" w:sz="6" w:space="0" w:color="auto"/>
              <w:bottom w:val="single" w:sz="6" w:space="0" w:color="auto"/>
              <w:right w:val="single" w:sz="6" w:space="0" w:color="auto"/>
            </w:tcBorders>
            <w:shd w:val="clear" w:color="auto" w:fill="C5E0B3"/>
            <w:vAlign w:val="bottom"/>
          </w:tcPr>
          <w:p w14:paraId="3128980A" w14:textId="7ACEAE6A" w:rsidR="00EE2FD8" w:rsidRPr="00EE2FD8" w:rsidRDefault="00EE2FD8" w:rsidP="00EE2FD8">
            <w:pPr>
              <w:jc w:val="center"/>
              <w:rPr>
                <w:rFonts w:ascii="Arial Narrow" w:hAnsi="Arial Narrow" w:cs="Calibri"/>
                <w:color w:val="000000" w:themeColor="text1"/>
                <w:sz w:val="20"/>
                <w:szCs w:val="20"/>
              </w:rPr>
            </w:pPr>
            <w:r w:rsidRPr="00EE2FD8">
              <w:rPr>
                <w:rFonts w:ascii="Arial Narrow" w:hAnsi="Arial Narrow" w:cs="Calibri"/>
                <w:color w:val="000000"/>
                <w:sz w:val="20"/>
                <w:szCs w:val="20"/>
              </w:rPr>
              <w:t>-15</w:t>
            </w:r>
          </w:p>
        </w:tc>
      </w:tr>
      <w:tr w:rsidR="00604420" w:rsidRPr="007E72F0" w14:paraId="4CBED7BC" w14:textId="77777777" w:rsidTr="00D04A12">
        <w:trPr>
          <w:trHeight w:val="247"/>
        </w:trPr>
        <w:tc>
          <w:tcPr>
            <w:tcW w:w="3244" w:type="dxa"/>
            <w:tcBorders>
              <w:top w:val="single" w:sz="6" w:space="0" w:color="auto"/>
              <w:left w:val="single" w:sz="6" w:space="0" w:color="auto"/>
              <w:bottom w:val="single" w:sz="6" w:space="0" w:color="auto"/>
              <w:right w:val="single" w:sz="6" w:space="0" w:color="auto"/>
            </w:tcBorders>
            <w:vAlign w:val="bottom"/>
          </w:tcPr>
          <w:p w14:paraId="0D48D34E" w14:textId="2629C565" w:rsidR="00604420" w:rsidRDefault="00604420" w:rsidP="00EE2FD8">
            <w:pPr>
              <w:rPr>
                <w:rFonts w:ascii="Arial Narrow" w:hAnsi="Arial Narrow" w:cs="Calibri"/>
                <w:color w:val="000000"/>
                <w:sz w:val="20"/>
                <w:szCs w:val="20"/>
              </w:rPr>
            </w:pPr>
            <w:r>
              <w:rPr>
                <w:rFonts w:ascii="Arial Narrow" w:hAnsi="Arial Narrow" w:cs="Calibri"/>
                <w:color w:val="000000"/>
                <w:sz w:val="20"/>
                <w:szCs w:val="20"/>
              </w:rPr>
              <w:t>PFAS</w:t>
            </w:r>
          </w:p>
        </w:tc>
        <w:tc>
          <w:tcPr>
            <w:tcW w:w="1800" w:type="dxa"/>
            <w:tcBorders>
              <w:top w:val="single" w:sz="6" w:space="0" w:color="auto"/>
              <w:left w:val="single" w:sz="6" w:space="0" w:color="auto"/>
              <w:bottom w:val="single" w:sz="6" w:space="0" w:color="auto"/>
              <w:right w:val="single" w:sz="6" w:space="0" w:color="auto"/>
            </w:tcBorders>
            <w:shd w:val="clear" w:color="auto" w:fill="C5E0B3"/>
            <w:vAlign w:val="bottom"/>
          </w:tcPr>
          <w:p w14:paraId="3DDF20FE" w14:textId="2B8688F6" w:rsidR="00604420" w:rsidRPr="00EE2FD8" w:rsidRDefault="00604420" w:rsidP="00EE2FD8">
            <w:pPr>
              <w:jc w:val="center"/>
              <w:rPr>
                <w:rFonts w:ascii="Arial Narrow" w:hAnsi="Arial Narrow" w:cs="Calibri"/>
                <w:color w:val="000000"/>
                <w:sz w:val="20"/>
                <w:szCs w:val="20"/>
              </w:rPr>
            </w:pPr>
            <w:r>
              <w:rPr>
                <w:rFonts w:ascii="Arial Narrow" w:hAnsi="Arial Narrow" w:cs="Calibri"/>
                <w:color w:val="000000"/>
                <w:sz w:val="20"/>
                <w:szCs w:val="20"/>
              </w:rPr>
              <w:t>0</w:t>
            </w:r>
          </w:p>
        </w:tc>
        <w:tc>
          <w:tcPr>
            <w:tcW w:w="1080" w:type="dxa"/>
            <w:tcBorders>
              <w:top w:val="single" w:sz="6" w:space="0" w:color="auto"/>
              <w:left w:val="single" w:sz="6" w:space="0" w:color="auto"/>
              <w:bottom w:val="single" w:sz="6" w:space="0" w:color="auto"/>
              <w:right w:val="single" w:sz="6" w:space="0" w:color="auto"/>
            </w:tcBorders>
            <w:shd w:val="clear" w:color="auto" w:fill="C5E0B3"/>
            <w:vAlign w:val="bottom"/>
          </w:tcPr>
          <w:p w14:paraId="340178F4" w14:textId="52A7D953" w:rsidR="00604420" w:rsidRPr="00EE2FD8" w:rsidRDefault="00604420" w:rsidP="00EE2FD8">
            <w:pPr>
              <w:jc w:val="center"/>
              <w:rPr>
                <w:rFonts w:ascii="Arial Narrow" w:hAnsi="Arial Narrow" w:cs="Calibri"/>
                <w:color w:val="000000"/>
                <w:sz w:val="20"/>
                <w:szCs w:val="20"/>
              </w:rPr>
            </w:pPr>
            <w:r>
              <w:rPr>
                <w:rFonts w:ascii="Arial Narrow" w:hAnsi="Arial Narrow" w:cs="Calibri"/>
                <w:color w:val="000000"/>
                <w:sz w:val="20"/>
                <w:szCs w:val="20"/>
              </w:rPr>
              <w:t>-7</w:t>
            </w:r>
          </w:p>
        </w:tc>
        <w:tc>
          <w:tcPr>
            <w:tcW w:w="1710" w:type="dxa"/>
            <w:tcBorders>
              <w:top w:val="single" w:sz="6" w:space="0" w:color="auto"/>
              <w:left w:val="single" w:sz="6" w:space="0" w:color="auto"/>
              <w:bottom w:val="single" w:sz="6" w:space="0" w:color="auto"/>
              <w:right w:val="single" w:sz="6" w:space="0" w:color="auto"/>
            </w:tcBorders>
            <w:shd w:val="clear" w:color="auto" w:fill="C5E0B3"/>
            <w:vAlign w:val="bottom"/>
          </w:tcPr>
          <w:p w14:paraId="378A09D3" w14:textId="72EEEA9D" w:rsidR="00604420" w:rsidRPr="00EE2FD8" w:rsidRDefault="00604420" w:rsidP="00EE2FD8">
            <w:pPr>
              <w:jc w:val="center"/>
              <w:rPr>
                <w:rFonts w:ascii="Arial Narrow" w:hAnsi="Arial Narrow" w:cs="Calibri"/>
                <w:color w:val="000000"/>
                <w:sz w:val="20"/>
                <w:szCs w:val="20"/>
              </w:rPr>
            </w:pPr>
            <w:r>
              <w:rPr>
                <w:rFonts w:ascii="Arial Narrow" w:hAnsi="Arial Narrow" w:cs="Calibri"/>
                <w:color w:val="000000"/>
                <w:sz w:val="20"/>
                <w:szCs w:val="20"/>
              </w:rPr>
              <w:t>-10</w:t>
            </w:r>
          </w:p>
        </w:tc>
        <w:tc>
          <w:tcPr>
            <w:tcW w:w="1440" w:type="dxa"/>
            <w:tcBorders>
              <w:top w:val="single" w:sz="6" w:space="0" w:color="auto"/>
              <w:left w:val="single" w:sz="6" w:space="0" w:color="auto"/>
              <w:bottom w:val="single" w:sz="6" w:space="0" w:color="auto"/>
              <w:right w:val="single" w:sz="6" w:space="0" w:color="auto"/>
            </w:tcBorders>
            <w:shd w:val="clear" w:color="auto" w:fill="C5E0B3"/>
            <w:vAlign w:val="bottom"/>
          </w:tcPr>
          <w:p w14:paraId="45A7ADAE" w14:textId="21830F0D" w:rsidR="00604420" w:rsidRPr="00EE2FD8" w:rsidRDefault="00604420" w:rsidP="00EE2FD8">
            <w:pPr>
              <w:jc w:val="center"/>
              <w:rPr>
                <w:rFonts w:ascii="Arial Narrow" w:hAnsi="Arial Narrow" w:cs="Calibri"/>
                <w:color w:val="000000"/>
                <w:sz w:val="20"/>
                <w:szCs w:val="20"/>
              </w:rPr>
            </w:pPr>
            <w:r>
              <w:rPr>
                <w:rFonts w:ascii="Arial Narrow" w:hAnsi="Arial Narrow" w:cs="Calibri"/>
                <w:color w:val="000000"/>
                <w:sz w:val="20"/>
                <w:szCs w:val="20"/>
              </w:rPr>
              <w:t>-10</w:t>
            </w:r>
          </w:p>
        </w:tc>
      </w:tr>
      <w:tr w:rsidR="00EE2FD8" w:rsidRPr="007E72F0" w14:paraId="2C86A454" w14:textId="77777777" w:rsidTr="00EE2FD8">
        <w:trPr>
          <w:trHeight w:val="247"/>
        </w:trPr>
        <w:tc>
          <w:tcPr>
            <w:tcW w:w="3244" w:type="dxa"/>
            <w:tcBorders>
              <w:top w:val="single" w:sz="6" w:space="0" w:color="auto"/>
              <w:left w:val="single" w:sz="6" w:space="0" w:color="auto"/>
              <w:bottom w:val="single" w:sz="6" w:space="0" w:color="auto"/>
              <w:right w:val="single" w:sz="6" w:space="0" w:color="auto"/>
            </w:tcBorders>
            <w:vAlign w:val="bottom"/>
          </w:tcPr>
          <w:p w14:paraId="0797782C" w14:textId="0FAB94E6" w:rsidR="00EE2FD8" w:rsidRPr="00D04A12" w:rsidRDefault="00EE2FD8" w:rsidP="00EE2FD8">
            <w:pPr>
              <w:rPr>
                <w:rFonts w:ascii="Arial Narrow" w:hAnsi="Arial Narrow"/>
                <w:color w:val="000000"/>
                <w:sz w:val="20"/>
                <w:szCs w:val="20"/>
              </w:rPr>
            </w:pPr>
            <w:r w:rsidRPr="00D04A12">
              <w:rPr>
                <w:rFonts w:ascii="Arial Narrow" w:hAnsi="Arial Narrow" w:cs="Calibri"/>
                <w:color w:val="000000"/>
                <w:sz w:val="20"/>
                <w:szCs w:val="20"/>
              </w:rPr>
              <w:t>Sediment Metals</w:t>
            </w:r>
          </w:p>
        </w:tc>
        <w:tc>
          <w:tcPr>
            <w:tcW w:w="1800" w:type="dxa"/>
            <w:tcBorders>
              <w:top w:val="single" w:sz="6" w:space="0" w:color="auto"/>
              <w:left w:val="single" w:sz="6" w:space="0" w:color="auto"/>
              <w:bottom w:val="single" w:sz="6" w:space="0" w:color="auto"/>
              <w:right w:val="single" w:sz="6" w:space="0" w:color="auto"/>
            </w:tcBorders>
            <w:shd w:val="clear" w:color="auto" w:fill="C5E0B3"/>
            <w:vAlign w:val="bottom"/>
          </w:tcPr>
          <w:p w14:paraId="58E9D1C7" w14:textId="12E07097" w:rsidR="00EE2FD8" w:rsidRPr="00EE2FD8" w:rsidRDefault="00EE2FD8" w:rsidP="00EE2FD8">
            <w:pPr>
              <w:jc w:val="center"/>
              <w:rPr>
                <w:rFonts w:ascii="Arial Narrow" w:hAnsi="Arial Narrow"/>
                <w:color w:val="000000" w:themeColor="text1"/>
                <w:sz w:val="20"/>
                <w:szCs w:val="20"/>
              </w:rPr>
            </w:pPr>
            <w:r w:rsidRPr="00EE2FD8">
              <w:rPr>
                <w:rFonts w:ascii="Arial Narrow" w:hAnsi="Arial Narrow" w:cs="Calibri"/>
                <w:color w:val="000000"/>
                <w:sz w:val="20"/>
                <w:szCs w:val="20"/>
              </w:rPr>
              <w:t>-1</w:t>
            </w:r>
          </w:p>
        </w:tc>
        <w:tc>
          <w:tcPr>
            <w:tcW w:w="1080" w:type="dxa"/>
            <w:tcBorders>
              <w:top w:val="single" w:sz="6" w:space="0" w:color="auto"/>
              <w:left w:val="single" w:sz="6" w:space="0" w:color="auto"/>
              <w:bottom w:val="single" w:sz="6" w:space="0" w:color="auto"/>
              <w:right w:val="single" w:sz="6" w:space="0" w:color="auto"/>
            </w:tcBorders>
            <w:shd w:val="clear" w:color="auto" w:fill="FFD966" w:themeFill="accent4" w:themeFillTint="99"/>
            <w:vAlign w:val="bottom"/>
          </w:tcPr>
          <w:p w14:paraId="1532835F" w14:textId="49AB29EC" w:rsidR="00EE2FD8" w:rsidRPr="00EE2FD8" w:rsidRDefault="00EE2FD8" w:rsidP="00EE2FD8">
            <w:pPr>
              <w:jc w:val="center"/>
              <w:rPr>
                <w:rFonts w:ascii="Arial Narrow" w:hAnsi="Arial Narrow" w:cs="Calibri"/>
                <w:color w:val="000000" w:themeColor="text1"/>
                <w:sz w:val="20"/>
                <w:szCs w:val="20"/>
              </w:rPr>
            </w:pPr>
            <w:r w:rsidRPr="00EE2FD8">
              <w:rPr>
                <w:rFonts w:ascii="Arial Narrow" w:hAnsi="Arial Narrow" w:cs="Calibri"/>
                <w:color w:val="000000"/>
                <w:sz w:val="20"/>
                <w:szCs w:val="20"/>
              </w:rPr>
              <w:t>1</w:t>
            </w:r>
          </w:p>
        </w:tc>
        <w:tc>
          <w:tcPr>
            <w:tcW w:w="1710" w:type="dxa"/>
            <w:tcBorders>
              <w:top w:val="single" w:sz="6" w:space="0" w:color="auto"/>
              <w:left w:val="single" w:sz="6" w:space="0" w:color="auto"/>
              <w:bottom w:val="single" w:sz="6" w:space="0" w:color="auto"/>
              <w:right w:val="single" w:sz="6" w:space="0" w:color="auto"/>
            </w:tcBorders>
            <w:shd w:val="clear" w:color="auto" w:fill="C5E0B3"/>
            <w:vAlign w:val="bottom"/>
          </w:tcPr>
          <w:p w14:paraId="2BD253A1" w14:textId="701CDDB3" w:rsidR="00EE2FD8" w:rsidRPr="00EE2FD8" w:rsidRDefault="00EE2FD8" w:rsidP="00EE2FD8">
            <w:pPr>
              <w:jc w:val="center"/>
              <w:rPr>
                <w:rFonts w:ascii="Arial Narrow" w:hAnsi="Arial Narrow" w:cs="Calibri"/>
                <w:color w:val="000000" w:themeColor="text1"/>
                <w:sz w:val="20"/>
                <w:szCs w:val="20"/>
              </w:rPr>
            </w:pPr>
            <w:r w:rsidRPr="00EE2FD8">
              <w:rPr>
                <w:rFonts w:ascii="Arial Narrow" w:hAnsi="Arial Narrow" w:cs="Calibri"/>
                <w:color w:val="000000"/>
                <w:sz w:val="20"/>
                <w:szCs w:val="20"/>
              </w:rPr>
              <w:t>-6</w:t>
            </w:r>
          </w:p>
        </w:tc>
        <w:tc>
          <w:tcPr>
            <w:tcW w:w="1440" w:type="dxa"/>
            <w:tcBorders>
              <w:top w:val="single" w:sz="6" w:space="0" w:color="auto"/>
              <w:left w:val="single" w:sz="6" w:space="0" w:color="auto"/>
              <w:bottom w:val="single" w:sz="6" w:space="0" w:color="auto"/>
              <w:right w:val="single" w:sz="6" w:space="0" w:color="auto"/>
            </w:tcBorders>
            <w:shd w:val="clear" w:color="auto" w:fill="C5E0B3"/>
            <w:vAlign w:val="bottom"/>
          </w:tcPr>
          <w:p w14:paraId="1D219610" w14:textId="19EB7E2E" w:rsidR="00EE2FD8" w:rsidRPr="00EE2FD8" w:rsidRDefault="00EE2FD8" w:rsidP="00EE2FD8">
            <w:pPr>
              <w:jc w:val="center"/>
              <w:rPr>
                <w:rFonts w:ascii="Arial Narrow" w:hAnsi="Arial Narrow" w:cs="Calibri"/>
                <w:color w:val="000000" w:themeColor="text1"/>
                <w:sz w:val="20"/>
                <w:szCs w:val="20"/>
              </w:rPr>
            </w:pPr>
            <w:r w:rsidRPr="00EE2FD8">
              <w:rPr>
                <w:rFonts w:ascii="Arial Narrow" w:hAnsi="Arial Narrow" w:cs="Calibri"/>
                <w:color w:val="000000"/>
                <w:sz w:val="20"/>
                <w:szCs w:val="20"/>
              </w:rPr>
              <w:t>-1</w:t>
            </w:r>
          </w:p>
        </w:tc>
      </w:tr>
      <w:tr w:rsidR="00D04A12" w:rsidRPr="007E72F0" w14:paraId="35F4403E" w14:textId="77777777" w:rsidTr="00FB5146">
        <w:trPr>
          <w:trHeight w:val="247"/>
        </w:trPr>
        <w:tc>
          <w:tcPr>
            <w:tcW w:w="3244" w:type="dxa"/>
            <w:tcBorders>
              <w:top w:val="single" w:sz="6" w:space="0" w:color="auto"/>
              <w:left w:val="single" w:sz="6" w:space="0" w:color="auto"/>
              <w:bottom w:val="single" w:sz="6" w:space="0" w:color="auto"/>
              <w:right w:val="single" w:sz="6" w:space="0" w:color="auto"/>
            </w:tcBorders>
            <w:vAlign w:val="bottom"/>
          </w:tcPr>
          <w:p w14:paraId="206A328D" w14:textId="44C162CF" w:rsidR="00D04A12" w:rsidRPr="00D04A12" w:rsidRDefault="00D04A12" w:rsidP="00D04A12">
            <w:pPr>
              <w:rPr>
                <w:rFonts w:ascii="Arial Narrow" w:hAnsi="Arial Narrow" w:cs="Calibri"/>
                <w:color w:val="000000"/>
                <w:sz w:val="20"/>
                <w:szCs w:val="20"/>
              </w:rPr>
            </w:pPr>
            <w:r w:rsidRPr="00D04A12">
              <w:rPr>
                <w:rFonts w:ascii="Arial Narrow" w:hAnsi="Arial Narrow" w:cs="Calibri"/>
                <w:color w:val="000000"/>
                <w:sz w:val="20"/>
                <w:szCs w:val="20"/>
              </w:rPr>
              <w:t>Sediment PAHs</w:t>
            </w:r>
          </w:p>
        </w:tc>
        <w:tc>
          <w:tcPr>
            <w:tcW w:w="1800" w:type="dxa"/>
            <w:tcBorders>
              <w:top w:val="single" w:sz="6" w:space="0" w:color="auto"/>
              <w:left w:val="single" w:sz="6" w:space="0" w:color="auto"/>
              <w:bottom w:val="single" w:sz="6" w:space="0" w:color="auto"/>
              <w:right w:val="single" w:sz="6" w:space="0" w:color="auto"/>
            </w:tcBorders>
            <w:shd w:val="clear" w:color="auto" w:fill="C5E0B3"/>
            <w:vAlign w:val="bottom"/>
          </w:tcPr>
          <w:p w14:paraId="252204D8" w14:textId="49F880AE" w:rsidR="00D04A12" w:rsidRPr="00D04A12" w:rsidRDefault="00D04A12" w:rsidP="00D04A12">
            <w:pPr>
              <w:jc w:val="center"/>
              <w:rPr>
                <w:rFonts w:ascii="Arial Narrow" w:hAnsi="Arial Narrow" w:cs="Calibri"/>
                <w:color w:val="000000" w:themeColor="text1"/>
                <w:sz w:val="20"/>
                <w:szCs w:val="20"/>
              </w:rPr>
            </w:pPr>
            <w:r w:rsidRPr="00D04A12">
              <w:rPr>
                <w:rFonts w:ascii="Arial Narrow" w:hAnsi="Arial Narrow" w:cs="Calibri"/>
                <w:color w:val="000000" w:themeColor="text1"/>
                <w:sz w:val="20"/>
                <w:szCs w:val="20"/>
              </w:rPr>
              <w:t>0</w:t>
            </w:r>
          </w:p>
        </w:tc>
        <w:tc>
          <w:tcPr>
            <w:tcW w:w="1080" w:type="dxa"/>
            <w:tcBorders>
              <w:top w:val="single" w:sz="6" w:space="0" w:color="auto"/>
              <w:left w:val="single" w:sz="6" w:space="0" w:color="auto"/>
              <w:bottom w:val="single" w:sz="6" w:space="0" w:color="auto"/>
              <w:right w:val="single" w:sz="6" w:space="0" w:color="auto"/>
            </w:tcBorders>
            <w:shd w:val="clear" w:color="auto" w:fill="C5E0B3"/>
            <w:vAlign w:val="bottom"/>
          </w:tcPr>
          <w:p w14:paraId="2520A019" w14:textId="5D6D791D" w:rsidR="00D04A12" w:rsidRPr="00D04A12" w:rsidRDefault="00D04A12" w:rsidP="00D04A12">
            <w:pPr>
              <w:jc w:val="center"/>
              <w:rPr>
                <w:rFonts w:ascii="Arial Narrow" w:hAnsi="Arial Narrow" w:cs="Calibri"/>
                <w:color w:val="000000" w:themeColor="text1"/>
                <w:sz w:val="20"/>
                <w:szCs w:val="20"/>
              </w:rPr>
            </w:pPr>
            <w:r w:rsidRPr="00D04A12">
              <w:rPr>
                <w:rFonts w:ascii="Arial Narrow" w:hAnsi="Arial Narrow" w:cs="Calibri"/>
                <w:color w:val="000000" w:themeColor="text1"/>
                <w:sz w:val="20"/>
                <w:szCs w:val="20"/>
              </w:rPr>
              <w:t>0</w:t>
            </w:r>
          </w:p>
        </w:tc>
        <w:tc>
          <w:tcPr>
            <w:tcW w:w="1710" w:type="dxa"/>
            <w:tcBorders>
              <w:top w:val="single" w:sz="6" w:space="0" w:color="auto"/>
              <w:left w:val="single" w:sz="6" w:space="0" w:color="auto"/>
              <w:bottom w:val="single" w:sz="6" w:space="0" w:color="auto"/>
              <w:right w:val="single" w:sz="6" w:space="0" w:color="auto"/>
            </w:tcBorders>
            <w:shd w:val="clear" w:color="auto" w:fill="FFD966"/>
            <w:vAlign w:val="bottom"/>
          </w:tcPr>
          <w:p w14:paraId="6FAA9973" w14:textId="4BCC2893" w:rsidR="00D04A12" w:rsidRPr="00D04A12" w:rsidRDefault="00D04A12" w:rsidP="00D04A12">
            <w:pPr>
              <w:jc w:val="center"/>
              <w:rPr>
                <w:rFonts w:ascii="Arial Narrow" w:hAnsi="Arial Narrow" w:cs="Calibri"/>
                <w:color w:val="000000" w:themeColor="text1"/>
                <w:sz w:val="20"/>
                <w:szCs w:val="20"/>
              </w:rPr>
            </w:pPr>
            <w:r w:rsidRPr="00D04A12">
              <w:rPr>
                <w:rFonts w:ascii="Arial Narrow" w:hAnsi="Arial Narrow" w:cs="Calibri"/>
                <w:color w:val="000000" w:themeColor="text1"/>
                <w:sz w:val="20"/>
                <w:szCs w:val="20"/>
              </w:rPr>
              <w:t>2</w:t>
            </w:r>
          </w:p>
        </w:tc>
        <w:tc>
          <w:tcPr>
            <w:tcW w:w="1440" w:type="dxa"/>
            <w:tcBorders>
              <w:top w:val="single" w:sz="6" w:space="0" w:color="auto"/>
              <w:left w:val="single" w:sz="6" w:space="0" w:color="auto"/>
              <w:bottom w:val="single" w:sz="6" w:space="0" w:color="auto"/>
              <w:right w:val="single" w:sz="6" w:space="0" w:color="auto"/>
            </w:tcBorders>
            <w:shd w:val="clear" w:color="auto" w:fill="C5E0B3"/>
            <w:vAlign w:val="bottom"/>
          </w:tcPr>
          <w:p w14:paraId="7ECDBDB8" w14:textId="723D5D7A" w:rsidR="00D04A12" w:rsidRPr="00D04A12" w:rsidRDefault="00D04A12" w:rsidP="00D04A12">
            <w:pPr>
              <w:jc w:val="center"/>
              <w:rPr>
                <w:rFonts w:ascii="Arial Narrow" w:hAnsi="Arial Narrow" w:cs="Calibri"/>
                <w:color w:val="000000" w:themeColor="text1"/>
                <w:sz w:val="20"/>
                <w:szCs w:val="20"/>
              </w:rPr>
            </w:pPr>
            <w:r w:rsidRPr="00D04A12">
              <w:rPr>
                <w:rFonts w:ascii="Arial Narrow" w:hAnsi="Arial Narrow" w:cs="Calibri"/>
                <w:color w:val="000000" w:themeColor="text1"/>
                <w:sz w:val="20"/>
                <w:szCs w:val="20"/>
              </w:rPr>
              <w:t>0</w:t>
            </w:r>
          </w:p>
        </w:tc>
      </w:tr>
      <w:tr w:rsidR="00D04A12" w:rsidRPr="007E72F0" w14:paraId="593B7353" w14:textId="77777777" w:rsidTr="00FB5146">
        <w:trPr>
          <w:trHeight w:val="247"/>
        </w:trPr>
        <w:tc>
          <w:tcPr>
            <w:tcW w:w="3244" w:type="dxa"/>
            <w:tcBorders>
              <w:top w:val="single" w:sz="6" w:space="0" w:color="auto"/>
              <w:left w:val="single" w:sz="6" w:space="0" w:color="auto"/>
              <w:bottom w:val="single" w:sz="6" w:space="0" w:color="auto"/>
              <w:right w:val="single" w:sz="6" w:space="0" w:color="auto"/>
            </w:tcBorders>
            <w:vAlign w:val="bottom"/>
          </w:tcPr>
          <w:p w14:paraId="5F3B9161" w14:textId="3737F580" w:rsidR="00D04A12" w:rsidRPr="00D04A12" w:rsidRDefault="00D04A12" w:rsidP="00D04A12">
            <w:pPr>
              <w:rPr>
                <w:rFonts w:ascii="Arial Narrow" w:hAnsi="Arial Narrow" w:cs="Calibri"/>
                <w:color w:val="000000"/>
                <w:sz w:val="20"/>
                <w:szCs w:val="20"/>
              </w:rPr>
            </w:pPr>
            <w:r w:rsidRPr="00D04A12">
              <w:rPr>
                <w:rFonts w:ascii="Arial Narrow" w:hAnsi="Arial Narrow" w:cs="Calibri"/>
                <w:color w:val="000000"/>
                <w:sz w:val="20"/>
                <w:szCs w:val="20"/>
              </w:rPr>
              <w:t>Sediment PCBs</w:t>
            </w:r>
          </w:p>
        </w:tc>
        <w:tc>
          <w:tcPr>
            <w:tcW w:w="1800" w:type="dxa"/>
            <w:tcBorders>
              <w:top w:val="single" w:sz="6" w:space="0" w:color="auto"/>
              <w:left w:val="single" w:sz="6" w:space="0" w:color="auto"/>
              <w:bottom w:val="single" w:sz="6" w:space="0" w:color="auto"/>
              <w:right w:val="single" w:sz="6" w:space="0" w:color="auto"/>
            </w:tcBorders>
            <w:shd w:val="clear" w:color="auto" w:fill="C5E0B3"/>
            <w:vAlign w:val="bottom"/>
          </w:tcPr>
          <w:p w14:paraId="0B4510FB" w14:textId="78D203CB" w:rsidR="00D04A12" w:rsidRPr="00D04A12" w:rsidRDefault="00D04A12" w:rsidP="00D04A12">
            <w:pPr>
              <w:jc w:val="center"/>
              <w:rPr>
                <w:rFonts w:ascii="Arial Narrow" w:hAnsi="Arial Narrow" w:cs="Calibri"/>
                <w:color w:val="000000" w:themeColor="text1"/>
                <w:sz w:val="20"/>
                <w:szCs w:val="20"/>
              </w:rPr>
            </w:pPr>
            <w:r w:rsidRPr="00D04A12">
              <w:rPr>
                <w:rFonts w:ascii="Arial Narrow" w:hAnsi="Arial Narrow" w:cs="Calibri"/>
                <w:color w:val="000000" w:themeColor="text1"/>
                <w:sz w:val="20"/>
                <w:szCs w:val="20"/>
              </w:rPr>
              <w:t>0</w:t>
            </w:r>
          </w:p>
        </w:tc>
        <w:tc>
          <w:tcPr>
            <w:tcW w:w="1080" w:type="dxa"/>
            <w:tcBorders>
              <w:top w:val="single" w:sz="6" w:space="0" w:color="auto"/>
              <w:left w:val="single" w:sz="6" w:space="0" w:color="auto"/>
              <w:bottom w:val="single" w:sz="6" w:space="0" w:color="auto"/>
              <w:right w:val="single" w:sz="6" w:space="0" w:color="auto"/>
            </w:tcBorders>
            <w:shd w:val="clear" w:color="auto" w:fill="FF9999"/>
            <w:vAlign w:val="bottom"/>
          </w:tcPr>
          <w:p w14:paraId="73A91F62" w14:textId="2BE869D9" w:rsidR="00D04A12" w:rsidRPr="00D04A12" w:rsidRDefault="00D04A12" w:rsidP="00D04A12">
            <w:pPr>
              <w:jc w:val="center"/>
              <w:rPr>
                <w:rFonts w:ascii="Arial Narrow" w:hAnsi="Arial Narrow" w:cs="Calibri"/>
                <w:color w:val="000000" w:themeColor="text1"/>
                <w:sz w:val="20"/>
                <w:szCs w:val="20"/>
              </w:rPr>
            </w:pPr>
            <w:r w:rsidRPr="00D04A12">
              <w:rPr>
                <w:rFonts w:ascii="Arial Narrow" w:hAnsi="Arial Narrow" w:cs="Calibri"/>
                <w:color w:val="000000" w:themeColor="text1"/>
                <w:sz w:val="20"/>
                <w:szCs w:val="20"/>
              </w:rPr>
              <w:t>4</w:t>
            </w:r>
          </w:p>
        </w:tc>
        <w:tc>
          <w:tcPr>
            <w:tcW w:w="1710" w:type="dxa"/>
            <w:tcBorders>
              <w:top w:val="single" w:sz="6" w:space="0" w:color="auto"/>
              <w:left w:val="single" w:sz="6" w:space="0" w:color="auto"/>
              <w:bottom w:val="single" w:sz="6" w:space="0" w:color="auto"/>
              <w:right w:val="single" w:sz="6" w:space="0" w:color="auto"/>
            </w:tcBorders>
            <w:shd w:val="clear" w:color="auto" w:fill="FFD966"/>
            <w:vAlign w:val="bottom"/>
          </w:tcPr>
          <w:p w14:paraId="3A25E744" w14:textId="0E318147" w:rsidR="00D04A12" w:rsidRPr="00D04A12" w:rsidRDefault="00D04A12" w:rsidP="00D04A12">
            <w:pPr>
              <w:jc w:val="center"/>
              <w:rPr>
                <w:rFonts w:ascii="Arial Narrow" w:hAnsi="Arial Narrow" w:cs="Calibri"/>
                <w:color w:val="000000" w:themeColor="text1"/>
                <w:sz w:val="20"/>
                <w:szCs w:val="20"/>
              </w:rPr>
            </w:pPr>
            <w:r w:rsidRPr="00D04A12">
              <w:rPr>
                <w:rFonts w:ascii="Arial Narrow" w:hAnsi="Arial Narrow" w:cs="Calibri"/>
                <w:color w:val="000000" w:themeColor="text1"/>
                <w:sz w:val="20"/>
                <w:szCs w:val="20"/>
              </w:rPr>
              <w:t>2</w:t>
            </w:r>
          </w:p>
        </w:tc>
        <w:tc>
          <w:tcPr>
            <w:tcW w:w="1440" w:type="dxa"/>
            <w:tcBorders>
              <w:top w:val="single" w:sz="6" w:space="0" w:color="auto"/>
              <w:left w:val="single" w:sz="6" w:space="0" w:color="auto"/>
              <w:bottom w:val="single" w:sz="6" w:space="0" w:color="auto"/>
              <w:right w:val="single" w:sz="6" w:space="0" w:color="auto"/>
            </w:tcBorders>
            <w:shd w:val="clear" w:color="auto" w:fill="FFD966"/>
            <w:vAlign w:val="bottom"/>
          </w:tcPr>
          <w:p w14:paraId="5B25EE7F" w14:textId="1C39334C" w:rsidR="00D04A12" w:rsidRPr="00D04A12" w:rsidRDefault="00D04A12" w:rsidP="00D04A12">
            <w:pPr>
              <w:jc w:val="center"/>
              <w:rPr>
                <w:rFonts w:ascii="Arial Narrow" w:hAnsi="Arial Narrow" w:cs="Calibri"/>
                <w:color w:val="000000" w:themeColor="text1"/>
                <w:sz w:val="20"/>
                <w:szCs w:val="20"/>
              </w:rPr>
            </w:pPr>
            <w:r w:rsidRPr="00D04A12">
              <w:rPr>
                <w:rFonts w:ascii="Arial Narrow" w:hAnsi="Arial Narrow" w:cs="Calibri"/>
                <w:color w:val="000000" w:themeColor="text1"/>
                <w:sz w:val="20"/>
                <w:szCs w:val="20"/>
              </w:rPr>
              <w:t>2</w:t>
            </w:r>
          </w:p>
        </w:tc>
      </w:tr>
      <w:tr w:rsidR="00D04A12" w:rsidRPr="007E72F0" w14:paraId="187AF69E" w14:textId="77777777" w:rsidTr="00D04A12">
        <w:trPr>
          <w:trHeight w:val="247"/>
        </w:trPr>
        <w:tc>
          <w:tcPr>
            <w:tcW w:w="3244" w:type="dxa"/>
            <w:tcBorders>
              <w:top w:val="single" w:sz="6" w:space="0" w:color="auto"/>
              <w:left w:val="single" w:sz="6" w:space="0" w:color="auto"/>
              <w:bottom w:val="single" w:sz="6" w:space="0" w:color="auto"/>
              <w:right w:val="single" w:sz="6" w:space="0" w:color="auto"/>
            </w:tcBorders>
            <w:vAlign w:val="bottom"/>
          </w:tcPr>
          <w:p w14:paraId="71D821ED" w14:textId="5971AE6B" w:rsidR="00D04A12" w:rsidRPr="00D04A12" w:rsidRDefault="00D04A12" w:rsidP="00D04A12">
            <w:pPr>
              <w:rPr>
                <w:rFonts w:ascii="Arial Narrow" w:hAnsi="Arial Narrow" w:cs="Calibri"/>
                <w:color w:val="000000"/>
                <w:sz w:val="20"/>
                <w:szCs w:val="20"/>
              </w:rPr>
            </w:pPr>
            <w:r w:rsidRPr="00D04A12">
              <w:rPr>
                <w:rFonts w:ascii="Arial Narrow" w:hAnsi="Arial Narrow" w:cs="Calibri"/>
                <w:color w:val="000000"/>
                <w:sz w:val="20"/>
                <w:szCs w:val="20"/>
              </w:rPr>
              <w:t>Sediment Organics</w:t>
            </w:r>
          </w:p>
        </w:tc>
        <w:tc>
          <w:tcPr>
            <w:tcW w:w="1800" w:type="dxa"/>
            <w:tcBorders>
              <w:top w:val="single" w:sz="6" w:space="0" w:color="auto"/>
              <w:left w:val="single" w:sz="6" w:space="0" w:color="auto"/>
              <w:bottom w:val="single" w:sz="6" w:space="0" w:color="auto"/>
              <w:right w:val="single" w:sz="6" w:space="0" w:color="auto"/>
            </w:tcBorders>
            <w:shd w:val="clear" w:color="auto" w:fill="C5E0B3"/>
            <w:vAlign w:val="bottom"/>
          </w:tcPr>
          <w:p w14:paraId="0B9A680D" w14:textId="793D2778" w:rsidR="00D04A12" w:rsidRPr="00D04A12" w:rsidRDefault="00D04A12" w:rsidP="00D04A12">
            <w:pPr>
              <w:jc w:val="center"/>
              <w:rPr>
                <w:rFonts w:ascii="Arial Narrow" w:hAnsi="Arial Narrow" w:cs="Calibri"/>
                <w:color w:val="000000" w:themeColor="text1"/>
                <w:sz w:val="20"/>
                <w:szCs w:val="20"/>
              </w:rPr>
            </w:pPr>
            <w:r w:rsidRPr="00D04A12">
              <w:rPr>
                <w:rFonts w:ascii="Arial Narrow" w:hAnsi="Arial Narrow" w:cs="Calibri"/>
                <w:color w:val="000000" w:themeColor="text1"/>
                <w:sz w:val="20"/>
                <w:szCs w:val="20"/>
              </w:rPr>
              <w:t>0</w:t>
            </w:r>
          </w:p>
        </w:tc>
        <w:tc>
          <w:tcPr>
            <w:tcW w:w="1080" w:type="dxa"/>
            <w:tcBorders>
              <w:top w:val="single" w:sz="6" w:space="0" w:color="auto"/>
              <w:left w:val="single" w:sz="6" w:space="0" w:color="auto"/>
              <w:bottom w:val="single" w:sz="6" w:space="0" w:color="auto"/>
              <w:right w:val="single" w:sz="6" w:space="0" w:color="auto"/>
            </w:tcBorders>
            <w:shd w:val="clear" w:color="auto" w:fill="C5E0B3"/>
            <w:vAlign w:val="bottom"/>
          </w:tcPr>
          <w:p w14:paraId="3D968461" w14:textId="3A201650" w:rsidR="00D04A12" w:rsidRPr="00D04A12" w:rsidRDefault="00D04A12" w:rsidP="00D04A12">
            <w:pPr>
              <w:jc w:val="center"/>
              <w:rPr>
                <w:rFonts w:ascii="Arial Narrow" w:hAnsi="Arial Narrow" w:cs="Calibri"/>
                <w:color w:val="000000" w:themeColor="text1"/>
                <w:sz w:val="20"/>
                <w:szCs w:val="20"/>
              </w:rPr>
            </w:pPr>
            <w:r w:rsidRPr="00D04A12">
              <w:rPr>
                <w:rFonts w:ascii="Arial Narrow" w:hAnsi="Arial Narrow" w:cs="Calibri"/>
                <w:color w:val="000000" w:themeColor="text1"/>
                <w:sz w:val="20"/>
                <w:szCs w:val="20"/>
              </w:rPr>
              <w:t>-3</w:t>
            </w:r>
          </w:p>
        </w:tc>
        <w:tc>
          <w:tcPr>
            <w:tcW w:w="1710" w:type="dxa"/>
            <w:tcBorders>
              <w:top w:val="single" w:sz="6" w:space="0" w:color="auto"/>
              <w:left w:val="single" w:sz="6" w:space="0" w:color="auto"/>
              <w:bottom w:val="single" w:sz="6" w:space="0" w:color="auto"/>
              <w:right w:val="single" w:sz="6" w:space="0" w:color="auto"/>
            </w:tcBorders>
            <w:shd w:val="clear" w:color="auto" w:fill="C5E0B3"/>
            <w:vAlign w:val="bottom"/>
          </w:tcPr>
          <w:p w14:paraId="526145EB" w14:textId="7C04CE4E" w:rsidR="00D04A12" w:rsidRPr="00D04A12" w:rsidRDefault="00D04A12" w:rsidP="00D04A12">
            <w:pPr>
              <w:jc w:val="center"/>
              <w:rPr>
                <w:rFonts w:ascii="Arial Narrow" w:hAnsi="Arial Narrow" w:cs="Calibri"/>
                <w:color w:val="000000" w:themeColor="text1"/>
                <w:sz w:val="20"/>
                <w:szCs w:val="20"/>
              </w:rPr>
            </w:pPr>
            <w:r w:rsidRPr="00D04A12">
              <w:rPr>
                <w:rFonts w:ascii="Arial Narrow" w:hAnsi="Arial Narrow" w:cs="Calibri"/>
                <w:color w:val="000000" w:themeColor="text1"/>
                <w:sz w:val="20"/>
                <w:szCs w:val="20"/>
              </w:rPr>
              <w:t>-3</w:t>
            </w:r>
          </w:p>
        </w:tc>
        <w:tc>
          <w:tcPr>
            <w:tcW w:w="1440" w:type="dxa"/>
            <w:tcBorders>
              <w:top w:val="single" w:sz="6" w:space="0" w:color="auto"/>
              <w:left w:val="single" w:sz="6" w:space="0" w:color="auto"/>
              <w:bottom w:val="single" w:sz="6" w:space="0" w:color="auto"/>
              <w:right w:val="single" w:sz="6" w:space="0" w:color="auto"/>
            </w:tcBorders>
            <w:shd w:val="clear" w:color="auto" w:fill="C5E0B3"/>
            <w:vAlign w:val="bottom"/>
          </w:tcPr>
          <w:p w14:paraId="78C4298D" w14:textId="5F6B7EF8" w:rsidR="00D04A12" w:rsidRPr="00D04A12" w:rsidRDefault="00D04A12" w:rsidP="00D04A12">
            <w:pPr>
              <w:jc w:val="center"/>
              <w:rPr>
                <w:rFonts w:ascii="Arial Narrow" w:hAnsi="Arial Narrow" w:cs="Calibri"/>
                <w:color w:val="000000" w:themeColor="text1"/>
                <w:sz w:val="20"/>
                <w:szCs w:val="20"/>
              </w:rPr>
            </w:pPr>
            <w:r w:rsidRPr="00D04A12">
              <w:rPr>
                <w:rFonts w:ascii="Arial Narrow" w:hAnsi="Arial Narrow" w:cs="Calibri"/>
                <w:color w:val="000000" w:themeColor="text1"/>
                <w:sz w:val="20"/>
                <w:szCs w:val="20"/>
              </w:rPr>
              <w:t>0</w:t>
            </w:r>
          </w:p>
        </w:tc>
      </w:tr>
      <w:tr w:rsidR="00D04A12" w:rsidRPr="007E72F0" w14:paraId="5584221B" w14:textId="77777777" w:rsidTr="00FB5146">
        <w:trPr>
          <w:trHeight w:val="247"/>
        </w:trPr>
        <w:tc>
          <w:tcPr>
            <w:tcW w:w="3244" w:type="dxa"/>
            <w:tcBorders>
              <w:top w:val="single" w:sz="6" w:space="0" w:color="auto"/>
              <w:left w:val="single" w:sz="6" w:space="0" w:color="auto"/>
              <w:bottom w:val="single" w:sz="6" w:space="0" w:color="auto"/>
              <w:right w:val="single" w:sz="6" w:space="0" w:color="auto"/>
            </w:tcBorders>
            <w:vAlign w:val="bottom"/>
          </w:tcPr>
          <w:p w14:paraId="4595D84D" w14:textId="39F2DB04" w:rsidR="00D04A12" w:rsidRPr="00D04A12" w:rsidRDefault="00D04A12" w:rsidP="00D04A12">
            <w:pPr>
              <w:rPr>
                <w:rFonts w:ascii="Arial Narrow" w:hAnsi="Arial Narrow" w:cs="Calibri"/>
                <w:color w:val="000000"/>
                <w:sz w:val="20"/>
                <w:szCs w:val="20"/>
              </w:rPr>
            </w:pPr>
            <w:r w:rsidRPr="00D04A12">
              <w:rPr>
                <w:rFonts w:ascii="Arial Narrow" w:hAnsi="Arial Narrow" w:cs="Calibri"/>
                <w:color w:val="000000"/>
                <w:sz w:val="20"/>
                <w:szCs w:val="20"/>
              </w:rPr>
              <w:t>Niagara Dam</w:t>
            </w:r>
          </w:p>
        </w:tc>
        <w:tc>
          <w:tcPr>
            <w:tcW w:w="1800" w:type="dxa"/>
            <w:tcBorders>
              <w:top w:val="single" w:sz="6" w:space="0" w:color="auto"/>
              <w:left w:val="single" w:sz="6" w:space="0" w:color="auto"/>
              <w:bottom w:val="single" w:sz="6" w:space="0" w:color="auto"/>
              <w:right w:val="single" w:sz="6" w:space="0" w:color="auto"/>
            </w:tcBorders>
            <w:shd w:val="clear" w:color="auto" w:fill="C5E0B3"/>
            <w:vAlign w:val="bottom"/>
          </w:tcPr>
          <w:p w14:paraId="2097D093" w14:textId="34C90A03" w:rsidR="00D04A12" w:rsidRPr="00D04A12" w:rsidRDefault="00D04A12" w:rsidP="00D04A12">
            <w:pPr>
              <w:jc w:val="center"/>
              <w:rPr>
                <w:rFonts w:ascii="Arial Narrow" w:hAnsi="Arial Narrow" w:cs="Calibri"/>
                <w:color w:val="000000" w:themeColor="text1"/>
                <w:sz w:val="20"/>
                <w:szCs w:val="20"/>
              </w:rPr>
            </w:pPr>
            <w:r w:rsidRPr="00D04A12">
              <w:rPr>
                <w:rFonts w:ascii="Arial Narrow" w:hAnsi="Arial Narrow" w:cs="Calibri"/>
                <w:color w:val="000000" w:themeColor="text1"/>
                <w:sz w:val="20"/>
                <w:szCs w:val="20"/>
              </w:rPr>
              <w:t>0</w:t>
            </w:r>
          </w:p>
        </w:tc>
        <w:tc>
          <w:tcPr>
            <w:tcW w:w="1080" w:type="dxa"/>
            <w:tcBorders>
              <w:top w:val="single" w:sz="6" w:space="0" w:color="auto"/>
              <w:left w:val="single" w:sz="6" w:space="0" w:color="auto"/>
              <w:bottom w:val="single" w:sz="6" w:space="0" w:color="auto"/>
              <w:right w:val="single" w:sz="6" w:space="0" w:color="auto"/>
            </w:tcBorders>
            <w:shd w:val="clear" w:color="auto" w:fill="C5E0B3"/>
            <w:vAlign w:val="bottom"/>
          </w:tcPr>
          <w:p w14:paraId="7B295FA1" w14:textId="1F91DB9A" w:rsidR="00D04A12" w:rsidRPr="00D04A12" w:rsidRDefault="00D04A12" w:rsidP="00D04A12">
            <w:pPr>
              <w:jc w:val="center"/>
              <w:rPr>
                <w:rFonts w:ascii="Arial Narrow" w:hAnsi="Arial Narrow" w:cs="Calibri"/>
                <w:color w:val="000000" w:themeColor="text1"/>
                <w:sz w:val="20"/>
                <w:szCs w:val="20"/>
              </w:rPr>
            </w:pPr>
            <w:r w:rsidRPr="00D04A12">
              <w:rPr>
                <w:rFonts w:ascii="Arial Narrow" w:hAnsi="Arial Narrow" w:cs="Calibri"/>
                <w:color w:val="000000" w:themeColor="text1"/>
                <w:sz w:val="20"/>
                <w:szCs w:val="20"/>
              </w:rPr>
              <w:t>0</w:t>
            </w:r>
          </w:p>
        </w:tc>
        <w:tc>
          <w:tcPr>
            <w:tcW w:w="1710" w:type="dxa"/>
            <w:tcBorders>
              <w:top w:val="single" w:sz="6" w:space="0" w:color="auto"/>
              <w:left w:val="single" w:sz="6" w:space="0" w:color="auto"/>
              <w:bottom w:val="single" w:sz="6" w:space="0" w:color="auto"/>
              <w:right w:val="single" w:sz="6" w:space="0" w:color="auto"/>
            </w:tcBorders>
            <w:shd w:val="clear" w:color="auto" w:fill="C5E0B3"/>
            <w:vAlign w:val="bottom"/>
          </w:tcPr>
          <w:p w14:paraId="7D46A795" w14:textId="39A25380" w:rsidR="00D04A12" w:rsidRPr="00D04A12" w:rsidRDefault="00D04A12" w:rsidP="00D04A12">
            <w:pPr>
              <w:jc w:val="center"/>
              <w:rPr>
                <w:rFonts w:ascii="Arial Narrow" w:hAnsi="Arial Narrow" w:cs="Calibri"/>
                <w:color w:val="000000" w:themeColor="text1"/>
                <w:sz w:val="20"/>
                <w:szCs w:val="20"/>
              </w:rPr>
            </w:pPr>
            <w:r w:rsidRPr="00D04A12">
              <w:rPr>
                <w:rFonts w:ascii="Arial Narrow" w:hAnsi="Arial Narrow" w:cs="Calibri"/>
                <w:color w:val="000000" w:themeColor="text1"/>
                <w:sz w:val="20"/>
                <w:szCs w:val="20"/>
              </w:rPr>
              <w:t>0</w:t>
            </w:r>
          </w:p>
        </w:tc>
        <w:tc>
          <w:tcPr>
            <w:tcW w:w="1440" w:type="dxa"/>
            <w:tcBorders>
              <w:top w:val="single" w:sz="6" w:space="0" w:color="auto"/>
              <w:left w:val="single" w:sz="6" w:space="0" w:color="auto"/>
              <w:bottom w:val="single" w:sz="6" w:space="0" w:color="auto"/>
              <w:right w:val="single" w:sz="6" w:space="0" w:color="auto"/>
            </w:tcBorders>
            <w:shd w:val="clear" w:color="auto" w:fill="FF9999"/>
            <w:vAlign w:val="bottom"/>
          </w:tcPr>
          <w:p w14:paraId="1A980853" w14:textId="236A23F4" w:rsidR="00D04A12" w:rsidRPr="00D04A12" w:rsidRDefault="00D04A12" w:rsidP="00D04A12">
            <w:pPr>
              <w:jc w:val="center"/>
              <w:rPr>
                <w:rFonts w:ascii="Arial Narrow" w:hAnsi="Arial Narrow" w:cs="Calibri"/>
                <w:color w:val="000000" w:themeColor="text1"/>
                <w:sz w:val="20"/>
                <w:szCs w:val="20"/>
              </w:rPr>
            </w:pPr>
            <w:r w:rsidRPr="00D04A12">
              <w:rPr>
                <w:rFonts w:ascii="Arial Narrow" w:hAnsi="Arial Narrow" w:cs="Calibri"/>
                <w:color w:val="000000" w:themeColor="text1"/>
                <w:sz w:val="20"/>
                <w:szCs w:val="20"/>
              </w:rPr>
              <w:t>5</w:t>
            </w:r>
          </w:p>
        </w:tc>
      </w:tr>
    </w:tbl>
    <w:p w14:paraId="445AED0D" w14:textId="77777777" w:rsidR="00F46E0C" w:rsidRPr="007E72F0" w:rsidRDefault="00F46E0C" w:rsidP="00F46E0C">
      <w:pPr>
        <w:pStyle w:val="Caption"/>
      </w:pPr>
    </w:p>
    <w:p w14:paraId="42DC8354" w14:textId="77777777" w:rsidR="00F46E0C" w:rsidRPr="007E72F0" w:rsidRDefault="00F46E0C" w:rsidP="00F46E0C"/>
    <w:p w14:paraId="20A6FA78" w14:textId="2921BE8A" w:rsidR="00F46E0C" w:rsidRPr="00966714" w:rsidRDefault="00F46E0C" w:rsidP="00F46E0C">
      <w:pPr>
        <w:pStyle w:val="Caption"/>
      </w:pPr>
      <w:bookmarkStart w:id="275" w:name="_Ref51922000"/>
      <w:bookmarkStart w:id="276" w:name="_Toc162948316"/>
      <w:r w:rsidRPr="00966714">
        <w:t xml:space="preserve">Table </w:t>
      </w:r>
      <w:r w:rsidRPr="00966714">
        <w:rPr>
          <w:noProof/>
        </w:rPr>
        <w:fldChar w:fldCharType="begin"/>
      </w:r>
      <w:r w:rsidRPr="00966714">
        <w:rPr>
          <w:noProof/>
        </w:rPr>
        <w:instrText xml:space="preserve"> SEQ Table \* ARABIC </w:instrText>
      </w:r>
      <w:r w:rsidRPr="00966714">
        <w:rPr>
          <w:noProof/>
        </w:rPr>
        <w:fldChar w:fldCharType="separate"/>
      </w:r>
      <w:r w:rsidR="004A78BF">
        <w:rPr>
          <w:noProof/>
        </w:rPr>
        <w:t>49</w:t>
      </w:r>
      <w:r w:rsidRPr="00966714">
        <w:rPr>
          <w:noProof/>
        </w:rPr>
        <w:fldChar w:fldCharType="end"/>
      </w:r>
      <w:bookmarkEnd w:id="275"/>
      <w:r w:rsidRPr="00966714">
        <w:t xml:space="preserve">. </w:t>
      </w:r>
      <w:r w:rsidR="00AD3E85">
        <w:t>P</w:t>
      </w:r>
      <w:r w:rsidRPr="00966714">
        <w:t>ossible stressors, probable stressors</w:t>
      </w:r>
      <w:r w:rsidR="00AD3E85">
        <w:t>, and TMDL targets</w:t>
      </w:r>
      <w:r w:rsidRPr="00966714">
        <w:t xml:space="preserve"> in </w:t>
      </w:r>
      <w:r w:rsidR="00FB5146">
        <w:t>Roanoke River Project streams</w:t>
      </w:r>
      <w:r w:rsidRPr="00966714">
        <w:t>.</w:t>
      </w:r>
      <w:bookmarkEnd w:id="276"/>
    </w:p>
    <w:tbl>
      <w:tblPr>
        <w:tblW w:w="9274" w:type="dxa"/>
        <w:tblInd w:w="78" w:type="dxa"/>
        <w:tblLayout w:type="fixed"/>
        <w:tblLook w:val="0000" w:firstRow="0" w:lastRow="0" w:firstColumn="0" w:lastColumn="0" w:noHBand="0" w:noVBand="0"/>
      </w:tblPr>
      <w:tblGrid>
        <w:gridCol w:w="1534"/>
        <w:gridCol w:w="1800"/>
        <w:gridCol w:w="1590"/>
        <w:gridCol w:w="4350"/>
      </w:tblGrid>
      <w:tr w:rsidR="00FB5146" w:rsidRPr="00966714" w14:paraId="36729591" w14:textId="77777777" w:rsidTr="00FB5146">
        <w:trPr>
          <w:trHeight w:val="792"/>
        </w:trPr>
        <w:tc>
          <w:tcPr>
            <w:tcW w:w="1534" w:type="dxa"/>
            <w:tcBorders>
              <w:top w:val="single" w:sz="6" w:space="0" w:color="auto"/>
              <w:left w:val="single" w:sz="6" w:space="0" w:color="auto"/>
              <w:bottom w:val="single" w:sz="6" w:space="0" w:color="auto"/>
              <w:right w:val="single" w:sz="6" w:space="0" w:color="auto"/>
            </w:tcBorders>
            <w:shd w:val="clear" w:color="auto" w:fill="E0E0E0"/>
            <w:vAlign w:val="center"/>
          </w:tcPr>
          <w:p w14:paraId="40E395FA" w14:textId="77777777" w:rsidR="00FB5146" w:rsidRPr="00966714" w:rsidRDefault="00FB5146" w:rsidP="00FB5146">
            <w:pPr>
              <w:jc w:val="center"/>
              <w:rPr>
                <w:rFonts w:ascii="Arial Narrow" w:hAnsi="Arial Narrow"/>
                <w:b/>
                <w:sz w:val="20"/>
                <w:szCs w:val="20"/>
              </w:rPr>
            </w:pPr>
            <w:r w:rsidRPr="00966714">
              <w:rPr>
                <w:rFonts w:ascii="Arial Narrow" w:hAnsi="Arial Narrow"/>
                <w:b/>
                <w:sz w:val="20"/>
                <w:szCs w:val="20"/>
              </w:rPr>
              <w:t>Stream</w:t>
            </w:r>
          </w:p>
        </w:tc>
        <w:tc>
          <w:tcPr>
            <w:tcW w:w="1800" w:type="dxa"/>
            <w:tcBorders>
              <w:top w:val="single" w:sz="6" w:space="0" w:color="auto"/>
              <w:left w:val="single" w:sz="6" w:space="0" w:color="auto"/>
              <w:bottom w:val="single" w:sz="6" w:space="0" w:color="auto"/>
              <w:right w:val="single" w:sz="6" w:space="0" w:color="auto"/>
            </w:tcBorders>
            <w:shd w:val="clear" w:color="auto" w:fill="E0E0E0"/>
            <w:vAlign w:val="center"/>
          </w:tcPr>
          <w:p w14:paraId="13EA9581" w14:textId="77777777" w:rsidR="00FB5146" w:rsidRPr="00966714" w:rsidRDefault="00FB5146" w:rsidP="00FB5146">
            <w:pPr>
              <w:jc w:val="center"/>
              <w:rPr>
                <w:rFonts w:ascii="Arial Narrow" w:hAnsi="Arial Narrow"/>
                <w:b/>
                <w:sz w:val="20"/>
                <w:szCs w:val="20"/>
              </w:rPr>
            </w:pPr>
            <w:r w:rsidRPr="00966714">
              <w:rPr>
                <w:rFonts w:ascii="Arial Narrow" w:hAnsi="Arial Narrow"/>
                <w:b/>
                <w:sz w:val="20"/>
                <w:szCs w:val="20"/>
              </w:rPr>
              <w:t>Possible Stressors</w:t>
            </w:r>
          </w:p>
        </w:tc>
        <w:tc>
          <w:tcPr>
            <w:tcW w:w="1590" w:type="dxa"/>
            <w:tcBorders>
              <w:top w:val="single" w:sz="6" w:space="0" w:color="auto"/>
              <w:left w:val="single" w:sz="6" w:space="0" w:color="auto"/>
              <w:bottom w:val="single" w:sz="6" w:space="0" w:color="auto"/>
              <w:right w:val="single" w:sz="6" w:space="0" w:color="auto"/>
            </w:tcBorders>
            <w:shd w:val="clear" w:color="auto" w:fill="E0E0E0"/>
            <w:vAlign w:val="center"/>
          </w:tcPr>
          <w:p w14:paraId="29763986" w14:textId="77777777" w:rsidR="00FB5146" w:rsidRPr="00966714" w:rsidRDefault="00FB5146" w:rsidP="00FB5146">
            <w:pPr>
              <w:jc w:val="center"/>
              <w:rPr>
                <w:rFonts w:ascii="Arial Narrow" w:hAnsi="Arial Narrow"/>
                <w:b/>
                <w:sz w:val="20"/>
                <w:szCs w:val="20"/>
              </w:rPr>
            </w:pPr>
            <w:r w:rsidRPr="00966714">
              <w:rPr>
                <w:rFonts w:ascii="Arial Narrow" w:hAnsi="Arial Narrow"/>
                <w:b/>
                <w:sz w:val="20"/>
                <w:szCs w:val="20"/>
              </w:rPr>
              <w:t>Probable Stressors</w:t>
            </w:r>
          </w:p>
        </w:tc>
        <w:tc>
          <w:tcPr>
            <w:tcW w:w="4350" w:type="dxa"/>
            <w:tcBorders>
              <w:top w:val="single" w:sz="6" w:space="0" w:color="auto"/>
              <w:left w:val="single" w:sz="6" w:space="0" w:color="auto"/>
              <w:bottom w:val="single" w:sz="6" w:space="0" w:color="auto"/>
              <w:right w:val="single" w:sz="6" w:space="0" w:color="auto"/>
            </w:tcBorders>
            <w:shd w:val="clear" w:color="auto" w:fill="E0E0E0"/>
            <w:vAlign w:val="center"/>
          </w:tcPr>
          <w:p w14:paraId="3789A458" w14:textId="77777777" w:rsidR="00FB5146" w:rsidRPr="00966714" w:rsidRDefault="00FB5146" w:rsidP="00FB5146">
            <w:pPr>
              <w:jc w:val="center"/>
              <w:rPr>
                <w:rFonts w:ascii="Arial Narrow" w:hAnsi="Arial Narrow"/>
                <w:b/>
                <w:sz w:val="20"/>
                <w:szCs w:val="20"/>
              </w:rPr>
            </w:pPr>
            <w:r w:rsidRPr="00966714">
              <w:rPr>
                <w:rFonts w:ascii="Arial Narrow" w:hAnsi="Arial Narrow"/>
                <w:b/>
                <w:sz w:val="20"/>
                <w:szCs w:val="20"/>
              </w:rPr>
              <w:t>TMDL Target</w:t>
            </w:r>
          </w:p>
        </w:tc>
      </w:tr>
      <w:tr w:rsidR="00FB5146" w:rsidRPr="00966714" w14:paraId="7DCDB2D7" w14:textId="77777777" w:rsidTr="00FB5146">
        <w:trPr>
          <w:trHeight w:val="792"/>
        </w:trPr>
        <w:tc>
          <w:tcPr>
            <w:tcW w:w="1534" w:type="dxa"/>
            <w:tcBorders>
              <w:top w:val="single" w:sz="6" w:space="0" w:color="auto"/>
              <w:left w:val="single" w:sz="6" w:space="0" w:color="auto"/>
              <w:bottom w:val="single" w:sz="6" w:space="0" w:color="auto"/>
              <w:right w:val="single" w:sz="6" w:space="0" w:color="auto"/>
            </w:tcBorders>
            <w:vAlign w:val="center"/>
          </w:tcPr>
          <w:p w14:paraId="64E0AE18" w14:textId="013F3EAF" w:rsidR="00FB5146" w:rsidRPr="00966714" w:rsidRDefault="00FB5146" w:rsidP="00FB5146">
            <w:pPr>
              <w:jc w:val="left"/>
              <w:rPr>
                <w:rFonts w:ascii="Arial Narrow" w:hAnsi="Arial Narrow"/>
                <w:sz w:val="20"/>
                <w:szCs w:val="20"/>
              </w:rPr>
            </w:pPr>
            <w:r>
              <w:rPr>
                <w:rFonts w:ascii="Arial Narrow" w:hAnsi="Arial Narrow"/>
                <w:sz w:val="20"/>
                <w:szCs w:val="20"/>
              </w:rPr>
              <w:t>Wolf Creek</w:t>
            </w:r>
          </w:p>
        </w:tc>
        <w:tc>
          <w:tcPr>
            <w:tcW w:w="1800" w:type="dxa"/>
            <w:tcBorders>
              <w:top w:val="single" w:sz="6" w:space="0" w:color="auto"/>
              <w:left w:val="single" w:sz="6" w:space="0" w:color="auto"/>
              <w:bottom w:val="single" w:sz="6" w:space="0" w:color="auto"/>
              <w:right w:val="single" w:sz="6" w:space="0" w:color="auto"/>
            </w:tcBorders>
          </w:tcPr>
          <w:p w14:paraId="61A8E31A" w14:textId="4013A5D5" w:rsidR="00FB5146" w:rsidRPr="00966714" w:rsidRDefault="00FB5146" w:rsidP="007129D1">
            <w:pPr>
              <w:rPr>
                <w:rFonts w:ascii="Arial Narrow" w:hAnsi="Arial Narrow"/>
                <w:sz w:val="20"/>
                <w:szCs w:val="20"/>
              </w:rPr>
            </w:pPr>
          </w:p>
        </w:tc>
        <w:tc>
          <w:tcPr>
            <w:tcW w:w="1590" w:type="dxa"/>
            <w:tcBorders>
              <w:top w:val="single" w:sz="6" w:space="0" w:color="auto"/>
              <w:left w:val="single" w:sz="6" w:space="0" w:color="auto"/>
              <w:bottom w:val="single" w:sz="6" w:space="0" w:color="auto"/>
              <w:right w:val="single" w:sz="6" w:space="0" w:color="auto"/>
            </w:tcBorders>
          </w:tcPr>
          <w:p w14:paraId="271D51EF" w14:textId="77777777" w:rsidR="00FB5146" w:rsidRPr="00966714" w:rsidRDefault="00FB5146" w:rsidP="007129D1">
            <w:pPr>
              <w:rPr>
                <w:rFonts w:ascii="Arial Narrow" w:hAnsi="Arial Narrow"/>
                <w:sz w:val="20"/>
                <w:szCs w:val="20"/>
              </w:rPr>
            </w:pPr>
            <w:r w:rsidRPr="00966714">
              <w:rPr>
                <w:rFonts w:ascii="Arial Narrow" w:hAnsi="Arial Narrow"/>
                <w:sz w:val="20"/>
                <w:szCs w:val="20"/>
              </w:rPr>
              <w:t>-Sediment</w:t>
            </w:r>
          </w:p>
        </w:tc>
        <w:tc>
          <w:tcPr>
            <w:tcW w:w="4350" w:type="dxa"/>
            <w:tcBorders>
              <w:top w:val="single" w:sz="6" w:space="0" w:color="auto"/>
              <w:left w:val="single" w:sz="6" w:space="0" w:color="auto"/>
              <w:bottom w:val="single" w:sz="6" w:space="0" w:color="auto"/>
              <w:right w:val="single" w:sz="6" w:space="0" w:color="auto"/>
            </w:tcBorders>
          </w:tcPr>
          <w:p w14:paraId="2ADD1079" w14:textId="77777777" w:rsidR="00FB5146" w:rsidRPr="00966714" w:rsidRDefault="00FB5146" w:rsidP="007129D1">
            <w:pPr>
              <w:rPr>
                <w:rFonts w:ascii="Arial Narrow" w:hAnsi="Arial Narrow"/>
                <w:sz w:val="20"/>
                <w:szCs w:val="20"/>
              </w:rPr>
            </w:pPr>
            <w:r w:rsidRPr="00966714">
              <w:rPr>
                <w:rFonts w:ascii="Arial Narrow" w:hAnsi="Arial Narrow"/>
                <w:sz w:val="20"/>
                <w:szCs w:val="20"/>
              </w:rPr>
              <w:t>-Sediment</w:t>
            </w:r>
          </w:p>
        </w:tc>
      </w:tr>
      <w:tr w:rsidR="00FB5146" w:rsidRPr="00966714" w14:paraId="7BE6F779" w14:textId="77777777" w:rsidTr="00FB5146">
        <w:trPr>
          <w:trHeight w:val="792"/>
        </w:trPr>
        <w:tc>
          <w:tcPr>
            <w:tcW w:w="1534" w:type="dxa"/>
            <w:tcBorders>
              <w:top w:val="single" w:sz="6" w:space="0" w:color="auto"/>
              <w:left w:val="single" w:sz="6" w:space="0" w:color="auto"/>
              <w:bottom w:val="single" w:sz="6" w:space="0" w:color="auto"/>
              <w:right w:val="single" w:sz="6" w:space="0" w:color="auto"/>
            </w:tcBorders>
            <w:vAlign w:val="center"/>
          </w:tcPr>
          <w:p w14:paraId="5752EDD8" w14:textId="1A49FB0F" w:rsidR="00FB5146" w:rsidRPr="00966714" w:rsidRDefault="00FB5146" w:rsidP="00FB5146">
            <w:pPr>
              <w:jc w:val="left"/>
              <w:rPr>
                <w:rFonts w:ascii="Arial Narrow" w:hAnsi="Arial Narrow"/>
                <w:sz w:val="20"/>
                <w:szCs w:val="20"/>
              </w:rPr>
            </w:pPr>
            <w:r>
              <w:rPr>
                <w:rFonts w:ascii="Arial Narrow" w:hAnsi="Arial Narrow"/>
                <w:sz w:val="20"/>
                <w:szCs w:val="20"/>
              </w:rPr>
              <w:t>Tinker Creek</w:t>
            </w:r>
          </w:p>
        </w:tc>
        <w:tc>
          <w:tcPr>
            <w:tcW w:w="1800" w:type="dxa"/>
            <w:tcBorders>
              <w:top w:val="single" w:sz="6" w:space="0" w:color="auto"/>
              <w:left w:val="single" w:sz="6" w:space="0" w:color="auto"/>
              <w:bottom w:val="single" w:sz="6" w:space="0" w:color="auto"/>
              <w:right w:val="single" w:sz="6" w:space="0" w:color="auto"/>
            </w:tcBorders>
          </w:tcPr>
          <w:p w14:paraId="514C22EF" w14:textId="77777777" w:rsidR="00FB5146" w:rsidRPr="00966714" w:rsidRDefault="00FB5146" w:rsidP="007129D1">
            <w:pPr>
              <w:rPr>
                <w:rFonts w:ascii="Arial Narrow" w:hAnsi="Arial Narrow"/>
                <w:sz w:val="20"/>
                <w:szCs w:val="20"/>
              </w:rPr>
            </w:pPr>
            <w:r w:rsidRPr="00966714">
              <w:rPr>
                <w:rFonts w:ascii="Arial Narrow" w:hAnsi="Arial Narrow"/>
                <w:sz w:val="20"/>
                <w:szCs w:val="20"/>
              </w:rPr>
              <w:t>-Conductivity/TDS</w:t>
            </w:r>
          </w:p>
          <w:p w14:paraId="292CBFC5" w14:textId="77777777" w:rsidR="00FB5146" w:rsidRDefault="00FB5146" w:rsidP="00FB5146">
            <w:pPr>
              <w:rPr>
                <w:rFonts w:ascii="Arial Narrow" w:hAnsi="Arial Narrow"/>
                <w:sz w:val="20"/>
                <w:szCs w:val="20"/>
              </w:rPr>
            </w:pPr>
            <w:r w:rsidRPr="00966714">
              <w:rPr>
                <w:rFonts w:ascii="Arial Narrow" w:hAnsi="Arial Narrow"/>
                <w:sz w:val="20"/>
                <w:szCs w:val="20"/>
              </w:rPr>
              <w:t>-</w:t>
            </w:r>
            <w:r>
              <w:rPr>
                <w:rFonts w:ascii="Arial Narrow" w:hAnsi="Arial Narrow"/>
                <w:sz w:val="20"/>
                <w:szCs w:val="20"/>
              </w:rPr>
              <w:t>Total Nitrogen</w:t>
            </w:r>
          </w:p>
          <w:p w14:paraId="1D7AB939" w14:textId="6DC43FD9" w:rsidR="00EE2FD8" w:rsidRPr="00966714" w:rsidRDefault="00EE2FD8" w:rsidP="00FB5146">
            <w:pPr>
              <w:rPr>
                <w:rFonts w:ascii="Arial Narrow" w:hAnsi="Arial Narrow"/>
                <w:sz w:val="20"/>
                <w:szCs w:val="20"/>
              </w:rPr>
            </w:pPr>
            <w:r>
              <w:rPr>
                <w:rFonts w:ascii="Arial Narrow" w:hAnsi="Arial Narrow"/>
                <w:sz w:val="20"/>
                <w:szCs w:val="20"/>
              </w:rPr>
              <w:t>-Sediment Metals</w:t>
            </w:r>
          </w:p>
        </w:tc>
        <w:tc>
          <w:tcPr>
            <w:tcW w:w="1590" w:type="dxa"/>
            <w:tcBorders>
              <w:top w:val="single" w:sz="6" w:space="0" w:color="auto"/>
              <w:left w:val="single" w:sz="6" w:space="0" w:color="auto"/>
              <w:bottom w:val="single" w:sz="6" w:space="0" w:color="auto"/>
              <w:right w:val="single" w:sz="6" w:space="0" w:color="auto"/>
            </w:tcBorders>
          </w:tcPr>
          <w:p w14:paraId="64BDEC65" w14:textId="44982D7A" w:rsidR="00FB5146" w:rsidRDefault="00FB5146" w:rsidP="007129D1">
            <w:pPr>
              <w:rPr>
                <w:rFonts w:ascii="Arial Narrow" w:hAnsi="Arial Narrow"/>
                <w:sz w:val="20"/>
                <w:szCs w:val="20"/>
              </w:rPr>
            </w:pPr>
            <w:r w:rsidRPr="00966714">
              <w:rPr>
                <w:rFonts w:ascii="Arial Narrow" w:hAnsi="Arial Narrow"/>
                <w:sz w:val="20"/>
                <w:szCs w:val="20"/>
              </w:rPr>
              <w:t>-Sediment</w:t>
            </w:r>
          </w:p>
          <w:p w14:paraId="6522B8FA" w14:textId="7DD5C8F9" w:rsidR="00FB5146" w:rsidRPr="00966714" w:rsidRDefault="00FB5146" w:rsidP="007129D1">
            <w:pPr>
              <w:rPr>
                <w:rFonts w:ascii="Arial Narrow" w:hAnsi="Arial Narrow"/>
                <w:sz w:val="20"/>
                <w:szCs w:val="20"/>
              </w:rPr>
            </w:pPr>
            <w:r>
              <w:rPr>
                <w:rFonts w:ascii="Arial Narrow" w:hAnsi="Arial Narrow"/>
                <w:sz w:val="20"/>
                <w:szCs w:val="20"/>
              </w:rPr>
              <w:t>-Sediment PCBs</w:t>
            </w:r>
          </w:p>
        </w:tc>
        <w:tc>
          <w:tcPr>
            <w:tcW w:w="4350" w:type="dxa"/>
            <w:tcBorders>
              <w:top w:val="single" w:sz="6" w:space="0" w:color="auto"/>
              <w:left w:val="single" w:sz="6" w:space="0" w:color="auto"/>
              <w:bottom w:val="single" w:sz="6" w:space="0" w:color="auto"/>
              <w:right w:val="single" w:sz="6" w:space="0" w:color="auto"/>
            </w:tcBorders>
          </w:tcPr>
          <w:p w14:paraId="4B725300" w14:textId="03FAD3DE" w:rsidR="00FB5146" w:rsidRPr="00966714" w:rsidRDefault="00FB5146" w:rsidP="007129D1">
            <w:pPr>
              <w:rPr>
                <w:rFonts w:ascii="Arial Narrow" w:hAnsi="Arial Narrow"/>
                <w:sz w:val="20"/>
                <w:szCs w:val="20"/>
              </w:rPr>
            </w:pPr>
            <w:r w:rsidRPr="00966714">
              <w:rPr>
                <w:rFonts w:ascii="Arial Narrow" w:hAnsi="Arial Narrow"/>
                <w:sz w:val="20"/>
                <w:szCs w:val="20"/>
              </w:rPr>
              <w:t>-Sediment</w:t>
            </w:r>
          </w:p>
        </w:tc>
      </w:tr>
      <w:tr w:rsidR="00FB5146" w:rsidRPr="00966714" w14:paraId="677F52A6" w14:textId="77777777" w:rsidTr="00FB5146">
        <w:trPr>
          <w:trHeight w:val="792"/>
        </w:trPr>
        <w:tc>
          <w:tcPr>
            <w:tcW w:w="1534" w:type="dxa"/>
            <w:tcBorders>
              <w:top w:val="single" w:sz="6" w:space="0" w:color="auto"/>
              <w:left w:val="single" w:sz="6" w:space="0" w:color="auto"/>
              <w:bottom w:val="single" w:sz="6" w:space="0" w:color="auto"/>
              <w:right w:val="single" w:sz="6" w:space="0" w:color="auto"/>
            </w:tcBorders>
            <w:vAlign w:val="center"/>
          </w:tcPr>
          <w:p w14:paraId="37B526E2" w14:textId="7F21D74F" w:rsidR="00FB5146" w:rsidRPr="00966714" w:rsidRDefault="00FB5146" w:rsidP="00FB5146">
            <w:pPr>
              <w:jc w:val="left"/>
              <w:rPr>
                <w:rFonts w:ascii="Arial Narrow" w:hAnsi="Arial Narrow"/>
                <w:sz w:val="20"/>
                <w:szCs w:val="20"/>
              </w:rPr>
            </w:pPr>
            <w:r>
              <w:rPr>
                <w:rFonts w:ascii="Arial Narrow" w:hAnsi="Arial Narrow"/>
                <w:sz w:val="20"/>
                <w:szCs w:val="20"/>
              </w:rPr>
              <w:t>Roanoke River (202.20)</w:t>
            </w:r>
          </w:p>
        </w:tc>
        <w:tc>
          <w:tcPr>
            <w:tcW w:w="1800" w:type="dxa"/>
            <w:tcBorders>
              <w:top w:val="single" w:sz="6" w:space="0" w:color="auto"/>
              <w:left w:val="single" w:sz="6" w:space="0" w:color="auto"/>
              <w:bottom w:val="single" w:sz="6" w:space="0" w:color="auto"/>
              <w:right w:val="single" w:sz="6" w:space="0" w:color="auto"/>
            </w:tcBorders>
          </w:tcPr>
          <w:p w14:paraId="79EC746F" w14:textId="4C88E872" w:rsidR="00FB5146" w:rsidRDefault="00FB5146" w:rsidP="00FB5146">
            <w:pPr>
              <w:rPr>
                <w:rFonts w:ascii="Arial Narrow" w:hAnsi="Arial Narrow"/>
                <w:sz w:val="20"/>
                <w:szCs w:val="20"/>
              </w:rPr>
            </w:pPr>
            <w:r w:rsidRPr="00966714">
              <w:rPr>
                <w:rFonts w:ascii="Arial Narrow" w:hAnsi="Arial Narrow"/>
                <w:sz w:val="20"/>
                <w:szCs w:val="20"/>
              </w:rPr>
              <w:t>-Sediment</w:t>
            </w:r>
            <w:r>
              <w:rPr>
                <w:rFonts w:ascii="Arial Narrow" w:hAnsi="Arial Narrow"/>
                <w:sz w:val="20"/>
                <w:szCs w:val="20"/>
              </w:rPr>
              <w:t xml:space="preserve"> PAHs</w:t>
            </w:r>
          </w:p>
          <w:p w14:paraId="3BA16ECA" w14:textId="7F3BCC38" w:rsidR="00FB5146" w:rsidRPr="00966714" w:rsidRDefault="00FB5146" w:rsidP="00FB5146">
            <w:pPr>
              <w:rPr>
                <w:rFonts w:ascii="Arial Narrow" w:hAnsi="Arial Narrow"/>
                <w:sz w:val="20"/>
                <w:szCs w:val="20"/>
              </w:rPr>
            </w:pPr>
            <w:r>
              <w:rPr>
                <w:rFonts w:ascii="Arial Narrow" w:hAnsi="Arial Narrow"/>
                <w:sz w:val="20"/>
                <w:szCs w:val="20"/>
              </w:rPr>
              <w:t>-Sediment PCBs</w:t>
            </w:r>
          </w:p>
        </w:tc>
        <w:tc>
          <w:tcPr>
            <w:tcW w:w="1590" w:type="dxa"/>
            <w:tcBorders>
              <w:top w:val="single" w:sz="6" w:space="0" w:color="auto"/>
              <w:left w:val="single" w:sz="6" w:space="0" w:color="auto"/>
              <w:bottom w:val="single" w:sz="6" w:space="0" w:color="auto"/>
              <w:right w:val="single" w:sz="6" w:space="0" w:color="auto"/>
            </w:tcBorders>
          </w:tcPr>
          <w:p w14:paraId="5C4970CE" w14:textId="77777777" w:rsidR="00FB5146" w:rsidRDefault="00FB5146" w:rsidP="00FB5146">
            <w:pPr>
              <w:rPr>
                <w:rFonts w:ascii="Arial Narrow" w:hAnsi="Arial Narrow"/>
                <w:sz w:val="20"/>
                <w:szCs w:val="20"/>
              </w:rPr>
            </w:pPr>
            <w:r w:rsidRPr="00966714">
              <w:rPr>
                <w:rFonts w:ascii="Arial Narrow" w:hAnsi="Arial Narrow"/>
                <w:sz w:val="20"/>
                <w:szCs w:val="20"/>
              </w:rPr>
              <w:t>-Sediment</w:t>
            </w:r>
          </w:p>
          <w:p w14:paraId="3B24082F" w14:textId="0DA28AB3" w:rsidR="00FB5146" w:rsidRPr="00966714" w:rsidRDefault="00FB5146" w:rsidP="00FB5146">
            <w:pPr>
              <w:rPr>
                <w:rFonts w:ascii="Arial Narrow" w:hAnsi="Arial Narrow"/>
                <w:sz w:val="20"/>
                <w:szCs w:val="20"/>
              </w:rPr>
            </w:pPr>
            <w:r>
              <w:rPr>
                <w:rFonts w:ascii="Arial Narrow" w:hAnsi="Arial Narrow"/>
                <w:sz w:val="20"/>
                <w:szCs w:val="20"/>
              </w:rPr>
              <w:t>-Total Phosphorus</w:t>
            </w:r>
          </w:p>
        </w:tc>
        <w:tc>
          <w:tcPr>
            <w:tcW w:w="4350" w:type="dxa"/>
            <w:tcBorders>
              <w:top w:val="single" w:sz="6" w:space="0" w:color="auto"/>
              <w:left w:val="single" w:sz="6" w:space="0" w:color="auto"/>
              <w:bottom w:val="single" w:sz="6" w:space="0" w:color="auto"/>
              <w:right w:val="single" w:sz="6" w:space="0" w:color="auto"/>
            </w:tcBorders>
          </w:tcPr>
          <w:p w14:paraId="705AD3E1" w14:textId="4223A574" w:rsidR="00FB5146" w:rsidRPr="00966714" w:rsidRDefault="00FB5146" w:rsidP="00FB5146">
            <w:pPr>
              <w:rPr>
                <w:rFonts w:ascii="Arial Narrow" w:hAnsi="Arial Narrow"/>
                <w:sz w:val="20"/>
                <w:szCs w:val="20"/>
              </w:rPr>
            </w:pPr>
            <w:r>
              <w:rPr>
                <w:rFonts w:ascii="Arial Narrow" w:hAnsi="Arial Narrow"/>
                <w:sz w:val="20"/>
                <w:szCs w:val="20"/>
              </w:rPr>
              <w:t>-Total Phosphorus</w:t>
            </w:r>
          </w:p>
        </w:tc>
      </w:tr>
      <w:tr w:rsidR="006617CC" w:rsidRPr="00966714" w14:paraId="6957B02E" w14:textId="77777777" w:rsidTr="00FB5146">
        <w:trPr>
          <w:trHeight w:val="792"/>
        </w:trPr>
        <w:tc>
          <w:tcPr>
            <w:tcW w:w="1534" w:type="dxa"/>
            <w:tcBorders>
              <w:top w:val="single" w:sz="6" w:space="0" w:color="auto"/>
              <w:left w:val="single" w:sz="6" w:space="0" w:color="auto"/>
              <w:bottom w:val="single" w:sz="6" w:space="0" w:color="auto"/>
              <w:right w:val="single" w:sz="6" w:space="0" w:color="auto"/>
            </w:tcBorders>
            <w:vAlign w:val="center"/>
          </w:tcPr>
          <w:p w14:paraId="15EBD0D5" w14:textId="59FC5347" w:rsidR="006617CC" w:rsidRPr="00966714" w:rsidRDefault="006617CC" w:rsidP="006617CC">
            <w:pPr>
              <w:jc w:val="left"/>
              <w:rPr>
                <w:rFonts w:ascii="Arial Narrow" w:hAnsi="Arial Narrow"/>
                <w:sz w:val="20"/>
                <w:szCs w:val="20"/>
              </w:rPr>
            </w:pPr>
            <w:r>
              <w:rPr>
                <w:rFonts w:ascii="Arial Narrow" w:hAnsi="Arial Narrow"/>
                <w:sz w:val="20"/>
                <w:szCs w:val="20"/>
              </w:rPr>
              <w:t>Roanoke River (198.08)</w:t>
            </w:r>
          </w:p>
        </w:tc>
        <w:tc>
          <w:tcPr>
            <w:tcW w:w="1800" w:type="dxa"/>
            <w:tcBorders>
              <w:top w:val="single" w:sz="6" w:space="0" w:color="auto"/>
              <w:left w:val="single" w:sz="6" w:space="0" w:color="auto"/>
              <w:bottom w:val="single" w:sz="6" w:space="0" w:color="auto"/>
              <w:right w:val="single" w:sz="6" w:space="0" w:color="auto"/>
            </w:tcBorders>
          </w:tcPr>
          <w:p w14:paraId="006DD4E3" w14:textId="77777777" w:rsidR="006617CC" w:rsidRPr="00966714" w:rsidRDefault="006617CC" w:rsidP="006617CC">
            <w:pPr>
              <w:rPr>
                <w:rFonts w:ascii="Arial Narrow" w:hAnsi="Arial Narrow"/>
                <w:sz w:val="20"/>
                <w:szCs w:val="20"/>
              </w:rPr>
            </w:pPr>
            <w:r w:rsidRPr="00966714">
              <w:rPr>
                <w:rFonts w:ascii="Arial Narrow" w:hAnsi="Arial Narrow"/>
                <w:sz w:val="20"/>
                <w:szCs w:val="20"/>
              </w:rPr>
              <w:t>-Conductivity/TDS</w:t>
            </w:r>
          </w:p>
          <w:p w14:paraId="12B7475C" w14:textId="42DFC0BC" w:rsidR="006617CC" w:rsidRPr="00966714" w:rsidRDefault="006617CC" w:rsidP="006617CC">
            <w:pPr>
              <w:rPr>
                <w:rFonts w:ascii="Arial Narrow" w:hAnsi="Arial Narrow"/>
                <w:sz w:val="20"/>
                <w:szCs w:val="20"/>
              </w:rPr>
            </w:pPr>
            <w:r w:rsidRPr="00966714">
              <w:rPr>
                <w:rFonts w:ascii="Arial Narrow" w:hAnsi="Arial Narrow"/>
                <w:sz w:val="20"/>
                <w:szCs w:val="20"/>
              </w:rPr>
              <w:t>-</w:t>
            </w:r>
            <w:r>
              <w:rPr>
                <w:rFonts w:ascii="Arial Narrow" w:hAnsi="Arial Narrow"/>
                <w:sz w:val="20"/>
                <w:szCs w:val="20"/>
              </w:rPr>
              <w:t>Sediment PCBs</w:t>
            </w:r>
          </w:p>
        </w:tc>
        <w:tc>
          <w:tcPr>
            <w:tcW w:w="1590" w:type="dxa"/>
            <w:tcBorders>
              <w:top w:val="single" w:sz="6" w:space="0" w:color="auto"/>
              <w:left w:val="single" w:sz="6" w:space="0" w:color="auto"/>
              <w:bottom w:val="single" w:sz="6" w:space="0" w:color="auto"/>
              <w:right w:val="single" w:sz="6" w:space="0" w:color="auto"/>
            </w:tcBorders>
          </w:tcPr>
          <w:p w14:paraId="3FD646AD" w14:textId="77777777" w:rsidR="006617CC" w:rsidRDefault="006617CC" w:rsidP="006617CC">
            <w:pPr>
              <w:rPr>
                <w:rFonts w:ascii="Arial Narrow" w:hAnsi="Arial Narrow"/>
                <w:sz w:val="20"/>
                <w:szCs w:val="20"/>
              </w:rPr>
            </w:pPr>
            <w:r>
              <w:rPr>
                <w:rFonts w:ascii="Arial Narrow" w:hAnsi="Arial Narrow"/>
                <w:sz w:val="20"/>
                <w:szCs w:val="20"/>
              </w:rPr>
              <w:t>-Total Phosphorus</w:t>
            </w:r>
          </w:p>
          <w:p w14:paraId="1782EDDE" w14:textId="77777777" w:rsidR="006617CC" w:rsidRDefault="006617CC" w:rsidP="006617CC">
            <w:pPr>
              <w:rPr>
                <w:rFonts w:ascii="Arial Narrow" w:hAnsi="Arial Narrow"/>
                <w:sz w:val="20"/>
                <w:szCs w:val="20"/>
              </w:rPr>
            </w:pPr>
            <w:r>
              <w:rPr>
                <w:rFonts w:ascii="Arial Narrow" w:hAnsi="Arial Narrow"/>
                <w:sz w:val="20"/>
                <w:szCs w:val="20"/>
              </w:rPr>
              <w:t>-Total Nitrogen</w:t>
            </w:r>
          </w:p>
          <w:p w14:paraId="1C394EF2" w14:textId="5A7434CD" w:rsidR="006617CC" w:rsidRPr="00966714" w:rsidRDefault="006617CC" w:rsidP="006617CC">
            <w:pPr>
              <w:rPr>
                <w:rFonts w:ascii="Arial Narrow" w:hAnsi="Arial Narrow"/>
                <w:sz w:val="20"/>
                <w:szCs w:val="20"/>
              </w:rPr>
            </w:pPr>
            <w:r>
              <w:rPr>
                <w:rFonts w:ascii="Arial Narrow" w:hAnsi="Arial Narrow"/>
                <w:sz w:val="20"/>
                <w:szCs w:val="20"/>
              </w:rPr>
              <w:t>-Niagara Dam</w:t>
            </w:r>
          </w:p>
        </w:tc>
        <w:tc>
          <w:tcPr>
            <w:tcW w:w="4350" w:type="dxa"/>
            <w:tcBorders>
              <w:top w:val="single" w:sz="6" w:space="0" w:color="auto"/>
              <w:left w:val="single" w:sz="6" w:space="0" w:color="auto"/>
              <w:bottom w:val="single" w:sz="6" w:space="0" w:color="auto"/>
              <w:right w:val="single" w:sz="6" w:space="0" w:color="auto"/>
            </w:tcBorders>
          </w:tcPr>
          <w:p w14:paraId="16B20D08" w14:textId="77777777" w:rsidR="006617CC" w:rsidRDefault="006617CC" w:rsidP="006617CC">
            <w:pPr>
              <w:rPr>
                <w:rFonts w:ascii="Arial Narrow" w:hAnsi="Arial Narrow"/>
                <w:sz w:val="20"/>
                <w:szCs w:val="20"/>
              </w:rPr>
            </w:pPr>
            <w:r>
              <w:rPr>
                <w:rFonts w:ascii="Arial Narrow" w:hAnsi="Arial Narrow"/>
                <w:sz w:val="20"/>
                <w:szCs w:val="20"/>
              </w:rPr>
              <w:t>-Total Phosphorus</w:t>
            </w:r>
          </w:p>
          <w:p w14:paraId="5D964812" w14:textId="162A2BC0" w:rsidR="006617CC" w:rsidRPr="00966714" w:rsidRDefault="006617CC" w:rsidP="006617CC">
            <w:pPr>
              <w:rPr>
                <w:rFonts w:ascii="Arial Narrow" w:hAnsi="Arial Narrow"/>
                <w:sz w:val="20"/>
                <w:szCs w:val="20"/>
              </w:rPr>
            </w:pPr>
            <w:r>
              <w:rPr>
                <w:rFonts w:ascii="Arial Narrow" w:hAnsi="Arial Narrow"/>
                <w:sz w:val="20"/>
                <w:szCs w:val="20"/>
              </w:rPr>
              <w:t>-Total Nitrogen</w:t>
            </w:r>
          </w:p>
        </w:tc>
      </w:tr>
    </w:tbl>
    <w:p w14:paraId="10318CFB" w14:textId="19E0C89A" w:rsidR="00042E4B" w:rsidRPr="00C04C86" w:rsidRDefault="00042E4B" w:rsidP="00042E4B">
      <w:pPr>
        <w:pStyle w:val="Heading2"/>
        <w:rPr>
          <w:noProof/>
        </w:rPr>
      </w:pPr>
      <w:bookmarkStart w:id="277" w:name="_Toc162948209"/>
      <w:r w:rsidRPr="00C04C86">
        <w:rPr>
          <w:noProof/>
        </w:rPr>
        <w:t>Probable Stressors</w:t>
      </w:r>
      <w:bookmarkEnd w:id="277"/>
    </w:p>
    <w:p w14:paraId="02C8F8BC" w14:textId="46B884D1" w:rsidR="008A1F50" w:rsidRPr="00C04C86" w:rsidRDefault="008A1F50" w:rsidP="00F12F7D">
      <w:pPr>
        <w:pStyle w:val="Heading3"/>
      </w:pPr>
      <w:r w:rsidRPr="00C04C86">
        <w:rPr>
          <w:noProof/>
        </w:rPr>
        <w:t xml:space="preserve"> </w:t>
      </w:r>
      <w:bookmarkStart w:id="278" w:name="_Toc162948210"/>
      <w:r w:rsidRPr="00C04C86">
        <w:t>Sediment</w:t>
      </w:r>
      <w:bookmarkEnd w:id="271"/>
      <w:bookmarkEnd w:id="278"/>
    </w:p>
    <w:p w14:paraId="72FAFFB6" w14:textId="6AD5FBB3" w:rsidR="008A1F50" w:rsidRPr="00C04C86" w:rsidRDefault="008A1F50" w:rsidP="008A1F50">
      <w:pPr>
        <w:pStyle w:val="BlockText"/>
      </w:pPr>
      <w:r w:rsidRPr="00C04C86">
        <w:t xml:space="preserve">Sediment was identified as a probable stressor in </w:t>
      </w:r>
      <w:r w:rsidR="00647D86">
        <w:t xml:space="preserve">Wolf Creek, Tinker Creek, and Roanoke River station 4AROA202.20. </w:t>
      </w:r>
      <w:r w:rsidRPr="00C04C86">
        <w:t xml:space="preserve">Multiple lines of evidence supported this determination including habitat metrics, seasonal trends, biological condition gradient </w:t>
      </w:r>
      <w:r w:rsidR="007E2E2D">
        <w:t xml:space="preserve">attribute </w:t>
      </w:r>
      <w:r w:rsidRPr="00C04C86">
        <w:t>analysis, and functional feeding group analysis (Section</w:t>
      </w:r>
      <w:r w:rsidR="00771204">
        <w:t xml:space="preserve"> </w:t>
      </w:r>
      <w:r w:rsidR="00771204">
        <w:fldChar w:fldCharType="begin"/>
      </w:r>
      <w:r w:rsidR="00771204">
        <w:instrText xml:space="preserve"> REF _Ref51923396 \r \h </w:instrText>
      </w:r>
      <w:r w:rsidR="00771204">
        <w:fldChar w:fldCharType="separate"/>
      </w:r>
      <w:r w:rsidR="004A78BF">
        <w:t>3.9</w:t>
      </w:r>
      <w:r w:rsidR="00771204">
        <w:fldChar w:fldCharType="end"/>
      </w:r>
      <w:r w:rsidRPr="00C04C86">
        <w:t>). Based on the observed data and causal analysis, a conceptual model was developed to describe the causal relationships between the sources of sediment in the watershed, increased suspended sediment loads, and the observed loss of benthic macroinvertebrates (</w:t>
      </w:r>
      <w:r w:rsidR="00FC07EA">
        <w:fldChar w:fldCharType="begin"/>
      </w:r>
      <w:r w:rsidR="00FC07EA">
        <w:instrText xml:space="preserve"> REF _Ref154378021 \h </w:instrText>
      </w:r>
      <w:r w:rsidR="00FC07EA">
        <w:fldChar w:fldCharType="separate"/>
      </w:r>
      <w:r w:rsidR="004A78BF">
        <w:t xml:space="preserve">Figure </w:t>
      </w:r>
      <w:r w:rsidR="004A78BF">
        <w:rPr>
          <w:noProof/>
        </w:rPr>
        <w:t>47</w:t>
      </w:r>
      <w:r w:rsidR="00FC07EA">
        <w:fldChar w:fldCharType="end"/>
      </w:r>
      <w:r w:rsidRPr="00C04C86">
        <w:t xml:space="preserve">).  In this conceptual model, sources of sediment are derived from point sources, the erosion of watershed soils, the </w:t>
      </w:r>
      <w:proofErr w:type="spellStart"/>
      <w:r w:rsidRPr="00C04C86">
        <w:t>washoff</w:t>
      </w:r>
      <w:proofErr w:type="spellEnd"/>
      <w:r w:rsidRPr="00C04C86">
        <w:t xml:space="preserve"> of accumulated sediment on impervious surfaces, the erosion of streambanks, and the resuspension of channel sediments. These sources and other contributing factors lead to an increased particulate load (i.e., suspended sediment) in the stream. The increased particulate load then acts to biologically impair the stream through two pathways: a change in feeding niches to favor filter feeders and deposit feeders, and the filling of interstitial spaces that reduces available habitat.  Benthic taxa data provide evidence of these pathways with an observed increase in deposit feeders and a decrease in taxa richness. Habitat assessments also provide evidence of interstitial filling.  The combined weight of evidence documented in the causal analysis supports this conceptual model of sediment as a stressor in </w:t>
      </w:r>
      <w:r w:rsidR="0009558E">
        <w:t>Wolf Creek, Tinker Creek, and Roanoke River station 4AROA202.20.</w:t>
      </w:r>
      <w:r w:rsidRPr="00C04C86">
        <w:t xml:space="preserve"> A TMDL developed to reduce sediment loads in the</w:t>
      </w:r>
      <w:r w:rsidR="00A060C8">
        <w:t>se</w:t>
      </w:r>
      <w:r w:rsidRPr="00C04C86">
        <w:t xml:space="preserve"> watershed</w:t>
      </w:r>
      <w:r w:rsidR="00A060C8">
        <w:t>s</w:t>
      </w:r>
      <w:r w:rsidRPr="00C04C86">
        <w:t xml:space="preserve"> will address the benthic impairments in these streams through the pathways described in </w:t>
      </w:r>
      <w:r w:rsidR="00FC07EA">
        <w:fldChar w:fldCharType="begin"/>
      </w:r>
      <w:r w:rsidR="00FC07EA">
        <w:instrText xml:space="preserve"> REF _Ref154378021 \h </w:instrText>
      </w:r>
      <w:r w:rsidR="00FC07EA">
        <w:fldChar w:fldCharType="separate"/>
      </w:r>
      <w:r w:rsidR="004A78BF">
        <w:t xml:space="preserve">Figure </w:t>
      </w:r>
      <w:r w:rsidR="004A78BF">
        <w:rPr>
          <w:noProof/>
        </w:rPr>
        <w:t>47</w:t>
      </w:r>
      <w:r w:rsidR="00FC07EA">
        <w:fldChar w:fldCharType="end"/>
      </w:r>
      <w:r w:rsidRPr="00C04C86">
        <w:t>. In addition, efforts to address several contributing factors that exacerbate the impact of the sediment stressor will also be effective at reducing the impairment.</w:t>
      </w:r>
    </w:p>
    <w:p w14:paraId="2230EAE6" w14:textId="77777777" w:rsidR="008A1F50" w:rsidRPr="00C04C86" w:rsidRDefault="008A1F50" w:rsidP="00042E4B">
      <w:pPr>
        <w:pStyle w:val="Heading4"/>
      </w:pPr>
      <w:bookmarkStart w:id="279" w:name="_Toc162948211"/>
      <w:r w:rsidRPr="00C04C86">
        <w:t>Contributing Factors</w:t>
      </w:r>
      <w:bookmarkEnd w:id="279"/>
      <w:r w:rsidRPr="00C04C86">
        <w:t xml:space="preserve">  </w:t>
      </w:r>
    </w:p>
    <w:p w14:paraId="07E75022" w14:textId="3BFDE62D" w:rsidR="008A1F50" w:rsidRPr="00C04C86" w:rsidRDefault="008A1F50" w:rsidP="008A1F50">
      <w:pPr>
        <w:pStyle w:val="BlockText"/>
      </w:pPr>
      <w:r w:rsidRPr="00C04C86">
        <w:t xml:space="preserve">Several factors contribute to the impact of sediment in </w:t>
      </w:r>
      <w:r w:rsidR="00BA11AB">
        <w:t xml:space="preserve">Wolf Creek, Tinker Creek, and </w:t>
      </w:r>
      <w:r w:rsidR="00AD3E85">
        <w:t xml:space="preserve">the </w:t>
      </w:r>
      <w:r w:rsidR="00BA11AB">
        <w:t>Roanoke River (202.20)</w:t>
      </w:r>
      <w:r w:rsidRPr="00C04C86">
        <w:t xml:space="preserve">, including imperviousness in the watershed, </w:t>
      </w:r>
      <w:r w:rsidR="00BA11AB">
        <w:t xml:space="preserve">channel alterations, </w:t>
      </w:r>
      <w:r w:rsidRPr="00C04C86">
        <w:t xml:space="preserve">and poor riparian </w:t>
      </w:r>
      <w:r w:rsidR="00BA11AB">
        <w:t>and bank condition</w:t>
      </w:r>
      <w:r w:rsidRPr="00C04C86">
        <w:t xml:space="preserve">. </w:t>
      </w:r>
      <w:r w:rsidR="00081A5E">
        <w:t>Each of these is related to the increased urban and suburban development of the watersheds</w:t>
      </w:r>
      <w:r w:rsidR="00BA11AB">
        <w:t xml:space="preserve">. </w:t>
      </w:r>
      <w:r w:rsidRPr="00C04C86">
        <w:t xml:space="preserve">As watersheds develop and the percentage of impervious surfaces increases, runoff during precipitation events increases. As the amount of runoff increases, peak flows in local streams increase causing streambank erosion and streambed scouring. This scenario causes unstable habitat conditions for benthic macroinvertebrates and increased sediment loads. </w:t>
      </w:r>
      <w:proofErr w:type="spellStart"/>
      <w:r w:rsidRPr="00C04C86">
        <w:t>Brabec</w:t>
      </w:r>
      <w:proofErr w:type="spellEnd"/>
      <w:r w:rsidRPr="00C04C86">
        <w:t xml:space="preserve"> </w:t>
      </w:r>
      <w:r w:rsidRPr="00C04C86">
        <w:rPr>
          <w:i/>
        </w:rPr>
        <w:t>et al.</w:t>
      </w:r>
      <w:r w:rsidRPr="00C04C86">
        <w:t xml:space="preserve"> (2002), found that fish and macroinvertebrate diversity decreased when watersheds exceeded 3.6 to 15% imperviousness. </w:t>
      </w:r>
      <w:r w:rsidR="00BA11AB">
        <w:t>I</w:t>
      </w:r>
      <w:r w:rsidR="00BA11AB" w:rsidRPr="00C04C86">
        <w:t>mpervious</w:t>
      </w:r>
      <w:r w:rsidR="00BA11AB">
        <w:t xml:space="preserve"> land cover accounted for 16% of the Wolf Creek watershed, 15% of the Tinker Creek watershed, and 7% of the Roanoke River (202.20) watershed. </w:t>
      </w:r>
      <w:r w:rsidR="00081A5E">
        <w:t xml:space="preserve">At these levels, imperviousness is likely a significant contributing factor to the benthic impairment. </w:t>
      </w:r>
      <w:r w:rsidRPr="00C04C86">
        <w:t xml:space="preserve">While the TMDL does not directly address the percentage of imperviousness in watersheds, efforts to reduce imperviousness and increase infiltration can support the TMDL and assist in reducing the impact of sediment. Practices such as rain gardens, green roofs, rain barrels, and pervious pavers can all reduce runoff. Regional planning, zoning practices, and building codes can also be implemented to discourage imperviousness and reduce runoff.  </w:t>
      </w:r>
    </w:p>
    <w:p w14:paraId="03AAD2E3" w14:textId="5BE052D3" w:rsidR="007D5F5D" w:rsidRDefault="00081A5E" w:rsidP="008A1F50">
      <w:pPr>
        <w:pStyle w:val="BlockText"/>
      </w:pPr>
      <w:r>
        <w:t xml:space="preserve">Channel alteration and poor riparian and bank condition are also </w:t>
      </w:r>
      <w:r w:rsidR="008A1F50" w:rsidRPr="00C04C86">
        <w:t>contributing factor</w:t>
      </w:r>
      <w:r>
        <w:t xml:space="preserve">s linked to urban and suburban development. In urban areas, stream channels are often highly modified to accommodate construction, reduce flooding, and reduce localized erosion. This often means hardened stream channels and reduced riparian vegetation. </w:t>
      </w:r>
      <w:r w:rsidR="002A4750">
        <w:t>While these practices may reduce localized erosion, at the watershed scale they increase flow velocities, which increases bank erosion and instream scour. The increased erosion and scour mean greater sediment loads and sediment deposition within other reaches of the stream, decreasing available benthic habitat. Natural stream channels with r</w:t>
      </w:r>
      <w:r w:rsidR="008A1F50" w:rsidRPr="00C04C86">
        <w:t>iparian vegetation reduce bank erosion, which can often be a primary contributor to in-stream sediment loads. Practices such as riparian plantings, greenways, conservation easements, and regional planning and zoning practices that protect stream corridors can be effective mechanisms for reducing sediment loads from streambank erosion.</w:t>
      </w:r>
    </w:p>
    <w:p w14:paraId="52AAC0C4" w14:textId="06DA6625" w:rsidR="002A4750" w:rsidRPr="00C04C86" w:rsidRDefault="002A4750" w:rsidP="002A4750">
      <w:pPr>
        <w:pStyle w:val="Heading4"/>
      </w:pPr>
      <w:bookmarkStart w:id="280" w:name="_Toc162948212"/>
      <w:r>
        <w:t xml:space="preserve">Ameliorating </w:t>
      </w:r>
      <w:r w:rsidRPr="00C04C86">
        <w:t>Factors</w:t>
      </w:r>
      <w:bookmarkEnd w:id="280"/>
      <w:r w:rsidRPr="00C04C86">
        <w:t xml:space="preserve">  </w:t>
      </w:r>
    </w:p>
    <w:p w14:paraId="47D659A5" w14:textId="1674297D" w:rsidR="002A4750" w:rsidRDefault="007471E7" w:rsidP="008A1F50">
      <w:pPr>
        <w:pStyle w:val="BlockText"/>
      </w:pPr>
      <w:r>
        <w:t>Multiple lines of evidence indicated that suspended and deposited sediment were probable stressors in the Roanoke River at station 4AROA202.20, however, at station 4AROA198.08, evidence refuted sediment as a stressor. While it is unusual for sediment conditions to improve moving downstream in a watershed, the Niagara Dam operates as an ameliorating factor influencing the sediment dynamics of the Roanoke River.</w:t>
      </w:r>
      <w:r w:rsidRPr="007471E7">
        <w:t xml:space="preserve"> </w:t>
      </w:r>
      <w:r w:rsidR="00A90B10">
        <w:t>During normal flow conditions, t</w:t>
      </w:r>
      <w:r>
        <w:t>he dam slows water velocities</w:t>
      </w:r>
      <w:r w:rsidR="00A90B10">
        <w:t>,</w:t>
      </w:r>
      <w:r>
        <w:t xml:space="preserve"> increases sediment deposition upstream of the dam</w:t>
      </w:r>
      <w:r w:rsidR="00A90B10">
        <w:t>, and decreases sediment transport downstream. This ameliorates the sediment impairment downstream at station 4AROA198.08. Because of the age of the dam and relatively high flow to impoundment volume ratio, sediment transport in the river has likely reached dynamic equilibrium. This means that over relatively long timescales (years to decades), the dam is not significantly accumulating sediment. Over shorter timescales (seasons to years), however, sediment is likely being accumulated during lower flow periods and flushed during higher flow periods</w:t>
      </w:r>
      <w:r w:rsidR="00655472">
        <w:t xml:space="preserve">. So, while long-term sediment loads may be similar at station 4AROA202.20 and station 4AROA198.08, habitat conditions downstream of the dam are protected from sediment deposition during low to normal flow regimes. During high flow events, large sediment loads are likely transported through the 4AROA198.08 reach, but higher velocities during those times minimize sediment deposition within the reach. </w:t>
      </w:r>
    </w:p>
    <w:p w14:paraId="594FC60E" w14:textId="179F95D8" w:rsidR="00655472" w:rsidRPr="00C04C86" w:rsidRDefault="00655472" w:rsidP="00655472">
      <w:pPr>
        <w:pStyle w:val="Heading3"/>
      </w:pPr>
      <w:bookmarkStart w:id="281" w:name="_Toc162948213"/>
      <w:r w:rsidRPr="00C04C86">
        <w:t>Sediment</w:t>
      </w:r>
      <w:r>
        <w:t xml:space="preserve"> PCBs</w:t>
      </w:r>
      <w:bookmarkEnd w:id="281"/>
    </w:p>
    <w:p w14:paraId="61883B3B" w14:textId="634F1DB7" w:rsidR="004B6B71" w:rsidRDefault="00403FE6" w:rsidP="00655472">
      <w:pPr>
        <w:pStyle w:val="BlockText"/>
      </w:pPr>
      <w:r>
        <w:t xml:space="preserve">Polychlorinated biphenyls (PCBs) in the sediment were </w:t>
      </w:r>
      <w:r w:rsidR="00655472" w:rsidRPr="00C04C86">
        <w:t xml:space="preserve">identified as a probable stressor in </w:t>
      </w:r>
      <w:r w:rsidR="00655472">
        <w:t>Tinker Creek</w:t>
      </w:r>
      <w:r>
        <w:t>.</w:t>
      </w:r>
      <w:r w:rsidR="00EC0058" w:rsidRPr="00EC0058">
        <w:t xml:space="preserve"> </w:t>
      </w:r>
      <w:r w:rsidR="00EC0058">
        <w:t xml:space="preserve">While PCB monitoring data is somewhat limited, sediment PCB concentrations in lower Tinker Creek ranged as high as 940.76 </w:t>
      </w:r>
      <w:proofErr w:type="spellStart"/>
      <w:r w:rsidR="00EC0058">
        <w:rPr>
          <w:rFonts w:ascii="Calibri" w:hAnsi="Calibri" w:cs="Calibri"/>
        </w:rPr>
        <w:t>μ</w:t>
      </w:r>
      <w:r w:rsidR="00EC0058">
        <w:t>g</w:t>
      </w:r>
      <w:proofErr w:type="spellEnd"/>
      <w:r w:rsidR="00EC0058">
        <w:t xml:space="preserve">/kg, which exceeds the probable effect concentration (PEC) of 676 </w:t>
      </w:r>
      <w:proofErr w:type="spellStart"/>
      <w:r w:rsidR="00EC0058">
        <w:rPr>
          <w:rFonts w:ascii="Calibri" w:hAnsi="Calibri" w:cs="Calibri"/>
        </w:rPr>
        <w:t>μ</w:t>
      </w:r>
      <w:r w:rsidR="00EC0058">
        <w:t>g</w:t>
      </w:r>
      <w:proofErr w:type="spellEnd"/>
      <w:r w:rsidR="00EC0058">
        <w:t xml:space="preserve">/kg reported by MacDonald </w:t>
      </w:r>
      <w:r w:rsidR="00EC0058" w:rsidRPr="00BA4843">
        <w:rPr>
          <w:i/>
        </w:rPr>
        <w:t>et al.</w:t>
      </w:r>
      <w:r w:rsidR="00EC0058">
        <w:t xml:space="preserve"> (2000). Above probable effect concentrations, toxic effects on benthic macroinvertebrates are likely. This indicates that PCBs from legacy sources</w:t>
      </w:r>
      <w:r w:rsidR="008231F4">
        <w:t>,</w:t>
      </w:r>
      <w:r w:rsidR="00EC0058">
        <w:t xml:space="preserve"> active sources</w:t>
      </w:r>
      <w:r w:rsidR="008231F4">
        <w:t>, atmospheric deposition, and pervious and impervious surfaces</w:t>
      </w:r>
      <w:r w:rsidR="00EC0058">
        <w:t xml:space="preserve"> are accumulating in sediments and impacting the benthic community by </w:t>
      </w:r>
      <w:r w:rsidR="004B6B71">
        <w:t>eliminating more sensitive species through toxic effects (</w:t>
      </w:r>
      <w:r w:rsidR="00FC07EA">
        <w:fldChar w:fldCharType="begin"/>
      </w:r>
      <w:r w:rsidR="00FC07EA">
        <w:instrText xml:space="preserve"> REF _Ref154378069 \h </w:instrText>
      </w:r>
      <w:r w:rsidR="00FC07EA">
        <w:fldChar w:fldCharType="separate"/>
      </w:r>
      <w:r w:rsidR="004A78BF">
        <w:t xml:space="preserve">Figure </w:t>
      </w:r>
      <w:r w:rsidR="004A78BF">
        <w:rPr>
          <w:noProof/>
        </w:rPr>
        <w:t>48</w:t>
      </w:r>
      <w:r w:rsidR="00FC07EA">
        <w:fldChar w:fldCharType="end"/>
      </w:r>
      <w:r w:rsidR="004B6B71">
        <w:t xml:space="preserve">). </w:t>
      </w:r>
    </w:p>
    <w:p w14:paraId="3ADD5D44" w14:textId="772B7AE1" w:rsidR="00655472" w:rsidRDefault="00EC0058" w:rsidP="00655472">
      <w:pPr>
        <w:pStyle w:val="BlockText"/>
      </w:pPr>
      <w:r>
        <w:t xml:space="preserve">The upper Roanoke River was included in a 2009 TMDL to address PCB contamination in the watershed (Tetra Tech, 2009). The Roanoke River, Tinker Creek, and Wolf Creek (along with other tributaries) were assigned load and </w:t>
      </w:r>
      <w:proofErr w:type="spellStart"/>
      <w:r>
        <w:t>wasteload</w:t>
      </w:r>
      <w:proofErr w:type="spellEnd"/>
      <w:r>
        <w:t xml:space="preserve"> allocations for PCBs requiring 75 to 97% reductions.</w:t>
      </w:r>
      <w:r w:rsidR="004B6B71">
        <w:t xml:space="preserve"> Since a TMDL controlling PCBs is already in place for the Tinker Creek watershed, the current benthic TMDL development effort will not include PCBs except to document in the stressor analysis that sediment PCBs are a probable stressor.</w:t>
      </w:r>
      <w:r>
        <w:t xml:space="preserve"> </w:t>
      </w:r>
    </w:p>
    <w:p w14:paraId="47F51AE4" w14:textId="2D2EAB73" w:rsidR="00655472" w:rsidRPr="00C04C86" w:rsidRDefault="00655472" w:rsidP="00655472">
      <w:pPr>
        <w:pStyle w:val="Heading3"/>
      </w:pPr>
      <w:bookmarkStart w:id="282" w:name="_Toc162948214"/>
      <w:r>
        <w:t>Niagara Dam</w:t>
      </w:r>
      <w:bookmarkEnd w:id="282"/>
    </w:p>
    <w:p w14:paraId="73CCDE7A" w14:textId="2852D49D" w:rsidR="007528BF" w:rsidRDefault="00637CCC" w:rsidP="00655472">
      <w:pPr>
        <w:pStyle w:val="BlockText"/>
      </w:pPr>
      <w:r>
        <w:t xml:space="preserve">The physical presence of the Niagara Dam was identified as a </w:t>
      </w:r>
      <w:r w:rsidR="00655472" w:rsidRPr="00C04C86">
        <w:t xml:space="preserve">probable stressor </w:t>
      </w:r>
      <w:r>
        <w:t>at Roanoke</w:t>
      </w:r>
      <w:r w:rsidR="00655472">
        <w:t xml:space="preserve"> River station 4AROA</w:t>
      </w:r>
      <w:r w:rsidR="000664BA">
        <w:t>198.08</w:t>
      </w:r>
      <w:r w:rsidR="00655472">
        <w:t xml:space="preserve">. </w:t>
      </w:r>
      <w:r w:rsidR="008B1E95">
        <w:t xml:space="preserve">It is well documented that the artificial impounding of naturally flowing river systems by dams greatly impacts aquatic ecosystems (World Commission on Dams, 2000; </w:t>
      </w:r>
      <w:r w:rsidR="008B1E95" w:rsidRPr="008B1E95">
        <w:t xml:space="preserve">Nilsson </w:t>
      </w:r>
      <w:r w:rsidR="008B1E95" w:rsidRPr="008B1E95">
        <w:rPr>
          <w:i/>
        </w:rPr>
        <w:t>et al.</w:t>
      </w:r>
      <w:r w:rsidR="008B1E95">
        <w:t>,</w:t>
      </w:r>
      <w:r w:rsidR="008B1E95" w:rsidRPr="008B1E95">
        <w:t xml:space="preserve"> 2005</w:t>
      </w:r>
      <w:r w:rsidR="008B1E95" w:rsidRPr="003F3AE1">
        <w:t xml:space="preserve">). </w:t>
      </w:r>
      <w:r w:rsidR="003F3AE1">
        <w:t xml:space="preserve">In general, the dam transforms a natural lotic (riverine) ecosystem into an artificial lentic (lake/reservoir) ecosystem. This creates a series of physical, chemical, and ecological changes in the river system that impact benthic macroinvertebrates, among other biotic components of the ecosystem. </w:t>
      </w:r>
      <w:r w:rsidR="003F3AE1" w:rsidRPr="003F3AE1">
        <w:t xml:space="preserve">Stanford and Ward (1983) </w:t>
      </w:r>
      <w:r w:rsidR="003F3AE1">
        <w:t xml:space="preserve">proposed the serial discontinuity concept as an ecological framework to discuss and explain longitudinal changes in a river system subjected to impoundment. </w:t>
      </w:r>
      <w:r w:rsidR="005B7A67">
        <w:t>While individual impoundment effects depend upon the scale and placement of the dam within the river system, general classes of effects can be expected. These include changes to the hydrologic flow regime, alterations in sediment transport</w:t>
      </w:r>
      <w:r w:rsidR="007528BF">
        <w:t xml:space="preserve"> and deposition</w:t>
      </w:r>
      <w:r w:rsidR="005B7A67">
        <w:t xml:space="preserve">, adjusting channel morphology, changing chemical conditions, altered thermal </w:t>
      </w:r>
      <w:r w:rsidR="007528BF">
        <w:t xml:space="preserve">regimes, and altered structural and functional attributes of biotic communities </w:t>
      </w:r>
      <w:r w:rsidR="005B7A67">
        <w:t>(Ward and Stanford, 1987)</w:t>
      </w:r>
      <w:r w:rsidR="007528BF">
        <w:t>.</w:t>
      </w:r>
      <w:r w:rsidR="005B7A67">
        <w:t xml:space="preserve"> </w:t>
      </w:r>
    </w:p>
    <w:p w14:paraId="52619A9F" w14:textId="4E25F5E4" w:rsidR="00655472" w:rsidRDefault="007528BF" w:rsidP="00655472">
      <w:pPr>
        <w:pStyle w:val="BlockText"/>
      </w:pPr>
      <w:r>
        <w:t xml:space="preserve">Downstream from impoundments, a substantial distance is required for the river to recover and regain its natural lotic characteristics and ecological functions. </w:t>
      </w:r>
      <w:proofErr w:type="spellStart"/>
      <w:r w:rsidR="00655472" w:rsidRPr="003F3AE1">
        <w:t>Mellado</w:t>
      </w:r>
      <w:proofErr w:type="spellEnd"/>
      <w:r w:rsidR="00655472" w:rsidRPr="008B1E95">
        <w:t xml:space="preserve">-Díaz </w:t>
      </w:r>
      <w:r w:rsidR="00655472" w:rsidRPr="007528BF">
        <w:rPr>
          <w:i/>
        </w:rPr>
        <w:t>et al.</w:t>
      </w:r>
      <w:r w:rsidR="00655472" w:rsidRPr="008B1E95">
        <w:t xml:space="preserve"> (2019) investigated the longitudinal recovery of benthic macroinvertebrate communities below dams in Spain. They found that the Shannon diversity index recovered by 2.5 miles downstream, while other measures of benthic health took more than 6.8 miles to recover. While the exact recovery distance in any particular river system is likely determined by many factors, this process typically takes several miles at a minimum. The 4AROA198.08 station is approximately one mile downstream from the Niagara Dam, so impacts from the dam on the benthic macroinvertebrate community are likely a </w:t>
      </w:r>
      <w:r>
        <w:t xml:space="preserve">significant contributing factor to </w:t>
      </w:r>
      <w:r w:rsidR="00655472" w:rsidRPr="008B1E95">
        <w:t>the benthic impairment.</w:t>
      </w:r>
      <w:r>
        <w:t xml:space="preserve"> This includes both directly through the physical, chemical, and ecological impacts discussed here, and indirectly through increasing nutrient retention and exacerbating eutrophication as discussed below. </w:t>
      </w:r>
      <w:r w:rsidR="00655472">
        <w:t xml:space="preserve">     </w:t>
      </w:r>
      <w:r w:rsidR="00655472" w:rsidRPr="00C04C86">
        <w:t xml:space="preserve"> </w:t>
      </w:r>
    </w:p>
    <w:p w14:paraId="003D59AB" w14:textId="6ABD57B2" w:rsidR="00655472" w:rsidRPr="00C04C86" w:rsidRDefault="00655472" w:rsidP="00655472">
      <w:pPr>
        <w:pStyle w:val="Heading3"/>
      </w:pPr>
      <w:bookmarkStart w:id="283" w:name="_Toc162948215"/>
      <w:r>
        <w:t>Nutrients (Phosphorus and Nitrogen)</w:t>
      </w:r>
      <w:bookmarkEnd w:id="283"/>
    </w:p>
    <w:p w14:paraId="34C67DFD" w14:textId="5AE1AF71" w:rsidR="00CC51BF" w:rsidRDefault="004603BB" w:rsidP="005E259D">
      <w:pPr>
        <w:pStyle w:val="BlockText"/>
      </w:pPr>
      <w:r>
        <w:t>Nutrients in the form of nitrogen and phosphorus were also identified as p</w:t>
      </w:r>
      <w:r w:rsidR="005E259D" w:rsidRPr="00C04C86">
        <w:t>robable stressor</w:t>
      </w:r>
      <w:r w:rsidR="005E259D">
        <w:t>s</w:t>
      </w:r>
      <w:r w:rsidR="005E259D" w:rsidRPr="00C04C86">
        <w:t xml:space="preserve"> in </w:t>
      </w:r>
      <w:r>
        <w:t xml:space="preserve">the Roanoke River. </w:t>
      </w:r>
      <w:r w:rsidR="005E259D" w:rsidRPr="00280BDD">
        <w:t xml:space="preserve">Multiple lines of evidence supported this determination including </w:t>
      </w:r>
      <w:r>
        <w:t xml:space="preserve">elevated nitrogen concentrations, increased algae growth at impaired stations, correlations of </w:t>
      </w:r>
      <w:r w:rsidR="006229D5">
        <w:t xml:space="preserve">nitrogen and phosphorus to benthic health, </w:t>
      </w:r>
      <w:r w:rsidR="005E259D" w:rsidRPr="00280BDD">
        <w:t xml:space="preserve">biological condition gradient </w:t>
      </w:r>
      <w:r w:rsidR="007E2E2D">
        <w:t xml:space="preserve">attribute </w:t>
      </w:r>
      <w:r w:rsidR="005E259D" w:rsidRPr="00280BDD">
        <w:t>analysis</w:t>
      </w:r>
      <w:r w:rsidR="006229D5">
        <w:t>, and functional feeding group analysis</w:t>
      </w:r>
      <w:r w:rsidR="005E259D">
        <w:t xml:space="preserve"> </w:t>
      </w:r>
      <w:r w:rsidR="005E259D" w:rsidRPr="00280BDD">
        <w:t>(Section</w:t>
      </w:r>
      <w:r>
        <w:t xml:space="preserve"> </w:t>
      </w:r>
      <w:r w:rsidR="005E259D">
        <w:fldChar w:fldCharType="begin"/>
      </w:r>
      <w:r w:rsidR="005E259D">
        <w:instrText xml:space="preserve"> REF _Ref51932485 \r \h </w:instrText>
      </w:r>
      <w:r w:rsidR="005E259D">
        <w:fldChar w:fldCharType="separate"/>
      </w:r>
      <w:r w:rsidR="004A78BF">
        <w:t>3.11</w:t>
      </w:r>
      <w:r w:rsidR="005E259D">
        <w:fldChar w:fldCharType="end"/>
      </w:r>
      <w:r>
        <w:t xml:space="preserve"> and </w:t>
      </w:r>
      <w:r>
        <w:fldChar w:fldCharType="begin"/>
      </w:r>
      <w:r>
        <w:instrText xml:space="preserve"> REF _Ref154211517 \r \h </w:instrText>
      </w:r>
      <w:r>
        <w:fldChar w:fldCharType="separate"/>
      </w:r>
      <w:r w:rsidR="004A78BF">
        <w:t>3.12</w:t>
      </w:r>
      <w:r>
        <w:fldChar w:fldCharType="end"/>
      </w:r>
      <w:r w:rsidR="005E259D" w:rsidRPr="00280BDD">
        <w:t xml:space="preserve">). Based on the observed data and causal analysis, a conceptual model was developed to describe the causal relationships between the sources of </w:t>
      </w:r>
      <w:r w:rsidR="006229D5">
        <w:t>nitrogen and phosphorus</w:t>
      </w:r>
      <w:r w:rsidR="005E259D" w:rsidRPr="00280BDD">
        <w:t xml:space="preserve"> in the watershed, increased nutrient loads, and the observed loss of benthic macroinvertebrates (</w:t>
      </w:r>
      <w:r w:rsidR="00FC07EA">
        <w:fldChar w:fldCharType="begin"/>
      </w:r>
      <w:r w:rsidR="00FC07EA">
        <w:instrText xml:space="preserve"> REF _Ref154378088 \h </w:instrText>
      </w:r>
      <w:r w:rsidR="00FC07EA">
        <w:fldChar w:fldCharType="separate"/>
      </w:r>
      <w:r w:rsidR="004A78BF">
        <w:t xml:space="preserve">Figure </w:t>
      </w:r>
      <w:r w:rsidR="004A78BF">
        <w:rPr>
          <w:noProof/>
        </w:rPr>
        <w:t>49</w:t>
      </w:r>
      <w:r w:rsidR="00FC07EA">
        <w:fldChar w:fldCharType="end"/>
      </w:r>
      <w:r w:rsidR="005E259D" w:rsidRPr="00280BDD">
        <w:t xml:space="preserve">).  In this conceptual model, sources of </w:t>
      </w:r>
      <w:r w:rsidR="006229D5">
        <w:t xml:space="preserve">nutrients </w:t>
      </w:r>
      <w:r w:rsidR="005E259D" w:rsidRPr="00280BDD">
        <w:t xml:space="preserve">include </w:t>
      </w:r>
      <w:r w:rsidR="005E259D">
        <w:t xml:space="preserve">point sources, </w:t>
      </w:r>
      <w:r w:rsidR="005E259D" w:rsidRPr="00280BDD">
        <w:t>fertilizer</w:t>
      </w:r>
      <w:r w:rsidR="006229D5">
        <w:t xml:space="preserve"> application on pervious surfaces,</w:t>
      </w:r>
      <w:r w:rsidR="005E259D" w:rsidRPr="00280BDD">
        <w:t xml:space="preserve"> and </w:t>
      </w:r>
      <w:r w:rsidR="006229D5">
        <w:t xml:space="preserve">runoff from </w:t>
      </w:r>
      <w:r w:rsidR="005E259D" w:rsidRPr="00280BDD">
        <w:t>diffuse sources</w:t>
      </w:r>
      <w:r w:rsidR="006229D5">
        <w:t xml:space="preserve"> </w:t>
      </w:r>
      <w:r w:rsidR="000664BA">
        <w:t>on</w:t>
      </w:r>
      <w:r w:rsidR="006229D5">
        <w:t xml:space="preserve"> impervious </w:t>
      </w:r>
      <w:r w:rsidR="000664BA">
        <w:t>surfaces</w:t>
      </w:r>
      <w:r w:rsidR="006B3716">
        <w:t>.</w:t>
      </w:r>
      <w:r w:rsidR="005E259D" w:rsidRPr="00280BDD">
        <w:t xml:space="preserve"> </w:t>
      </w:r>
      <w:r w:rsidR="00A03922">
        <w:t xml:space="preserve">The largest </w:t>
      </w:r>
      <w:r w:rsidR="00CC51BF">
        <w:t>point source is the Western Virginia Water Authority</w:t>
      </w:r>
      <w:r w:rsidR="00143C1C">
        <w:t xml:space="preserve"> Water Pollution Control Plant</w:t>
      </w:r>
      <w:r w:rsidR="00CC51BF">
        <w:t xml:space="preserve">, which discharges between stations 4AROA202.20 and 4AROA199.20 and likely accounts for the significantly higher nitrogen levels and slightly higher phosphorus levels at the downstream station. While significant, this point source of nutrients is not the only nutrient source contributing to nutrient enrichment in the Roanoke River. Nutrient enrichment and excess algae growth are observed at station 4AROA202.20 upstream from the Western Virginia Water Authority </w:t>
      </w:r>
      <w:r w:rsidR="00143C1C">
        <w:t xml:space="preserve">Water Pollution Control Plant </w:t>
      </w:r>
      <w:r w:rsidR="00CC51BF">
        <w:t>discharge and then continue to increase downstream of the discharge. Nutrient sources from pervious and impervious surfaces throughout the watershed also likely pla</w:t>
      </w:r>
      <w:r w:rsidR="00632CF7">
        <w:t>y</w:t>
      </w:r>
      <w:r w:rsidR="00CC51BF">
        <w:t xml:space="preserve"> a significant role. Agricultural land uses </w:t>
      </w:r>
      <w:r w:rsidR="00632CF7">
        <w:t xml:space="preserve">within the watershed are minimal (8% pasture and &lt;1% cropland), so nutrient loads are likely from residential and urban/suburban sources such as fertilizer application. </w:t>
      </w:r>
    </w:p>
    <w:p w14:paraId="276174E6" w14:textId="6CEFF298" w:rsidR="005E259D" w:rsidRDefault="005E259D" w:rsidP="005E259D">
      <w:pPr>
        <w:pStyle w:val="BlockText"/>
      </w:pPr>
      <w:r w:rsidRPr="00280BDD">
        <w:t>These sources lead to increased nutrient load</w:t>
      </w:r>
      <w:r w:rsidR="00632CF7">
        <w:t>s</w:t>
      </w:r>
      <w:r w:rsidRPr="00280BDD">
        <w:t xml:space="preserve"> in the stream, </w:t>
      </w:r>
      <w:r w:rsidR="00632CF7">
        <w:t xml:space="preserve">which </w:t>
      </w:r>
      <w:r w:rsidRPr="00280BDD">
        <w:t>increase</w:t>
      </w:r>
      <w:r w:rsidR="00632CF7">
        <w:t>s</w:t>
      </w:r>
      <w:r w:rsidRPr="00280BDD">
        <w:t xml:space="preserve"> algae growth</w:t>
      </w:r>
      <w:r w:rsidR="00632CF7">
        <w:t xml:space="preserve">. In the Roanoke River, increased algae growth has not appeared to impact the benthic community by reducing dissolved oxygen. Due to relatively high gradient and sufficient turbulence and mixing, dissolved oxygen levels </w:t>
      </w:r>
      <w:r w:rsidR="005B7A6B">
        <w:t xml:space="preserve">remain high. Increased algae growth, however, does impact the benthic macroinvertebrate community by </w:t>
      </w:r>
      <w:r w:rsidRPr="00280BDD">
        <w:t>alter</w:t>
      </w:r>
      <w:r w:rsidR="005B7A6B">
        <w:t>ing</w:t>
      </w:r>
      <w:r w:rsidRPr="00280BDD">
        <w:t xml:space="preserve"> macroinvertebrate feeding niches and </w:t>
      </w:r>
      <w:r w:rsidR="005B7A6B">
        <w:t xml:space="preserve">ecological </w:t>
      </w:r>
      <w:r w:rsidRPr="00280BDD">
        <w:t>competition</w:t>
      </w:r>
      <w:r w:rsidR="005B7A6B">
        <w:t>.</w:t>
      </w:r>
      <w:r w:rsidRPr="00280BDD">
        <w:t xml:space="preserve"> </w:t>
      </w:r>
      <w:r w:rsidR="005B7A6B">
        <w:t>With excess periphyton as a food source, the abundance of more competitive dominant species increases and more sensitive</w:t>
      </w:r>
      <w:r w:rsidR="000664BA">
        <w:t>,</w:t>
      </w:r>
      <w:r w:rsidR="005B7A6B">
        <w:t xml:space="preserve"> less competitive species decrease in relative abundance. This decreases overall diversity of the benthic macroinvertebrate community. </w:t>
      </w:r>
    </w:p>
    <w:p w14:paraId="4225D35A" w14:textId="19BD870E" w:rsidR="0081568A" w:rsidRDefault="00A80600" w:rsidP="00A80600">
      <w:pPr>
        <w:pStyle w:val="BlockText"/>
      </w:pPr>
      <w:r>
        <w:t xml:space="preserve">Causal analysis identified both phosphorus and nitrogen as probable stressors in the Roanoke River. </w:t>
      </w:r>
      <w:r w:rsidR="009B4167">
        <w:t xml:space="preserve">This leaves the difficult task of determining which nutrient to control to limit periphyton growth and downstream eutrophication. Total causal analysis scores were much higher for nitrogen </w:t>
      </w:r>
      <w:r w:rsidR="000664BA">
        <w:t xml:space="preserve">(+14) </w:t>
      </w:r>
      <w:r w:rsidR="009B4167">
        <w:t xml:space="preserve">than for phosphorus (+5), however </w:t>
      </w:r>
      <w:r w:rsidR="0081568A">
        <w:t xml:space="preserve">stoichiometric ratios and a preliminary screening model </w:t>
      </w:r>
      <w:r w:rsidR="000664BA">
        <w:t xml:space="preserve">(Bell, 2023) </w:t>
      </w:r>
      <w:r w:rsidR="0081568A">
        <w:t xml:space="preserve">show phosphorus limitation. </w:t>
      </w:r>
    </w:p>
    <w:p w14:paraId="53B6A6F2" w14:textId="77777777" w:rsidR="000664BA" w:rsidRDefault="009B4167" w:rsidP="005E259D">
      <w:pPr>
        <w:pStyle w:val="BlockText"/>
      </w:pPr>
      <w:r>
        <w:t xml:space="preserve">Historically, freshwater nutrient control has focused on phosphorus limitation. </w:t>
      </w:r>
      <w:r w:rsidR="0081568A">
        <w:t xml:space="preserve">This was based on long-term studies </w:t>
      </w:r>
      <w:r w:rsidR="00912486">
        <w:t xml:space="preserve">in the 1970s on </w:t>
      </w:r>
      <w:r w:rsidR="0081568A">
        <w:t>experimental lakes in Canada (</w:t>
      </w:r>
      <w:r>
        <w:t xml:space="preserve">Schindler </w:t>
      </w:r>
      <w:r w:rsidRPr="0081568A">
        <w:rPr>
          <w:i/>
        </w:rPr>
        <w:t>et al.</w:t>
      </w:r>
      <w:r w:rsidR="0081568A">
        <w:t>,</w:t>
      </w:r>
      <w:r>
        <w:t xml:space="preserve"> 2008)</w:t>
      </w:r>
      <w:r w:rsidR="0081568A">
        <w:t xml:space="preserve">, but was applied to stream and estuarine environments throughout North America. </w:t>
      </w:r>
      <w:r w:rsidR="00912486">
        <w:t>More recently, the ubiquitous assumption of phosphorus limitation has been questioned</w:t>
      </w:r>
      <w:r w:rsidR="00CC0A07">
        <w:t xml:space="preserve"> and a review of available data has demonstrated that nitrogen limitation is as common as phosphorus limitation </w:t>
      </w:r>
      <w:r w:rsidR="00912486">
        <w:t>(</w:t>
      </w:r>
      <w:r w:rsidR="00912486" w:rsidRPr="00912486">
        <w:t xml:space="preserve">Lewis </w:t>
      </w:r>
      <w:r w:rsidR="00912486">
        <w:t xml:space="preserve">and </w:t>
      </w:r>
      <w:proofErr w:type="spellStart"/>
      <w:r w:rsidR="00912486" w:rsidRPr="00912486">
        <w:t>Wurtsbaugh</w:t>
      </w:r>
      <w:proofErr w:type="spellEnd"/>
      <w:r w:rsidR="00912486" w:rsidRPr="00912486">
        <w:t>, 2008</w:t>
      </w:r>
      <w:r w:rsidR="00912486">
        <w:t xml:space="preserve">). </w:t>
      </w:r>
      <w:r w:rsidR="00CC0A07">
        <w:t xml:space="preserve">Furthermore, Lewis and </w:t>
      </w:r>
      <w:proofErr w:type="spellStart"/>
      <w:r w:rsidR="00CC0A07">
        <w:t>Wurtsbaugh</w:t>
      </w:r>
      <w:proofErr w:type="spellEnd"/>
      <w:r w:rsidR="00CC0A07">
        <w:t xml:space="preserve"> (2008) conclude that nitrogen and phosphorus enrichment together provide a stronger growth response in phytoplankton than</w:t>
      </w:r>
      <w:r w:rsidR="000664BA">
        <w:t xml:space="preserve"> </w:t>
      </w:r>
      <w:r w:rsidR="00CC0A07">
        <w:t xml:space="preserve">either nitrogen or phosphorus alone. </w:t>
      </w:r>
      <w:r w:rsidR="00A80600">
        <w:t>Lewis</w:t>
      </w:r>
      <w:r w:rsidR="00CC0A07">
        <w:t xml:space="preserve"> </w:t>
      </w:r>
      <w:r w:rsidR="00CC0A07" w:rsidRPr="00CC0A07">
        <w:rPr>
          <w:i/>
        </w:rPr>
        <w:t>et al.</w:t>
      </w:r>
      <w:r w:rsidR="00CC0A07">
        <w:t xml:space="preserve"> (2011) later expanded this conclusion from freshwater lakes to freshwater streams</w:t>
      </w:r>
      <w:r w:rsidR="00D16D4A">
        <w:t xml:space="preserve">. </w:t>
      </w:r>
    </w:p>
    <w:p w14:paraId="6AACF32C" w14:textId="77777777" w:rsidR="000664BA" w:rsidRDefault="00D16D4A" w:rsidP="005E259D">
      <w:pPr>
        <w:pStyle w:val="BlockText"/>
      </w:pPr>
      <w:r>
        <w:t>N</w:t>
      </w:r>
      <w:r w:rsidRPr="00F6410F">
        <w:t xml:space="preserve">utrient dynamics can be influenced by </w:t>
      </w:r>
      <w:r>
        <w:t xml:space="preserve">a host of </w:t>
      </w:r>
      <w:r w:rsidRPr="00F6410F">
        <w:t xml:space="preserve">factors </w:t>
      </w:r>
      <w:r>
        <w:t xml:space="preserve">including </w:t>
      </w:r>
      <w:r w:rsidRPr="00F6410F">
        <w:t>sunlight, predation</w:t>
      </w:r>
      <w:r>
        <w:t>, competition</w:t>
      </w:r>
      <w:r w:rsidRPr="00F6410F">
        <w:t>, nutrient cycling, sediment</w:t>
      </w:r>
      <w:r>
        <w:t xml:space="preserve"> dynamics</w:t>
      </w:r>
      <w:r w:rsidRPr="00F6410F">
        <w:t>, retention times, flow conditions</w:t>
      </w:r>
      <w:r>
        <w:t>, bioavailable fractions, sediment fluxes, and diffusion through biofilm and periphyton layers</w:t>
      </w:r>
      <w:r w:rsidRPr="00F6410F">
        <w:t xml:space="preserve">. </w:t>
      </w:r>
      <w:r>
        <w:t>All of these conditions change over space and time in highly dynamic free-flowing river systems, so nutrient availability and nutrient limitation may be variable and not effectively controlled by reducing a single constituent.</w:t>
      </w:r>
      <w:r w:rsidR="00CC0A07">
        <w:t xml:space="preserve"> </w:t>
      </w:r>
      <w:r>
        <w:t xml:space="preserve">Consequently, </w:t>
      </w:r>
      <w:r w:rsidR="00CC0A07">
        <w:t xml:space="preserve">in a review of the </w:t>
      </w:r>
      <w:r w:rsidR="00CC0A07" w:rsidRPr="00CC0A07">
        <w:t xml:space="preserve">available literature, </w:t>
      </w:r>
      <w:proofErr w:type="spellStart"/>
      <w:r w:rsidR="00CC0A07" w:rsidRPr="00CC0A07">
        <w:t>Dodds</w:t>
      </w:r>
      <w:proofErr w:type="spellEnd"/>
      <w:r w:rsidR="00CC0A07" w:rsidRPr="00CC0A07">
        <w:t xml:space="preserve"> and Smith (2016) conclude</w:t>
      </w:r>
      <w:r w:rsidR="00CC0A07">
        <w:t>d</w:t>
      </w:r>
      <w:r w:rsidR="00CC0A07" w:rsidRPr="00CC0A07">
        <w:t xml:space="preserve"> that both nitrogen and phosphorus control are necessary to </w:t>
      </w:r>
      <w:r w:rsidR="00F6410F">
        <w:t>limit</w:t>
      </w:r>
      <w:r w:rsidR="00CC0A07" w:rsidRPr="00CC0A07">
        <w:t xml:space="preserve"> eutrophication</w:t>
      </w:r>
      <w:r w:rsidR="00CC0A07">
        <w:t xml:space="preserve"> in freshwater </w:t>
      </w:r>
      <w:r w:rsidR="00CC0A07" w:rsidRPr="00F6410F">
        <w:t xml:space="preserve">streams. </w:t>
      </w:r>
      <w:r w:rsidR="00E046AB">
        <w:t xml:space="preserve">In a review article in </w:t>
      </w:r>
      <w:r w:rsidR="00E046AB" w:rsidRPr="00E046AB">
        <w:rPr>
          <w:i/>
        </w:rPr>
        <w:t>Science</w:t>
      </w:r>
      <w:r w:rsidR="00E046AB">
        <w:t xml:space="preserve">, Conley </w:t>
      </w:r>
      <w:r w:rsidR="00E046AB" w:rsidRPr="00E046AB">
        <w:rPr>
          <w:i/>
        </w:rPr>
        <w:t>et al.</w:t>
      </w:r>
      <w:r w:rsidR="00E046AB">
        <w:t xml:space="preserve"> (2009) similarly argued for the need to control both nitrogen and phosphorus in order to protect downstream estuarine environments.</w:t>
      </w:r>
    </w:p>
    <w:p w14:paraId="22DD96AD" w14:textId="13AEB20A" w:rsidR="00F6410F" w:rsidRDefault="000664BA" w:rsidP="005E259D">
      <w:pPr>
        <w:pStyle w:val="BlockText"/>
      </w:pPr>
      <w:r>
        <w:t xml:space="preserve">Due to the </w:t>
      </w:r>
      <w:r w:rsidR="008D1AAB">
        <w:t>high causal analysis score for nitrogen, the likely primary limitation by phosphorus, and the scientific literature support for combined phosphorus and nitrogen control, it is recommended that the nutrient TMDL be developed for both phosphorus and nitrogen.</w:t>
      </w:r>
      <w:r w:rsidR="00D16D4A">
        <w:t xml:space="preserve"> </w:t>
      </w:r>
    </w:p>
    <w:p w14:paraId="45AE72B4" w14:textId="77777777" w:rsidR="00042E4B" w:rsidRPr="00C04C86" w:rsidRDefault="00042E4B" w:rsidP="00042E4B">
      <w:pPr>
        <w:pStyle w:val="Heading4"/>
      </w:pPr>
      <w:bookmarkStart w:id="284" w:name="_Toc162948216"/>
      <w:r w:rsidRPr="00C04C86">
        <w:t>Contributing Factors</w:t>
      </w:r>
      <w:bookmarkEnd w:id="284"/>
    </w:p>
    <w:p w14:paraId="2422100B" w14:textId="446BF0B0" w:rsidR="007528BF" w:rsidRPr="00D16D4A" w:rsidRDefault="00D16D4A" w:rsidP="007528BF">
      <w:pPr>
        <w:pStyle w:val="BlockText"/>
      </w:pPr>
      <w:r>
        <w:t xml:space="preserve">An important contributing factor to nutrient enrichment in the Roanoke River at station 4AROA198.08 is the presence of the Niagara Dam. </w:t>
      </w:r>
      <w:r w:rsidR="007528BF" w:rsidRPr="00D16D4A">
        <w:t xml:space="preserve">Stanford and Ward (1983) postulated that dam regulation in upper river reaches could increase downstream eutrophication by increasing the retention time of nutrients. </w:t>
      </w:r>
      <w:r>
        <w:t>In a free-flowing river</w:t>
      </w:r>
      <w:r w:rsidR="00581E85">
        <w:t>, much of the nutrient load is quickly transported downstream. This is particularly true for sediment-associated nutrients during large storm events. The presence of impoundments in the river system</w:t>
      </w:r>
      <w:r w:rsidR="008D1AAB">
        <w:t>, however,</w:t>
      </w:r>
      <w:r w:rsidR="00581E85">
        <w:t xml:space="preserve"> can settle and retain those nutrients more effectively, shortening nutrient spiraling lengths and increasing nutrient cycling. </w:t>
      </w:r>
      <w:r w:rsidRPr="00D16D4A">
        <w:t xml:space="preserve">Bosch (2008) </w:t>
      </w:r>
      <w:r w:rsidR="00581E85">
        <w:t>d</w:t>
      </w:r>
      <w:r w:rsidR="000A5EA1">
        <w:t>ocumented</w:t>
      </w:r>
      <w:r w:rsidR="00581E85">
        <w:t xml:space="preserve"> increased nutrient retention in </w:t>
      </w:r>
      <w:r w:rsidRPr="00D16D4A">
        <w:t>impound</w:t>
      </w:r>
      <w:r w:rsidR="00581E85">
        <w:t xml:space="preserve">ed </w:t>
      </w:r>
      <w:r w:rsidRPr="00D16D4A">
        <w:t xml:space="preserve">river systems </w:t>
      </w:r>
      <w:r w:rsidR="00581E85">
        <w:t xml:space="preserve">using a modeling approach, and </w:t>
      </w:r>
      <w:r w:rsidR="007528BF" w:rsidRPr="00D16D4A">
        <w:t xml:space="preserve">Camargo </w:t>
      </w:r>
      <w:r w:rsidR="007528BF" w:rsidRPr="000A5EA1">
        <w:rPr>
          <w:i/>
        </w:rPr>
        <w:t>et al.</w:t>
      </w:r>
      <w:r w:rsidR="007528BF" w:rsidRPr="00D16D4A">
        <w:t xml:space="preserve"> (2005) </w:t>
      </w:r>
      <w:r w:rsidR="00581E85">
        <w:t xml:space="preserve">experimentally demonstrated </w:t>
      </w:r>
      <w:r w:rsidR="007528BF" w:rsidRPr="00D16D4A">
        <w:t>this finding in Spanish river systems</w:t>
      </w:r>
      <w:r w:rsidR="00581E85">
        <w:t xml:space="preserve">. </w:t>
      </w:r>
      <w:r w:rsidR="008D1AAB">
        <w:t xml:space="preserve">Camargo </w:t>
      </w:r>
      <w:r w:rsidR="008D1AAB" w:rsidRPr="008D1AAB">
        <w:rPr>
          <w:i/>
        </w:rPr>
        <w:t>et al.</w:t>
      </w:r>
      <w:r w:rsidR="008D1AAB">
        <w:t xml:space="preserve"> (2005) m</w:t>
      </w:r>
      <w:r w:rsidR="000A5EA1">
        <w:t>onitor</w:t>
      </w:r>
      <w:r w:rsidR="008D1AAB">
        <w:t>ed</w:t>
      </w:r>
      <w:r w:rsidR="000A5EA1">
        <w:t xml:space="preserve"> four mountainous streams above and below impoundments </w:t>
      </w:r>
      <w:r w:rsidR="008D1AAB">
        <w:t xml:space="preserve">and </w:t>
      </w:r>
      <w:r w:rsidR="000A5EA1">
        <w:t xml:space="preserve">found that </w:t>
      </w:r>
      <w:r w:rsidR="007528BF" w:rsidRPr="00D16D4A">
        <w:t xml:space="preserve">nutrient levels increased below </w:t>
      </w:r>
      <w:r w:rsidR="000A5EA1">
        <w:t>the impoundments</w:t>
      </w:r>
      <w:r w:rsidR="007528BF" w:rsidRPr="00D16D4A">
        <w:t xml:space="preserve">. Consequently, periphyton levels increased, shredder populations decreased, scrapers increased, diversity decreased, and abundance of dominant taxa increased. This resulting cascade of effects is similar to observations at the downstream Roanoke River station (198.08). </w:t>
      </w:r>
      <w:r w:rsidR="000A5EA1">
        <w:t xml:space="preserve">Increased nutrient retention from the Niagara Dam is likely exacerbating a nutrient enrichment stressor in the Roanoke River. </w:t>
      </w:r>
      <w:r w:rsidR="007528BF" w:rsidRPr="00D16D4A">
        <w:t xml:space="preserve"> </w:t>
      </w:r>
    </w:p>
    <w:p w14:paraId="1100D21B" w14:textId="58F0D58D" w:rsidR="00F12F7D" w:rsidRPr="00F12F7D" w:rsidRDefault="00F12F7D" w:rsidP="00F12F7D">
      <w:pPr>
        <w:pStyle w:val="Heading2"/>
        <w:rPr>
          <w:noProof/>
        </w:rPr>
      </w:pPr>
      <w:bookmarkStart w:id="285" w:name="_Toc162948217"/>
      <w:r w:rsidRPr="00F12F7D">
        <w:rPr>
          <w:noProof/>
        </w:rPr>
        <w:t>TMDL Targets</w:t>
      </w:r>
      <w:bookmarkEnd w:id="285"/>
    </w:p>
    <w:p w14:paraId="5B32EAFC" w14:textId="229032FD" w:rsidR="00F12F7D" w:rsidRPr="00F12F7D" w:rsidRDefault="00F12F7D" w:rsidP="00F12F7D">
      <w:pPr>
        <w:pStyle w:val="BlockText"/>
        <w:rPr>
          <w:noProof/>
        </w:rPr>
      </w:pPr>
      <w:r w:rsidRPr="00F12F7D">
        <w:rPr>
          <w:noProof/>
        </w:rPr>
        <w:t xml:space="preserve">Following causal analysis and the determination of probable stressors, target pollutants for the TMDL were selected. TMDL target pollutants are the physical or chemical substances that will be controlled and allocated in the TMDL to result in restored aquatic life (measured by benthic macroinvertebrate health). TMDL targets must be pollutants that are controllable through source reductions, such as sediment, phosphorus, nitrogen, or other substances. Physical factors or environmental conditions, such as flow regimes, hydrologic modifications, or physical structures (like dams) cannot be TMDL target pollutants. Even though these conditions influence ecological communities and may be sources of stress, they do not represent substances that originate from point and nonpoint sources, they cannot be quantified, summed, and allocated to respective sources, and they cannot be controlled through source reductions. </w:t>
      </w:r>
    </w:p>
    <w:p w14:paraId="3E64F1D8" w14:textId="7739FED4" w:rsidR="00F12F7D" w:rsidRPr="00F46E0C" w:rsidRDefault="00F12F7D" w:rsidP="00F12F7D">
      <w:pPr>
        <w:pStyle w:val="BlockText"/>
        <w:sectPr w:rsidR="00F12F7D" w:rsidRPr="00F46E0C" w:rsidSect="00A52254">
          <w:pgSz w:w="12240" w:h="15840"/>
          <w:pgMar w:top="1440" w:right="1440" w:bottom="1440" w:left="1440" w:header="720" w:footer="720" w:gutter="0"/>
          <w:cols w:space="720"/>
          <w:docGrid w:linePitch="360"/>
        </w:sectPr>
      </w:pPr>
      <w:r w:rsidRPr="00F12F7D">
        <w:rPr>
          <w:noProof/>
        </w:rPr>
        <w:t xml:space="preserve">TMDL target pollutants were selected by analyzing the causal pathways of probable stressors and identifying the primary substance responsible for controlling the pathway. </w:t>
      </w:r>
      <w:r>
        <w:rPr>
          <w:noProof/>
        </w:rPr>
        <w:t xml:space="preserve">Sediment was selected as a TMDL target pollutant in </w:t>
      </w:r>
      <w:r w:rsidR="000A5EA1">
        <w:rPr>
          <w:noProof/>
        </w:rPr>
        <w:t>Wolf Creek</w:t>
      </w:r>
      <w:r w:rsidR="008D1AAB">
        <w:rPr>
          <w:noProof/>
        </w:rPr>
        <w:t xml:space="preserve"> and </w:t>
      </w:r>
      <w:r w:rsidR="000A5EA1">
        <w:rPr>
          <w:noProof/>
        </w:rPr>
        <w:t xml:space="preserve">Tinker Creek. In the lower Roanoke River (station 4AROA198.08), phosphorus and nitrogen were selected </w:t>
      </w:r>
      <w:r>
        <w:rPr>
          <w:noProof/>
        </w:rPr>
        <w:t>as TMDL target pollutant</w:t>
      </w:r>
      <w:r w:rsidR="000A5EA1">
        <w:rPr>
          <w:noProof/>
        </w:rPr>
        <w:t>s</w:t>
      </w:r>
      <w:r>
        <w:rPr>
          <w:noProof/>
        </w:rPr>
        <w:t xml:space="preserve"> to address </w:t>
      </w:r>
      <w:r w:rsidR="00824007">
        <w:rPr>
          <w:noProof/>
        </w:rPr>
        <w:t xml:space="preserve">nutrient stressors. </w:t>
      </w:r>
    </w:p>
    <w:p w14:paraId="01310CFE" w14:textId="77777777" w:rsidR="00FC07EA" w:rsidRDefault="0088746F" w:rsidP="00FC07EA">
      <w:pPr>
        <w:pStyle w:val="BlockText"/>
        <w:keepNext/>
      </w:pPr>
      <w:r w:rsidRPr="0088746F">
        <w:rPr>
          <w:noProof/>
        </w:rPr>
        <w:drawing>
          <wp:inline distT="0" distB="0" distL="0" distR="0" wp14:anchorId="653C7651" wp14:editId="24C441FE">
            <wp:extent cx="8229600" cy="4838032"/>
            <wp:effectExtent l="0" t="0" r="0" b="1270"/>
            <wp:docPr id="10" name="Picture 10" descr="Conceptual model for the causal pathway of sediment impacts on benthic macroinvertebrates in Wolf Creek, Tinker Creek, and Roanoke River (2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229600" cy="4838032"/>
                    </a:xfrm>
                    <a:prstGeom prst="rect">
                      <a:avLst/>
                    </a:prstGeom>
                    <a:noFill/>
                    <a:ln>
                      <a:noFill/>
                    </a:ln>
                  </pic:spPr>
                </pic:pic>
              </a:graphicData>
            </a:graphic>
          </wp:inline>
        </w:drawing>
      </w:r>
    </w:p>
    <w:p w14:paraId="2D440A21" w14:textId="37EE6151" w:rsidR="00FC07EA" w:rsidRDefault="00FC07EA" w:rsidP="00FC07EA">
      <w:pPr>
        <w:pStyle w:val="Caption"/>
      </w:pPr>
      <w:bookmarkStart w:id="286" w:name="_Ref154378021"/>
      <w:bookmarkStart w:id="287" w:name="_Toc162948265"/>
      <w:r>
        <w:t xml:space="preserve">Figure </w:t>
      </w:r>
      <w:r w:rsidR="00946247">
        <w:rPr>
          <w:noProof/>
        </w:rPr>
        <w:fldChar w:fldCharType="begin"/>
      </w:r>
      <w:r w:rsidR="00946247">
        <w:rPr>
          <w:noProof/>
        </w:rPr>
        <w:instrText xml:space="preserve"> SEQ Figure \* ARABIC </w:instrText>
      </w:r>
      <w:r w:rsidR="00946247">
        <w:rPr>
          <w:noProof/>
        </w:rPr>
        <w:fldChar w:fldCharType="separate"/>
      </w:r>
      <w:r w:rsidR="004A78BF">
        <w:rPr>
          <w:noProof/>
        </w:rPr>
        <w:t>47</w:t>
      </w:r>
      <w:r w:rsidR="00946247">
        <w:rPr>
          <w:noProof/>
        </w:rPr>
        <w:fldChar w:fldCharType="end"/>
      </w:r>
      <w:bookmarkEnd w:id="286"/>
      <w:r>
        <w:t xml:space="preserve">. </w:t>
      </w:r>
      <w:r w:rsidRPr="004E38B5">
        <w:t>Conceptual model for the causal pathway of sediment impacts on benthic macroinvertebrates in Wolf Creek, Tinker Creek, and Roanoke River (202.20</w:t>
      </w:r>
      <w:r>
        <w:t>).</w:t>
      </w:r>
      <w:bookmarkEnd w:id="287"/>
    </w:p>
    <w:p w14:paraId="18E35351" w14:textId="77777777" w:rsidR="00FC07EA" w:rsidRDefault="008231F4" w:rsidP="00FC07EA">
      <w:pPr>
        <w:keepNext/>
        <w:spacing w:after="160" w:line="259" w:lineRule="auto"/>
        <w:jc w:val="left"/>
      </w:pPr>
      <w:r w:rsidRPr="008231F4">
        <w:rPr>
          <w:noProof/>
        </w:rPr>
        <w:drawing>
          <wp:inline distT="0" distB="0" distL="0" distR="0" wp14:anchorId="2924A993" wp14:editId="053AD770">
            <wp:extent cx="5588000" cy="5207455"/>
            <wp:effectExtent l="0" t="0" r="0" b="0"/>
            <wp:docPr id="38" name="Picture 38" descr="Conceptual model for the causal pathway of sediment PCB impacts on benthic macroinvertebrates in Tinker C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594950" cy="5213932"/>
                    </a:xfrm>
                    <a:prstGeom prst="rect">
                      <a:avLst/>
                    </a:prstGeom>
                  </pic:spPr>
                </pic:pic>
              </a:graphicData>
            </a:graphic>
          </wp:inline>
        </w:drawing>
      </w:r>
    </w:p>
    <w:p w14:paraId="2F1B94DC" w14:textId="3F4941FB" w:rsidR="008231F4" w:rsidRDefault="00FC07EA" w:rsidP="00FC07EA">
      <w:pPr>
        <w:pStyle w:val="Caption"/>
        <w:jc w:val="left"/>
      </w:pPr>
      <w:bookmarkStart w:id="288" w:name="_Ref154378069"/>
      <w:bookmarkStart w:id="289" w:name="_Toc162948266"/>
      <w:r>
        <w:t xml:space="preserve">Figure </w:t>
      </w:r>
      <w:r w:rsidR="00946247">
        <w:rPr>
          <w:noProof/>
        </w:rPr>
        <w:fldChar w:fldCharType="begin"/>
      </w:r>
      <w:r w:rsidR="00946247">
        <w:rPr>
          <w:noProof/>
        </w:rPr>
        <w:instrText xml:space="preserve"> SEQ Figure \* ARABIC </w:instrText>
      </w:r>
      <w:r w:rsidR="00946247">
        <w:rPr>
          <w:noProof/>
        </w:rPr>
        <w:fldChar w:fldCharType="separate"/>
      </w:r>
      <w:r w:rsidR="004A78BF">
        <w:rPr>
          <w:noProof/>
        </w:rPr>
        <w:t>48</w:t>
      </w:r>
      <w:r w:rsidR="00946247">
        <w:rPr>
          <w:noProof/>
        </w:rPr>
        <w:fldChar w:fldCharType="end"/>
      </w:r>
      <w:bookmarkEnd w:id="288"/>
      <w:r>
        <w:t xml:space="preserve">. </w:t>
      </w:r>
      <w:r w:rsidRPr="004656BA">
        <w:t>Conceptual model for the causal pathway of sediment PCB impacts on benthic macroinvertebrates in Tinker Creek</w:t>
      </w:r>
      <w:r>
        <w:t>.</w:t>
      </w:r>
      <w:bookmarkEnd w:id="289"/>
    </w:p>
    <w:p w14:paraId="52EC63D6" w14:textId="5A1D3F8B" w:rsidR="009048A8" w:rsidRDefault="009048A8">
      <w:pPr>
        <w:spacing w:after="160" w:line="259" w:lineRule="auto"/>
        <w:jc w:val="left"/>
        <w:rPr>
          <w:iCs/>
          <w:sz w:val="20"/>
          <w:szCs w:val="18"/>
        </w:rPr>
      </w:pPr>
      <w:r>
        <w:br w:type="page"/>
      </w:r>
    </w:p>
    <w:p w14:paraId="79EC0E0A" w14:textId="77777777" w:rsidR="00FC07EA" w:rsidRDefault="004603BB" w:rsidP="00FC07EA">
      <w:pPr>
        <w:pStyle w:val="Caption"/>
      </w:pPr>
      <w:r w:rsidRPr="00852D34">
        <w:rPr>
          <w:noProof/>
        </w:rPr>
        <w:drawing>
          <wp:inline distT="0" distB="0" distL="0" distR="0" wp14:anchorId="46D14130" wp14:editId="39CC1328">
            <wp:extent cx="5556250" cy="5521446"/>
            <wp:effectExtent l="0" t="0" r="6350" b="3175"/>
            <wp:docPr id="43" name="Picture 43" descr="Conceptual model for the causal pathway of nutrient impacts on benthic macroinvertebrates in the Roanoke River (19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560247" cy="5525418"/>
                    </a:xfrm>
                    <a:prstGeom prst="rect">
                      <a:avLst/>
                    </a:prstGeom>
                  </pic:spPr>
                </pic:pic>
              </a:graphicData>
            </a:graphic>
          </wp:inline>
        </w:drawing>
      </w:r>
    </w:p>
    <w:p w14:paraId="40182C32" w14:textId="7B930103" w:rsidR="009A7211" w:rsidRDefault="00FC07EA" w:rsidP="00FC07EA">
      <w:pPr>
        <w:pStyle w:val="Caption"/>
        <w:rPr>
          <w:iCs w:val="0"/>
        </w:rPr>
      </w:pPr>
      <w:bookmarkStart w:id="290" w:name="_Ref154378088"/>
      <w:bookmarkStart w:id="291" w:name="_Toc162948267"/>
      <w:r>
        <w:t xml:space="preserve">Figure </w:t>
      </w:r>
      <w:r w:rsidR="00946247">
        <w:rPr>
          <w:noProof/>
        </w:rPr>
        <w:fldChar w:fldCharType="begin"/>
      </w:r>
      <w:r w:rsidR="00946247">
        <w:rPr>
          <w:noProof/>
        </w:rPr>
        <w:instrText xml:space="preserve"> SEQ Figure \* ARABIC </w:instrText>
      </w:r>
      <w:r w:rsidR="00946247">
        <w:rPr>
          <w:noProof/>
        </w:rPr>
        <w:fldChar w:fldCharType="separate"/>
      </w:r>
      <w:r w:rsidR="004A78BF">
        <w:rPr>
          <w:noProof/>
        </w:rPr>
        <w:t>49</w:t>
      </w:r>
      <w:r w:rsidR="00946247">
        <w:rPr>
          <w:noProof/>
        </w:rPr>
        <w:fldChar w:fldCharType="end"/>
      </w:r>
      <w:bookmarkEnd w:id="290"/>
      <w:r>
        <w:t xml:space="preserve">. </w:t>
      </w:r>
      <w:r w:rsidRPr="00F35874">
        <w:t>Conceptual model for the causal pathway of nutrient impacts on benthic macroinvertebrates in the Roanoke River (198.08</w:t>
      </w:r>
      <w:r>
        <w:t>).</w:t>
      </w:r>
      <w:bookmarkEnd w:id="291"/>
    </w:p>
    <w:p w14:paraId="165BE551" w14:textId="46B32222" w:rsidR="00BB4A70" w:rsidRDefault="00BB4A70" w:rsidP="00BB4A70">
      <w:pPr>
        <w:pStyle w:val="Caption"/>
      </w:pPr>
    </w:p>
    <w:p w14:paraId="0DA79711" w14:textId="77777777" w:rsidR="008A1F50" w:rsidRPr="00F46E0C" w:rsidRDefault="008A1F50" w:rsidP="008A1F50">
      <w:pPr>
        <w:pStyle w:val="Caption"/>
        <w:sectPr w:rsidR="008A1F50" w:rsidRPr="00F46E0C" w:rsidSect="00A52254">
          <w:pgSz w:w="15840" w:h="12240" w:orient="landscape"/>
          <w:pgMar w:top="1440" w:right="1440" w:bottom="1440" w:left="1440" w:header="720" w:footer="720" w:gutter="0"/>
          <w:cols w:space="720"/>
          <w:docGrid w:linePitch="360"/>
        </w:sectPr>
      </w:pPr>
    </w:p>
    <w:p w14:paraId="715B316D" w14:textId="77777777" w:rsidR="008A1F50" w:rsidRPr="00172F89" w:rsidRDefault="008A1F50" w:rsidP="008A1F50">
      <w:pPr>
        <w:pStyle w:val="Heading1"/>
      </w:pPr>
      <w:bookmarkStart w:id="292" w:name="_Hlk154554545"/>
      <w:bookmarkStart w:id="293" w:name="_Toc162948218"/>
      <w:r w:rsidRPr="00172F89">
        <w:t>References</w:t>
      </w:r>
      <w:bookmarkEnd w:id="293"/>
    </w:p>
    <w:p w14:paraId="677D7571" w14:textId="01B610B4" w:rsidR="00D6308C" w:rsidRDefault="00D6308C" w:rsidP="00D6308C">
      <w:pPr>
        <w:spacing w:before="120" w:after="120" w:line="360" w:lineRule="auto"/>
        <w:ind w:left="720" w:hanging="720"/>
      </w:pPr>
      <w:r>
        <w:t xml:space="preserve">Barbour, M.T., J. Gerritsen, B.D. Snyder, and J.B. Stribling. 1999. </w:t>
      </w:r>
      <w:r w:rsidRPr="00721AC7">
        <w:rPr>
          <w:i/>
        </w:rPr>
        <w:t xml:space="preserve">Rapid Bioassessment Protocols for Use in Streams and </w:t>
      </w:r>
      <w:proofErr w:type="spellStart"/>
      <w:r w:rsidRPr="00721AC7">
        <w:rPr>
          <w:i/>
        </w:rPr>
        <w:t>Wadeable</w:t>
      </w:r>
      <w:proofErr w:type="spellEnd"/>
      <w:r w:rsidRPr="00721AC7">
        <w:rPr>
          <w:i/>
        </w:rPr>
        <w:t xml:space="preserve"> Rivers: Periphyton, Benthic Macroinvertebrates and</w:t>
      </w:r>
      <w:r w:rsidR="00721AC7" w:rsidRPr="00721AC7">
        <w:rPr>
          <w:i/>
        </w:rPr>
        <w:t xml:space="preserve"> </w:t>
      </w:r>
      <w:r w:rsidRPr="00721AC7">
        <w:rPr>
          <w:i/>
        </w:rPr>
        <w:t>Fish</w:t>
      </w:r>
      <w:r>
        <w:t>, Second Edition. EPA 841-B-99-002. U.S. Environmental</w:t>
      </w:r>
      <w:r w:rsidR="00721AC7">
        <w:t xml:space="preserve"> </w:t>
      </w:r>
      <w:r>
        <w:t>Protection Agency</w:t>
      </w:r>
      <w:r w:rsidR="00721AC7">
        <w:t>,</w:t>
      </w:r>
      <w:r>
        <w:t xml:space="preserve"> Office of Water</w:t>
      </w:r>
      <w:r w:rsidR="00721AC7">
        <w:t>,</w:t>
      </w:r>
      <w:r>
        <w:t xml:space="preserve"> Washington, D.C.</w:t>
      </w:r>
    </w:p>
    <w:p w14:paraId="46C6EDDF" w14:textId="4EC6E052" w:rsidR="00DF2BEE" w:rsidRDefault="00DF2BEE" w:rsidP="00DF2BEE">
      <w:pPr>
        <w:spacing w:before="120" w:after="120" w:line="360" w:lineRule="auto"/>
        <w:ind w:left="720" w:hanging="720"/>
      </w:pPr>
      <w:r>
        <w:t>Bell, C.F. 2023. Technical Memorandum: Screening Level Modeling of Nutrient Dynamics in the Roanoke River. Brown and Caldwell, Richmond, VA.</w:t>
      </w:r>
    </w:p>
    <w:p w14:paraId="3E987F0F" w14:textId="6E0F5162" w:rsidR="00D44977" w:rsidRDefault="00D44977" w:rsidP="00DF2BEE">
      <w:pPr>
        <w:spacing w:before="120" w:after="120" w:line="360" w:lineRule="auto"/>
        <w:ind w:left="720" w:hanging="720"/>
      </w:pPr>
      <w:r>
        <w:t>Biological Monitoring, Inc. 2023. Western Virginia Water Authority: Roanoke River Impact Study. Biological Monitoring, Inc., Blacksburg, VA.</w:t>
      </w:r>
    </w:p>
    <w:p w14:paraId="6837D49C" w14:textId="77777777" w:rsidR="00AA1191" w:rsidRPr="00F46E0C" w:rsidRDefault="00AA1191" w:rsidP="00AA1191">
      <w:pPr>
        <w:spacing w:before="120" w:after="120" w:line="360" w:lineRule="auto"/>
        <w:ind w:left="720" w:hanging="720"/>
      </w:pPr>
      <w:proofErr w:type="spellStart"/>
      <w:r w:rsidRPr="00172F89">
        <w:t>Bjornn</w:t>
      </w:r>
      <w:proofErr w:type="spellEnd"/>
      <w:r w:rsidRPr="00172F89">
        <w:t xml:space="preserve">, T.C., M.A. </w:t>
      </w:r>
      <w:proofErr w:type="spellStart"/>
      <w:r w:rsidRPr="00172F89">
        <w:t>Brusven</w:t>
      </w:r>
      <w:proofErr w:type="spellEnd"/>
      <w:r w:rsidRPr="00172F89">
        <w:t xml:space="preserve">, M.P. </w:t>
      </w:r>
      <w:proofErr w:type="spellStart"/>
      <w:r w:rsidRPr="00172F89">
        <w:t>Molnau</w:t>
      </w:r>
      <w:proofErr w:type="spellEnd"/>
      <w:r w:rsidRPr="00172F89">
        <w:t xml:space="preserve">, J.H. Milligan, R.A. </w:t>
      </w:r>
      <w:proofErr w:type="spellStart"/>
      <w:r w:rsidRPr="00172F89">
        <w:t>Klamt</w:t>
      </w:r>
      <w:proofErr w:type="spellEnd"/>
      <w:r w:rsidRPr="00172F89">
        <w:t xml:space="preserve">, E. </w:t>
      </w:r>
      <w:proofErr w:type="spellStart"/>
      <w:r w:rsidRPr="00172F89">
        <w:t>Chacho</w:t>
      </w:r>
      <w:proofErr w:type="spellEnd"/>
      <w:r w:rsidRPr="00172F89">
        <w:t xml:space="preserve">, and C. </w:t>
      </w:r>
      <w:proofErr w:type="spellStart"/>
      <w:r w:rsidRPr="00172F89">
        <w:t>Schaye</w:t>
      </w:r>
      <w:proofErr w:type="spellEnd"/>
      <w:r w:rsidRPr="00172F89">
        <w:t xml:space="preserve">. </w:t>
      </w:r>
      <w:r w:rsidRPr="00F46E0C">
        <w:t xml:space="preserve">1977. </w:t>
      </w:r>
      <w:r w:rsidRPr="00F46E0C">
        <w:rPr>
          <w:i/>
        </w:rPr>
        <w:t>Transport of Granitic Sediment in Streams and its Effects on Insects and Fish</w:t>
      </w:r>
      <w:r w:rsidRPr="00F46E0C">
        <w:t>. University of Idaho, Forest, Wildlife and Range Experiment Station, Moscow, ID.</w:t>
      </w:r>
    </w:p>
    <w:p w14:paraId="4028C23D" w14:textId="58CB57F1" w:rsidR="00A02B9B" w:rsidRDefault="00A02B9B" w:rsidP="00AA1191">
      <w:pPr>
        <w:spacing w:before="120" w:after="120" w:line="360" w:lineRule="auto"/>
        <w:ind w:left="720" w:hanging="720"/>
      </w:pPr>
      <w:r w:rsidRPr="00A02B9B">
        <w:t xml:space="preserve">Bosch, N. S. 2008. The influence of impoundments on riverine nutrient transport: An evaluation using the Soil and Water Assessment Tool. </w:t>
      </w:r>
      <w:r w:rsidRPr="007D5F5D">
        <w:rPr>
          <w:i/>
        </w:rPr>
        <w:t>Journal of Hydrology</w:t>
      </w:r>
      <w:r w:rsidRPr="00A02B9B">
        <w:t>, 355(1-4)</w:t>
      </w:r>
      <w:r w:rsidR="007D5F5D">
        <w:t>:</w:t>
      </w:r>
      <w:r w:rsidRPr="00A02B9B">
        <w:t xml:space="preserve"> 131-147.</w:t>
      </w:r>
    </w:p>
    <w:p w14:paraId="40E44242" w14:textId="734A35B5" w:rsidR="00AA1191" w:rsidRDefault="00AA1191" w:rsidP="00AA1191">
      <w:pPr>
        <w:spacing w:before="120" w:after="120" w:line="360" w:lineRule="auto"/>
        <w:ind w:left="720" w:hanging="720"/>
      </w:pPr>
      <w:proofErr w:type="spellStart"/>
      <w:r w:rsidRPr="00F46E0C">
        <w:t>Brabec</w:t>
      </w:r>
      <w:proofErr w:type="spellEnd"/>
      <w:r w:rsidRPr="00F46E0C">
        <w:t xml:space="preserve">, E., S. Schulte, and P.L. Richards. 2002. Impervious surfaces and water quality: a review of current literature and its implications for watershed planning. </w:t>
      </w:r>
      <w:r w:rsidRPr="00F46E0C">
        <w:rPr>
          <w:i/>
        </w:rPr>
        <w:t>Journal of Planning Literature</w:t>
      </w:r>
      <w:r w:rsidRPr="00F46E0C">
        <w:t>, 16(4):499-514.</w:t>
      </w:r>
    </w:p>
    <w:p w14:paraId="00FB44B6" w14:textId="1378A0F8" w:rsidR="009C6BDB" w:rsidRDefault="009C6BDB" w:rsidP="00AA1191">
      <w:pPr>
        <w:spacing w:before="120" w:after="120" w:line="360" w:lineRule="auto"/>
        <w:ind w:left="720" w:hanging="720"/>
      </w:pPr>
      <w:r>
        <w:t xml:space="preserve">Burton, J. and J. Gerritsen. 2003. </w:t>
      </w:r>
      <w:r w:rsidRPr="009C6BDB">
        <w:rPr>
          <w:i/>
        </w:rPr>
        <w:t>A Stream Condition Index for Virginia Non-</w:t>
      </w:r>
      <w:r>
        <w:rPr>
          <w:i/>
        </w:rPr>
        <w:t>C</w:t>
      </w:r>
      <w:r w:rsidRPr="009C6BDB">
        <w:rPr>
          <w:i/>
        </w:rPr>
        <w:t>oastal Streams</w:t>
      </w:r>
      <w:r>
        <w:t>. Tetra Tech, Inc., Owings Mills, MD.</w:t>
      </w:r>
    </w:p>
    <w:p w14:paraId="34F0244E" w14:textId="1AE1CF7F" w:rsidR="00B519BF" w:rsidRDefault="00B519BF" w:rsidP="00AA1191">
      <w:pPr>
        <w:spacing w:before="120" w:after="120" w:line="360" w:lineRule="auto"/>
        <w:ind w:left="720" w:hanging="720"/>
      </w:pPr>
      <w:r w:rsidRPr="00B519BF">
        <w:t xml:space="preserve">Camargo, J. A., </w:t>
      </w:r>
      <w:r w:rsidR="00BD7375" w:rsidRPr="00B519BF">
        <w:t>Á.</w:t>
      </w:r>
      <w:r w:rsidR="00BD7375">
        <w:t xml:space="preserve"> </w:t>
      </w:r>
      <w:r w:rsidRPr="00B519BF">
        <w:t xml:space="preserve">Alonso, </w:t>
      </w:r>
      <w:r w:rsidR="00BD7375">
        <w:t>and M.</w:t>
      </w:r>
      <w:r w:rsidRPr="00B519BF">
        <w:t xml:space="preserve"> De la Puente. 2005. Eutrophication downstream from small reservoirs in mountain rivers of Central Spain. </w:t>
      </w:r>
      <w:r w:rsidRPr="00AF2935">
        <w:rPr>
          <w:i/>
        </w:rPr>
        <w:t>Water research</w:t>
      </w:r>
      <w:r w:rsidRPr="00B519BF">
        <w:t>, 39(14)</w:t>
      </w:r>
      <w:r w:rsidR="00AF2935">
        <w:t>:</w:t>
      </w:r>
      <w:r w:rsidRPr="00B519BF">
        <w:t xml:space="preserve"> 3376-3384.</w:t>
      </w:r>
    </w:p>
    <w:p w14:paraId="74C88694" w14:textId="450AE4FB" w:rsidR="00056877" w:rsidRDefault="00056877" w:rsidP="00AA1191">
      <w:pPr>
        <w:spacing w:before="120" w:after="120" w:line="360" w:lineRule="auto"/>
        <w:ind w:left="720" w:hanging="720"/>
      </w:pPr>
      <w:r w:rsidRPr="00056877">
        <w:t xml:space="preserve">Conley, D. J., </w:t>
      </w:r>
      <w:r w:rsidR="00BD7375">
        <w:t xml:space="preserve">H.W. </w:t>
      </w:r>
      <w:proofErr w:type="spellStart"/>
      <w:r w:rsidRPr="00056877">
        <w:t>Paerl</w:t>
      </w:r>
      <w:proofErr w:type="spellEnd"/>
      <w:r w:rsidRPr="00056877">
        <w:t xml:space="preserve">, </w:t>
      </w:r>
      <w:r w:rsidR="00BD7375">
        <w:t xml:space="preserve">R.W. </w:t>
      </w:r>
      <w:proofErr w:type="spellStart"/>
      <w:r w:rsidRPr="00056877">
        <w:t>Howarth</w:t>
      </w:r>
      <w:proofErr w:type="spellEnd"/>
      <w:r w:rsidRPr="00056877">
        <w:t xml:space="preserve">, </w:t>
      </w:r>
      <w:r w:rsidR="00BD7375">
        <w:t xml:space="preserve">D.F. </w:t>
      </w:r>
      <w:proofErr w:type="spellStart"/>
      <w:r w:rsidRPr="00056877">
        <w:t>Boesch</w:t>
      </w:r>
      <w:proofErr w:type="spellEnd"/>
      <w:r w:rsidRPr="00056877">
        <w:t xml:space="preserve">, </w:t>
      </w:r>
      <w:r w:rsidR="00BD7375">
        <w:t>S.P.</w:t>
      </w:r>
      <w:r w:rsidRPr="00056877">
        <w:t xml:space="preserve"> </w:t>
      </w:r>
      <w:proofErr w:type="spellStart"/>
      <w:r w:rsidRPr="00056877">
        <w:t>Seitzinger</w:t>
      </w:r>
      <w:proofErr w:type="spellEnd"/>
      <w:r w:rsidRPr="00056877">
        <w:t xml:space="preserve">, </w:t>
      </w:r>
      <w:r w:rsidR="00BD7375">
        <w:t xml:space="preserve">K.E. </w:t>
      </w:r>
      <w:r w:rsidRPr="00056877">
        <w:t xml:space="preserve">Havens, </w:t>
      </w:r>
      <w:r w:rsidR="00BD7375">
        <w:t>and G.E.</w:t>
      </w:r>
      <w:r w:rsidRPr="00056877">
        <w:t xml:space="preserve"> Likens</w:t>
      </w:r>
      <w:r w:rsidR="00BD7375">
        <w:t>.</w:t>
      </w:r>
      <w:r w:rsidRPr="00056877">
        <w:t xml:space="preserve"> 2009. Controlling eutrophication: nitrogen and phosphorus. </w:t>
      </w:r>
      <w:r w:rsidRPr="00A80600">
        <w:rPr>
          <w:i/>
        </w:rPr>
        <w:t>Science</w:t>
      </w:r>
      <w:r w:rsidRPr="00056877">
        <w:t>, 323(5917)</w:t>
      </w:r>
      <w:r w:rsidR="00A80600">
        <w:t>:</w:t>
      </w:r>
      <w:r w:rsidRPr="00056877">
        <w:t xml:space="preserve"> 1014-1015.</w:t>
      </w:r>
    </w:p>
    <w:p w14:paraId="5937C5DD" w14:textId="5F3FFD95" w:rsidR="00E5681B" w:rsidRDefault="00E5681B" w:rsidP="00AA1191">
      <w:pPr>
        <w:spacing w:before="120" w:after="120" w:line="360" w:lineRule="auto"/>
        <w:ind w:left="720" w:hanging="720"/>
      </w:pPr>
      <w:proofErr w:type="spellStart"/>
      <w:r w:rsidRPr="00E5681B">
        <w:t>Dodds</w:t>
      </w:r>
      <w:proofErr w:type="spellEnd"/>
      <w:r w:rsidRPr="00E5681B">
        <w:t xml:space="preserve">, W. K., </w:t>
      </w:r>
      <w:r>
        <w:t xml:space="preserve">J.R. </w:t>
      </w:r>
      <w:r w:rsidRPr="00E5681B">
        <w:t xml:space="preserve">Jones, </w:t>
      </w:r>
      <w:r>
        <w:t xml:space="preserve">and E.B. </w:t>
      </w:r>
      <w:r w:rsidRPr="00E5681B">
        <w:t xml:space="preserve">Welch. 1998. Suggested classification of stream trophic state: distributions of temperate stream types by chlorophyll, total nitrogen, and phosphorus. </w:t>
      </w:r>
      <w:r w:rsidRPr="00E5681B">
        <w:rPr>
          <w:i/>
        </w:rPr>
        <w:t>Water research</w:t>
      </w:r>
      <w:r w:rsidRPr="00E5681B">
        <w:t>, 32(5)</w:t>
      </w:r>
      <w:r>
        <w:t>:</w:t>
      </w:r>
      <w:r w:rsidRPr="00E5681B">
        <w:t xml:space="preserve"> 1455-1462.</w:t>
      </w:r>
    </w:p>
    <w:p w14:paraId="1EAFDD04" w14:textId="22E24355" w:rsidR="00E5681B" w:rsidRPr="00F46E0C" w:rsidRDefault="00E5681B" w:rsidP="00AA1191">
      <w:pPr>
        <w:spacing w:before="120" w:after="120" w:line="360" w:lineRule="auto"/>
        <w:ind w:left="720" w:hanging="720"/>
      </w:pPr>
      <w:proofErr w:type="spellStart"/>
      <w:r w:rsidRPr="00E5681B">
        <w:t>Dodds</w:t>
      </w:r>
      <w:proofErr w:type="spellEnd"/>
      <w:r w:rsidRPr="00E5681B">
        <w:t>, W. K.</w:t>
      </w:r>
      <w:r w:rsidR="002D3C71">
        <w:t xml:space="preserve"> and V.H. </w:t>
      </w:r>
      <w:r w:rsidRPr="00E5681B">
        <w:t>Smith</w:t>
      </w:r>
      <w:r w:rsidR="002D3C71">
        <w:t xml:space="preserve">. </w:t>
      </w:r>
      <w:r w:rsidRPr="00E5681B">
        <w:t xml:space="preserve">2016. Nitrogen, phosphorus, and eutrophication in streams. </w:t>
      </w:r>
      <w:r w:rsidRPr="002D3C71">
        <w:rPr>
          <w:i/>
        </w:rPr>
        <w:t>Inland Waters</w:t>
      </w:r>
      <w:r w:rsidRPr="00E5681B">
        <w:t>, 6(2)</w:t>
      </w:r>
      <w:r w:rsidR="002D3C71">
        <w:t>:</w:t>
      </w:r>
      <w:r w:rsidRPr="00E5681B">
        <w:t xml:space="preserve"> 155-164.</w:t>
      </w:r>
    </w:p>
    <w:p w14:paraId="571BA02C" w14:textId="641A8B2C" w:rsidR="00062978" w:rsidRPr="00172F89" w:rsidRDefault="00062978" w:rsidP="00062978">
      <w:pPr>
        <w:spacing w:before="120" w:after="120" w:line="360" w:lineRule="auto"/>
        <w:ind w:left="720" w:hanging="720"/>
      </w:pPr>
      <w:r>
        <w:t xml:space="preserve">Edge Engineering and Science. 2021. Benthic Aquatic and Mussel Community Report: Niagara Hydroelectric Project (FERC No. 2466). Edge Engineering and Science, Cincinnati, OH. </w:t>
      </w:r>
    </w:p>
    <w:p w14:paraId="43DF3A48" w14:textId="120BD6DC" w:rsidR="00215E0B" w:rsidRDefault="00215E0B" w:rsidP="00215E0B">
      <w:pPr>
        <w:spacing w:before="120" w:after="120" w:line="360" w:lineRule="auto"/>
        <w:ind w:left="720" w:hanging="720"/>
      </w:pPr>
      <w:r w:rsidRPr="00F46E0C">
        <w:t xml:space="preserve">Golding, L. A., K. McKnight, M. Binet, M. Adams, and S.C </w:t>
      </w:r>
      <w:proofErr w:type="spellStart"/>
      <w:r w:rsidRPr="00F46E0C">
        <w:t>Apte</w:t>
      </w:r>
      <w:proofErr w:type="spellEnd"/>
      <w:r w:rsidRPr="00F46E0C">
        <w:t>. 2018. Toxicity of dissolved and</w:t>
      </w:r>
      <w:r w:rsidRPr="00172F89">
        <w:t xml:space="preserve"> precipitated forms of barium to a freshwater alga (</w:t>
      </w:r>
      <w:r w:rsidRPr="00172F89">
        <w:rPr>
          <w:i/>
        </w:rPr>
        <w:t>Chlorella sp</w:t>
      </w:r>
      <w:r w:rsidRPr="00172F89">
        <w:t>. 12) and water flea (</w:t>
      </w:r>
      <w:r w:rsidRPr="00172F89">
        <w:rPr>
          <w:i/>
        </w:rPr>
        <w:t xml:space="preserve">Ceriodaphnia </w:t>
      </w:r>
      <w:proofErr w:type="spellStart"/>
      <w:r w:rsidRPr="00172F89">
        <w:rPr>
          <w:i/>
        </w:rPr>
        <w:t>dubia</w:t>
      </w:r>
      <w:proofErr w:type="spellEnd"/>
      <w:r w:rsidRPr="00172F89">
        <w:t>). </w:t>
      </w:r>
      <w:r w:rsidRPr="00172F89">
        <w:rPr>
          <w:i/>
        </w:rPr>
        <w:t>Environmental Toxicology and Chemistry</w:t>
      </w:r>
      <w:r w:rsidRPr="00172F89">
        <w:t>, 37(6): 1632–1642.</w:t>
      </w:r>
    </w:p>
    <w:p w14:paraId="46F1DE24" w14:textId="1E04C2EF" w:rsidR="002F5B0A" w:rsidRPr="00172F89" w:rsidRDefault="002F5B0A" w:rsidP="00215E0B">
      <w:pPr>
        <w:spacing w:before="120" w:after="120" w:line="360" w:lineRule="auto"/>
        <w:ind w:left="720" w:hanging="720"/>
      </w:pPr>
      <w:r>
        <w:t xml:space="preserve">HDR. 2021. Water Quality Study Report: Niagara Hydroelectric Project (FERC No. 2466). HDR, Inc. </w:t>
      </w:r>
    </w:p>
    <w:p w14:paraId="7295199A" w14:textId="77777777" w:rsidR="00AA1191" w:rsidRPr="00172F89" w:rsidRDefault="00AA1191" w:rsidP="00AA1191">
      <w:pPr>
        <w:spacing w:before="120" w:after="120" w:line="360" w:lineRule="auto"/>
        <w:ind w:left="720" w:hanging="720"/>
      </w:pPr>
      <w:r w:rsidRPr="00172F89">
        <w:t xml:space="preserve">Kaufmann. P.R., P. Levine, E.G. Robison, C. </w:t>
      </w:r>
      <w:proofErr w:type="spellStart"/>
      <w:r w:rsidRPr="00172F89">
        <w:t>Seeliger</w:t>
      </w:r>
      <w:proofErr w:type="spellEnd"/>
      <w:r w:rsidRPr="00172F89">
        <w:t xml:space="preserve">, and D.V. Peck. 1999. </w:t>
      </w:r>
      <w:r w:rsidRPr="00172F89">
        <w:rPr>
          <w:i/>
        </w:rPr>
        <w:t xml:space="preserve">Quantifying Physical Habitat in </w:t>
      </w:r>
      <w:proofErr w:type="spellStart"/>
      <w:r w:rsidRPr="00172F89">
        <w:rPr>
          <w:i/>
        </w:rPr>
        <w:t>Wadeable</w:t>
      </w:r>
      <w:proofErr w:type="spellEnd"/>
      <w:r w:rsidRPr="00172F89">
        <w:rPr>
          <w:i/>
        </w:rPr>
        <w:t xml:space="preserve"> Streams</w:t>
      </w:r>
      <w:r w:rsidRPr="00172F89">
        <w:t>. EPA/620/R-99/003. U.S. Environmental Protection Agency, Washington, D.C.</w:t>
      </w:r>
    </w:p>
    <w:p w14:paraId="5D041AC3" w14:textId="6EE80D55" w:rsidR="00AA1191" w:rsidRDefault="00AA1191" w:rsidP="00AA1191">
      <w:pPr>
        <w:spacing w:before="120" w:after="120" w:line="360" w:lineRule="auto"/>
        <w:ind w:left="720" w:hanging="720"/>
      </w:pPr>
      <w:r w:rsidRPr="00172F89">
        <w:t xml:space="preserve">Lawrence, J.M. and S.E. </w:t>
      </w:r>
      <w:proofErr w:type="spellStart"/>
      <w:r w:rsidRPr="00172F89">
        <w:t>Gressens</w:t>
      </w:r>
      <w:proofErr w:type="spellEnd"/>
      <w:r w:rsidRPr="00172F89">
        <w:t xml:space="preserve">. 2011. </w:t>
      </w:r>
      <w:proofErr w:type="spellStart"/>
      <w:r w:rsidRPr="00172F89">
        <w:t>Foodweb</w:t>
      </w:r>
      <w:proofErr w:type="spellEnd"/>
      <w:r w:rsidRPr="00172F89">
        <w:t xml:space="preserve"> response to nutrient enrichment in rural and urban streams. </w:t>
      </w:r>
      <w:r w:rsidRPr="00172F89">
        <w:rPr>
          <w:i/>
        </w:rPr>
        <w:t>Journal of Freshwater Ecology</w:t>
      </w:r>
      <w:r w:rsidRPr="00172F89">
        <w:t>, 19(3):375-385.</w:t>
      </w:r>
    </w:p>
    <w:p w14:paraId="50B49051" w14:textId="6B55CBBF" w:rsidR="00912486" w:rsidRDefault="00912486" w:rsidP="00AA1191">
      <w:pPr>
        <w:spacing w:before="120" w:after="120" w:line="360" w:lineRule="auto"/>
        <w:ind w:left="720" w:hanging="720"/>
      </w:pPr>
      <w:r w:rsidRPr="00912486">
        <w:t>Lewis, W. M.</w:t>
      </w:r>
      <w:r w:rsidR="00BD7375">
        <w:t xml:space="preserve"> and W.A.</w:t>
      </w:r>
      <w:r w:rsidRPr="00912486">
        <w:t xml:space="preserve"> </w:t>
      </w:r>
      <w:proofErr w:type="spellStart"/>
      <w:r w:rsidRPr="00912486">
        <w:t>Wurtsbaugh</w:t>
      </w:r>
      <w:proofErr w:type="spellEnd"/>
      <w:r w:rsidRPr="00912486">
        <w:t xml:space="preserve">. 2008. Control of lacustrine phytoplankton by nutrients: erosion of the phosphorus paradigm. </w:t>
      </w:r>
      <w:r w:rsidRPr="00912486">
        <w:rPr>
          <w:i/>
        </w:rPr>
        <w:t>International Review of Hydrobiology</w:t>
      </w:r>
      <w:r w:rsidRPr="00912486">
        <w:t>, 93(4‐5)</w:t>
      </w:r>
      <w:r>
        <w:t>:</w:t>
      </w:r>
      <w:r w:rsidRPr="00912486">
        <w:t xml:space="preserve"> 446-465.</w:t>
      </w:r>
    </w:p>
    <w:p w14:paraId="538568C8" w14:textId="103EEEA5" w:rsidR="00A80600" w:rsidRPr="00172F89" w:rsidRDefault="00A80600" w:rsidP="00AA1191">
      <w:pPr>
        <w:spacing w:before="120" w:after="120" w:line="360" w:lineRule="auto"/>
        <w:ind w:left="720" w:hanging="720"/>
      </w:pPr>
      <w:r w:rsidRPr="00A80600">
        <w:t xml:space="preserve">Lewis, W. M., </w:t>
      </w:r>
      <w:r w:rsidR="00BD7375">
        <w:t xml:space="preserve">W.A </w:t>
      </w:r>
      <w:proofErr w:type="spellStart"/>
      <w:r w:rsidRPr="00A80600">
        <w:t>Wurtsbaugh</w:t>
      </w:r>
      <w:proofErr w:type="spellEnd"/>
      <w:r w:rsidRPr="00A80600">
        <w:t xml:space="preserve">, </w:t>
      </w:r>
      <w:r w:rsidR="00BD7375">
        <w:t xml:space="preserve">and H.W. </w:t>
      </w:r>
      <w:proofErr w:type="spellStart"/>
      <w:r w:rsidRPr="00A80600">
        <w:t>Paerl</w:t>
      </w:r>
      <w:proofErr w:type="spellEnd"/>
      <w:r w:rsidR="00BD7375">
        <w:t>.</w:t>
      </w:r>
      <w:r w:rsidRPr="00A80600">
        <w:t xml:space="preserve"> 2011. Rationale for control of anthropogenic nitrogen and phosphorus to reduce eutrophication of inland waters. </w:t>
      </w:r>
      <w:r w:rsidRPr="00BD7375">
        <w:rPr>
          <w:i/>
        </w:rPr>
        <w:t>Environmental Science &amp; Technology</w:t>
      </w:r>
      <w:r w:rsidRPr="00A80600">
        <w:t>, 45(24)</w:t>
      </w:r>
      <w:r>
        <w:t>:</w:t>
      </w:r>
      <w:r w:rsidRPr="00A80600">
        <w:t xml:space="preserve"> 10300-10305.</w:t>
      </w:r>
    </w:p>
    <w:p w14:paraId="07D5BFE5" w14:textId="31C67579" w:rsidR="00AD3E85" w:rsidRDefault="00AD3E85" w:rsidP="00AD3E85">
      <w:pPr>
        <w:spacing w:before="120" w:after="120" w:line="360" w:lineRule="auto"/>
        <w:ind w:left="720" w:hanging="720"/>
      </w:pPr>
      <w:r>
        <w:t xml:space="preserve">Louis Berger Group. 2006. </w:t>
      </w:r>
      <w:r w:rsidRPr="006818A1">
        <w:rPr>
          <w:i/>
        </w:rPr>
        <w:t>Benthic TMDL Development for the Roanoke River, Virginia</w:t>
      </w:r>
      <w:r>
        <w:t>. Virginia Department of Environmental Quality, Richmond, VA.</w:t>
      </w:r>
    </w:p>
    <w:p w14:paraId="0EC3FC4E" w14:textId="0F8E79E0" w:rsidR="00AA1191" w:rsidRPr="00172F89" w:rsidRDefault="00AA1191" w:rsidP="00AA1191">
      <w:pPr>
        <w:spacing w:before="120" w:after="120" w:line="360" w:lineRule="auto"/>
        <w:ind w:left="720" w:hanging="720"/>
      </w:pPr>
      <w:r w:rsidRPr="00172F89">
        <w:t xml:space="preserve">MacDonald, D.D., C.G. Ingersoll, and T.A. Berger. 2000. Development and evaluation of consensus-based sediment quality guidelines for freshwater ecosystems. </w:t>
      </w:r>
      <w:r w:rsidRPr="00172F89">
        <w:rPr>
          <w:i/>
        </w:rPr>
        <w:t>Archives of Environmental Contamination and Toxicology</w:t>
      </w:r>
      <w:r w:rsidRPr="00172F89">
        <w:t>, 39:20-31.</w:t>
      </w:r>
    </w:p>
    <w:p w14:paraId="7ABDC456" w14:textId="6551784F" w:rsidR="008D578E" w:rsidRDefault="008D578E" w:rsidP="00AA1191">
      <w:pPr>
        <w:pStyle w:val="BodyTextIndent3"/>
        <w:spacing w:before="120" w:after="120" w:line="360" w:lineRule="auto"/>
        <w:rPr>
          <w:sz w:val="24"/>
        </w:rPr>
      </w:pPr>
      <w:proofErr w:type="spellStart"/>
      <w:r w:rsidRPr="008D578E">
        <w:rPr>
          <w:sz w:val="24"/>
        </w:rPr>
        <w:t>Mellado</w:t>
      </w:r>
      <w:proofErr w:type="spellEnd"/>
      <w:r w:rsidRPr="008D578E">
        <w:rPr>
          <w:sz w:val="24"/>
        </w:rPr>
        <w:t xml:space="preserve">-Díaz, A., </w:t>
      </w:r>
      <w:r w:rsidR="00BD7375">
        <w:rPr>
          <w:sz w:val="24"/>
        </w:rPr>
        <w:t xml:space="preserve">J.R. </w:t>
      </w:r>
      <w:r w:rsidRPr="008D578E">
        <w:rPr>
          <w:sz w:val="24"/>
        </w:rPr>
        <w:t xml:space="preserve">Sánchez-González, </w:t>
      </w:r>
      <w:r w:rsidR="00BD7375">
        <w:rPr>
          <w:sz w:val="24"/>
        </w:rPr>
        <w:t>S.</w:t>
      </w:r>
      <w:r w:rsidRPr="008D578E">
        <w:rPr>
          <w:sz w:val="24"/>
        </w:rPr>
        <w:t xml:space="preserve"> </w:t>
      </w:r>
      <w:proofErr w:type="spellStart"/>
      <w:r w:rsidRPr="008D578E">
        <w:rPr>
          <w:sz w:val="24"/>
        </w:rPr>
        <w:t>Guareschi</w:t>
      </w:r>
      <w:proofErr w:type="spellEnd"/>
      <w:r w:rsidRPr="008D578E">
        <w:rPr>
          <w:sz w:val="24"/>
        </w:rPr>
        <w:t xml:space="preserve">, </w:t>
      </w:r>
      <w:r w:rsidR="00BD7375">
        <w:rPr>
          <w:sz w:val="24"/>
        </w:rPr>
        <w:t>F.</w:t>
      </w:r>
      <w:r w:rsidRPr="008D578E">
        <w:rPr>
          <w:sz w:val="24"/>
        </w:rPr>
        <w:t xml:space="preserve"> </w:t>
      </w:r>
      <w:proofErr w:type="spellStart"/>
      <w:r w:rsidRPr="008D578E">
        <w:rPr>
          <w:sz w:val="24"/>
        </w:rPr>
        <w:t>Magdaleno</w:t>
      </w:r>
      <w:proofErr w:type="spellEnd"/>
      <w:r w:rsidRPr="008D578E">
        <w:rPr>
          <w:sz w:val="24"/>
        </w:rPr>
        <w:t xml:space="preserve">, </w:t>
      </w:r>
      <w:r w:rsidR="00BD7375">
        <w:rPr>
          <w:sz w:val="24"/>
        </w:rPr>
        <w:t xml:space="preserve">and M.T. </w:t>
      </w:r>
      <w:r w:rsidRPr="008D578E">
        <w:rPr>
          <w:sz w:val="24"/>
        </w:rPr>
        <w:t xml:space="preserve">Velasco. 2019. Exploring longitudinal trends and recovery gradients in macroinvertebrate communities and biomonitoring tools along regulated rivers. </w:t>
      </w:r>
      <w:r w:rsidRPr="004558EE">
        <w:rPr>
          <w:i/>
          <w:sz w:val="24"/>
        </w:rPr>
        <w:t>Science of the Total Environment</w:t>
      </w:r>
      <w:r w:rsidRPr="008D578E">
        <w:rPr>
          <w:sz w:val="24"/>
        </w:rPr>
        <w:t>, 695</w:t>
      </w:r>
      <w:r w:rsidR="004558EE">
        <w:rPr>
          <w:sz w:val="24"/>
        </w:rPr>
        <w:t>:</w:t>
      </w:r>
      <w:r w:rsidRPr="008D578E">
        <w:rPr>
          <w:sz w:val="24"/>
        </w:rPr>
        <w:t xml:space="preserve"> 133774.</w:t>
      </w:r>
    </w:p>
    <w:p w14:paraId="4BEA16B3" w14:textId="7A778613" w:rsidR="002A5CEC" w:rsidRDefault="00257EB0" w:rsidP="00AA1191">
      <w:pPr>
        <w:pStyle w:val="BodyTextIndent3"/>
        <w:spacing w:before="120" w:after="120" w:line="360" w:lineRule="auto"/>
        <w:rPr>
          <w:sz w:val="24"/>
        </w:rPr>
      </w:pPr>
      <w:r w:rsidRPr="00172F89">
        <w:rPr>
          <w:sz w:val="24"/>
        </w:rPr>
        <w:t xml:space="preserve">Mount, D.R., R.J. Erickson, T.L. Highland, J.R. Hockett, D.J. Hoff, C.T. Jenson, T.J. Norberg-King, K.N. Peterson, Z.M. </w:t>
      </w:r>
      <w:proofErr w:type="spellStart"/>
      <w:r w:rsidRPr="00172F89">
        <w:rPr>
          <w:sz w:val="24"/>
        </w:rPr>
        <w:t>Polaske</w:t>
      </w:r>
      <w:proofErr w:type="spellEnd"/>
      <w:r w:rsidRPr="00172F89">
        <w:rPr>
          <w:sz w:val="24"/>
        </w:rPr>
        <w:t xml:space="preserve">, and S. Wisniewski. 2016. The acute toxicity of major ion salts to Ceriodaphnia </w:t>
      </w:r>
      <w:proofErr w:type="spellStart"/>
      <w:r w:rsidRPr="00172F89">
        <w:rPr>
          <w:sz w:val="24"/>
        </w:rPr>
        <w:t>dubia</w:t>
      </w:r>
      <w:proofErr w:type="spellEnd"/>
      <w:r w:rsidRPr="00172F89">
        <w:rPr>
          <w:sz w:val="24"/>
        </w:rPr>
        <w:t xml:space="preserve">: I. Influence of background water chemistry. </w:t>
      </w:r>
      <w:r w:rsidRPr="00172F89">
        <w:rPr>
          <w:i/>
          <w:sz w:val="24"/>
        </w:rPr>
        <w:t>Environmental Toxicology and Chemistry</w:t>
      </w:r>
      <w:r w:rsidRPr="00172F89">
        <w:rPr>
          <w:sz w:val="24"/>
        </w:rPr>
        <w:t>, 35(12): 3039-3057.</w:t>
      </w:r>
    </w:p>
    <w:p w14:paraId="565F756C" w14:textId="1CC6F0B6" w:rsidR="008B1E95" w:rsidRPr="00172F89" w:rsidRDefault="008B1E95" w:rsidP="00AA1191">
      <w:pPr>
        <w:pStyle w:val="BodyTextIndent3"/>
        <w:spacing w:before="120" w:after="120" w:line="360" w:lineRule="auto"/>
        <w:rPr>
          <w:sz w:val="24"/>
        </w:rPr>
      </w:pPr>
      <w:r w:rsidRPr="008B1E95">
        <w:rPr>
          <w:sz w:val="24"/>
        </w:rPr>
        <w:t xml:space="preserve">Nilsson, C., </w:t>
      </w:r>
      <w:r w:rsidR="00BD7375">
        <w:rPr>
          <w:sz w:val="24"/>
        </w:rPr>
        <w:t xml:space="preserve">C.A. </w:t>
      </w:r>
      <w:r w:rsidRPr="008B1E95">
        <w:rPr>
          <w:sz w:val="24"/>
        </w:rPr>
        <w:t xml:space="preserve">Reidy, </w:t>
      </w:r>
      <w:r w:rsidR="00BD7375">
        <w:rPr>
          <w:sz w:val="24"/>
        </w:rPr>
        <w:t>M.</w:t>
      </w:r>
      <w:r w:rsidRPr="008B1E95">
        <w:rPr>
          <w:sz w:val="24"/>
        </w:rPr>
        <w:t xml:space="preserve"> </w:t>
      </w:r>
      <w:proofErr w:type="spellStart"/>
      <w:r w:rsidRPr="008B1E95">
        <w:rPr>
          <w:sz w:val="24"/>
        </w:rPr>
        <w:t>Dynesius</w:t>
      </w:r>
      <w:proofErr w:type="spellEnd"/>
      <w:r w:rsidRPr="008B1E95">
        <w:rPr>
          <w:sz w:val="24"/>
        </w:rPr>
        <w:t xml:space="preserve">, </w:t>
      </w:r>
      <w:r w:rsidR="00BD7375">
        <w:rPr>
          <w:sz w:val="24"/>
        </w:rPr>
        <w:t>and C.</w:t>
      </w:r>
      <w:r w:rsidRPr="008B1E95">
        <w:rPr>
          <w:sz w:val="24"/>
        </w:rPr>
        <w:t xml:space="preserve"> </w:t>
      </w:r>
      <w:proofErr w:type="spellStart"/>
      <w:r w:rsidRPr="008B1E95">
        <w:rPr>
          <w:sz w:val="24"/>
        </w:rPr>
        <w:t>Revenga</w:t>
      </w:r>
      <w:proofErr w:type="spellEnd"/>
      <w:r w:rsidR="00BD7375">
        <w:rPr>
          <w:sz w:val="24"/>
        </w:rPr>
        <w:t>.</w:t>
      </w:r>
      <w:r w:rsidRPr="008B1E95">
        <w:rPr>
          <w:sz w:val="24"/>
        </w:rPr>
        <w:t xml:space="preserve"> 2005. Fragmentation and flow regulation of the world's large river systems. </w:t>
      </w:r>
      <w:r w:rsidRPr="008B1E95">
        <w:rPr>
          <w:i/>
          <w:sz w:val="24"/>
        </w:rPr>
        <w:t>Science</w:t>
      </w:r>
      <w:r w:rsidRPr="008B1E95">
        <w:rPr>
          <w:sz w:val="24"/>
        </w:rPr>
        <w:t>, 308(5720)</w:t>
      </w:r>
      <w:r>
        <w:rPr>
          <w:sz w:val="24"/>
        </w:rPr>
        <w:t>:</w:t>
      </w:r>
      <w:r w:rsidRPr="008B1E95">
        <w:rPr>
          <w:sz w:val="24"/>
        </w:rPr>
        <w:t xml:space="preserve"> 405-408.</w:t>
      </w:r>
    </w:p>
    <w:p w14:paraId="788A6F59" w14:textId="44887D5D" w:rsidR="00076A4E" w:rsidRDefault="00076A4E" w:rsidP="00AA1191">
      <w:pPr>
        <w:spacing w:before="120" w:after="120" w:line="360" w:lineRule="auto"/>
        <w:ind w:left="720" w:hanging="720"/>
        <w:rPr>
          <w:noProof/>
        </w:rPr>
      </w:pPr>
      <w:r w:rsidRPr="00172F89">
        <w:rPr>
          <w:noProof/>
        </w:rPr>
        <w:t xml:space="preserve">Redfield, A. C. 1958. The biological control of chemical factors in the environment. </w:t>
      </w:r>
      <w:r w:rsidRPr="00172F89">
        <w:rPr>
          <w:i/>
          <w:noProof/>
        </w:rPr>
        <w:t>American Scientist</w:t>
      </w:r>
      <w:r w:rsidRPr="00172F89">
        <w:rPr>
          <w:noProof/>
        </w:rPr>
        <w:t>, 46(3): 230A-221.</w:t>
      </w:r>
    </w:p>
    <w:p w14:paraId="433E3CD1" w14:textId="59C0C84B" w:rsidR="009B4167" w:rsidRDefault="009B4167" w:rsidP="00AA1191">
      <w:pPr>
        <w:spacing w:before="120" w:after="120" w:line="360" w:lineRule="auto"/>
        <w:ind w:left="720" w:hanging="720"/>
        <w:rPr>
          <w:noProof/>
        </w:rPr>
      </w:pPr>
      <w:r w:rsidRPr="009B4167">
        <w:rPr>
          <w:noProof/>
        </w:rPr>
        <w:t xml:space="preserve">Schindler, D. W., </w:t>
      </w:r>
      <w:r w:rsidR="00BD7375">
        <w:rPr>
          <w:noProof/>
        </w:rPr>
        <w:t xml:space="preserve">R.E. </w:t>
      </w:r>
      <w:r w:rsidRPr="009B4167">
        <w:rPr>
          <w:noProof/>
        </w:rPr>
        <w:t xml:space="preserve">Hecky, </w:t>
      </w:r>
      <w:r w:rsidR="00BD7375">
        <w:rPr>
          <w:noProof/>
        </w:rPr>
        <w:t xml:space="preserve">D.L. </w:t>
      </w:r>
      <w:r w:rsidRPr="009B4167">
        <w:rPr>
          <w:noProof/>
        </w:rPr>
        <w:t xml:space="preserve">Findlay, </w:t>
      </w:r>
      <w:r w:rsidR="00BD7375">
        <w:rPr>
          <w:noProof/>
        </w:rPr>
        <w:t>M.P.</w:t>
      </w:r>
      <w:r w:rsidRPr="009B4167">
        <w:rPr>
          <w:noProof/>
        </w:rPr>
        <w:t xml:space="preserve"> Stainton, </w:t>
      </w:r>
      <w:r w:rsidR="00BD7375">
        <w:rPr>
          <w:noProof/>
        </w:rPr>
        <w:t>B.R.</w:t>
      </w:r>
      <w:r w:rsidRPr="009B4167">
        <w:rPr>
          <w:noProof/>
        </w:rPr>
        <w:t xml:space="preserve"> Parker, </w:t>
      </w:r>
      <w:r w:rsidR="00BD7375">
        <w:rPr>
          <w:noProof/>
        </w:rPr>
        <w:t>M.J.</w:t>
      </w:r>
      <w:r w:rsidRPr="009B4167">
        <w:rPr>
          <w:noProof/>
        </w:rPr>
        <w:t xml:space="preserve"> Paterson, </w:t>
      </w:r>
      <w:r w:rsidR="00BD7375">
        <w:rPr>
          <w:noProof/>
        </w:rPr>
        <w:t>and</w:t>
      </w:r>
      <w:r w:rsidRPr="009B4167">
        <w:rPr>
          <w:noProof/>
        </w:rPr>
        <w:t xml:space="preserve"> </w:t>
      </w:r>
      <w:r w:rsidR="00BD7375">
        <w:rPr>
          <w:noProof/>
        </w:rPr>
        <w:t xml:space="preserve">S. </w:t>
      </w:r>
      <w:r w:rsidRPr="009B4167">
        <w:rPr>
          <w:noProof/>
        </w:rPr>
        <w:t xml:space="preserve">Kasian. 2008. Eutrophication of lakes cannot be controlled by reducing nitrogen input: results of a 37-year whole-ecosystem experiment. </w:t>
      </w:r>
      <w:r w:rsidRPr="009B4167">
        <w:rPr>
          <w:i/>
          <w:noProof/>
        </w:rPr>
        <w:t>Proceedings of the National Academy of Sciences</w:t>
      </w:r>
      <w:r w:rsidRPr="009B4167">
        <w:rPr>
          <w:noProof/>
        </w:rPr>
        <w:t>, 105(32)</w:t>
      </w:r>
      <w:r>
        <w:rPr>
          <w:noProof/>
        </w:rPr>
        <w:t>:</w:t>
      </w:r>
      <w:r w:rsidRPr="009B4167">
        <w:rPr>
          <w:noProof/>
        </w:rPr>
        <w:t xml:space="preserve"> 11254-11258.</w:t>
      </w:r>
    </w:p>
    <w:p w14:paraId="0D1BDC8F" w14:textId="21A04225" w:rsidR="00AF2935" w:rsidRDefault="00AF2935" w:rsidP="00AA1191">
      <w:pPr>
        <w:spacing w:before="120" w:after="120" w:line="360" w:lineRule="auto"/>
        <w:ind w:left="720" w:hanging="720"/>
        <w:rPr>
          <w:noProof/>
        </w:rPr>
      </w:pPr>
      <w:r w:rsidRPr="00AF2935">
        <w:rPr>
          <w:noProof/>
        </w:rPr>
        <w:t>Stanford, J. W. J.</w:t>
      </w:r>
      <w:r w:rsidR="00BD7375">
        <w:rPr>
          <w:noProof/>
        </w:rPr>
        <w:t xml:space="preserve"> and</w:t>
      </w:r>
      <w:r w:rsidRPr="00AF2935">
        <w:rPr>
          <w:noProof/>
        </w:rPr>
        <w:t xml:space="preserve"> </w:t>
      </w:r>
      <w:r w:rsidR="00BD7375">
        <w:rPr>
          <w:noProof/>
        </w:rPr>
        <w:t xml:space="preserve">J.V. </w:t>
      </w:r>
      <w:r w:rsidRPr="00AF2935">
        <w:rPr>
          <w:noProof/>
        </w:rPr>
        <w:t>Ward. 1983. The serial discontinuity concept of lotic ecosystems. Ann Arbor Science Publishers.</w:t>
      </w:r>
    </w:p>
    <w:p w14:paraId="6EED00EF" w14:textId="00BC44BB" w:rsidR="00B46237" w:rsidRPr="00172F89" w:rsidRDefault="00B46237" w:rsidP="00AA1191">
      <w:pPr>
        <w:spacing w:before="120" w:after="120" w:line="360" w:lineRule="auto"/>
        <w:ind w:left="720" w:hanging="720"/>
        <w:rPr>
          <w:noProof/>
        </w:rPr>
      </w:pPr>
      <w:r>
        <w:rPr>
          <w:noProof/>
        </w:rPr>
        <w:t xml:space="preserve">Tetra Tech. 2009. </w:t>
      </w:r>
      <w:r w:rsidRPr="00B46237">
        <w:rPr>
          <w:i/>
          <w:noProof/>
        </w:rPr>
        <w:t>Final Roanoke River PCB TMDL (Virginia)</w:t>
      </w:r>
      <w:r>
        <w:rPr>
          <w:noProof/>
        </w:rPr>
        <w:t>. Tetra Tech, Fairfax, VA.</w:t>
      </w:r>
    </w:p>
    <w:p w14:paraId="210CF4B1" w14:textId="06A8106A" w:rsidR="00E326A6" w:rsidRPr="00172F89" w:rsidRDefault="00E326A6" w:rsidP="00AA1191">
      <w:pPr>
        <w:spacing w:before="120" w:after="120" w:line="360" w:lineRule="auto"/>
        <w:ind w:left="720" w:hanging="720"/>
        <w:rPr>
          <w:noProof/>
        </w:rPr>
      </w:pPr>
      <w:r w:rsidRPr="00172F89">
        <w:rPr>
          <w:noProof/>
        </w:rPr>
        <w:t xml:space="preserve">Tetra Tech. 2019. </w:t>
      </w:r>
      <w:r w:rsidR="00CB5F12" w:rsidRPr="00172F89">
        <w:rPr>
          <w:i/>
          <w:noProof/>
        </w:rPr>
        <w:t>Biological Condition Gradient (BCG) Attribute Assignments for Macroinvertebrates and Fish in the Mid-Atlantic Region (Virginia, West Virginia, and Maryland)</w:t>
      </w:r>
      <w:r w:rsidR="00CB5F12" w:rsidRPr="00172F89">
        <w:rPr>
          <w:noProof/>
        </w:rPr>
        <w:t>. Tetra Tech, Burlington, VT.</w:t>
      </w:r>
    </w:p>
    <w:p w14:paraId="6DE22D9B" w14:textId="7903DB35" w:rsidR="004A4F53" w:rsidRPr="00172F89" w:rsidRDefault="004A4F53" w:rsidP="00AA1191">
      <w:pPr>
        <w:spacing w:before="120" w:after="120" w:line="360" w:lineRule="auto"/>
        <w:ind w:left="720" w:hanging="720"/>
        <w:rPr>
          <w:noProof/>
        </w:rPr>
      </w:pPr>
      <w:r w:rsidRPr="00172F89">
        <w:rPr>
          <w:noProof/>
        </w:rPr>
        <w:t xml:space="preserve">U.S. Environmental Protection Agency. 1980. </w:t>
      </w:r>
      <w:r w:rsidRPr="00172F89">
        <w:rPr>
          <w:i/>
          <w:noProof/>
        </w:rPr>
        <w:t>Ambient Water Quality Criterion for Beryllium</w:t>
      </w:r>
      <w:r w:rsidRPr="00172F89">
        <w:rPr>
          <w:noProof/>
        </w:rPr>
        <w:t>. EPA 440/5-80-024. U.S. EPA Office of Water Regulations and Standards, Washington, D.C.</w:t>
      </w:r>
    </w:p>
    <w:p w14:paraId="6A57D350" w14:textId="618CC1A0" w:rsidR="004A4F53" w:rsidRPr="00172F89" w:rsidRDefault="004A4F53" w:rsidP="00AA1191">
      <w:pPr>
        <w:spacing w:before="120" w:after="120" w:line="360" w:lineRule="auto"/>
        <w:ind w:left="720" w:hanging="720"/>
        <w:rPr>
          <w:noProof/>
        </w:rPr>
      </w:pPr>
      <w:r w:rsidRPr="00172F89">
        <w:rPr>
          <w:noProof/>
        </w:rPr>
        <w:t xml:space="preserve">U.S. Environmental Protection Agency. 1987. </w:t>
      </w:r>
      <w:r w:rsidRPr="00172F89">
        <w:rPr>
          <w:i/>
          <w:noProof/>
        </w:rPr>
        <w:t>Quality Criteria for Water - Update #2</w:t>
      </w:r>
      <w:r w:rsidRPr="00172F89">
        <w:rPr>
          <w:noProof/>
        </w:rPr>
        <w:t>. EPA 440/5-86-001. U.S. EPA Office of Water Regulations and Standards, Washington, D.C.</w:t>
      </w:r>
    </w:p>
    <w:p w14:paraId="4ADAF384" w14:textId="11B2C0A9" w:rsidR="009E6E4B" w:rsidRPr="00172F89" w:rsidRDefault="009E6E4B" w:rsidP="009E6E4B">
      <w:pPr>
        <w:spacing w:before="120" w:after="120" w:line="360" w:lineRule="auto"/>
        <w:ind w:left="720" w:hanging="720"/>
        <w:rPr>
          <w:noProof/>
        </w:rPr>
      </w:pPr>
      <w:r w:rsidRPr="00172F89">
        <w:rPr>
          <w:noProof/>
        </w:rPr>
        <w:t xml:space="preserve">U.S. Environmental Protection Agency. 2000a. </w:t>
      </w:r>
      <w:r w:rsidRPr="00172F89">
        <w:rPr>
          <w:i/>
          <w:noProof/>
        </w:rPr>
        <w:t xml:space="preserve">Ambient Water Quality Criterion Recommendations: Rivers and Streams in Nutrient Ecoregion </w:t>
      </w:r>
      <w:r w:rsidR="00C63706" w:rsidRPr="00172F89">
        <w:rPr>
          <w:i/>
          <w:noProof/>
        </w:rPr>
        <w:t>XI</w:t>
      </w:r>
      <w:r w:rsidRPr="00172F89">
        <w:rPr>
          <w:i/>
          <w:noProof/>
        </w:rPr>
        <w:t>.</w:t>
      </w:r>
      <w:r w:rsidRPr="00172F89">
        <w:rPr>
          <w:noProof/>
        </w:rPr>
        <w:t xml:space="preserve"> EPA-822-B-00-0</w:t>
      </w:r>
      <w:r w:rsidR="00770293" w:rsidRPr="00172F89">
        <w:rPr>
          <w:noProof/>
        </w:rPr>
        <w:t>20</w:t>
      </w:r>
      <w:r w:rsidRPr="00172F89">
        <w:rPr>
          <w:noProof/>
        </w:rPr>
        <w:t xml:space="preserve">. U.S. EPA Office of Water, Washington D.C. </w:t>
      </w:r>
    </w:p>
    <w:p w14:paraId="7D9857F1" w14:textId="660E0D77" w:rsidR="00AA1191" w:rsidRDefault="00AA1191" w:rsidP="00AA1191">
      <w:pPr>
        <w:spacing w:before="120" w:after="120" w:line="360" w:lineRule="auto"/>
        <w:ind w:left="720" w:hanging="720"/>
        <w:rPr>
          <w:noProof/>
        </w:rPr>
      </w:pPr>
      <w:r w:rsidRPr="00172F89">
        <w:rPr>
          <w:noProof/>
        </w:rPr>
        <w:t>U.S. Environmental Protection Agency. 2000</w:t>
      </w:r>
      <w:r w:rsidR="009E6E4B" w:rsidRPr="00172F89">
        <w:rPr>
          <w:noProof/>
        </w:rPr>
        <w:t>b</w:t>
      </w:r>
      <w:r w:rsidRPr="00172F89">
        <w:rPr>
          <w:noProof/>
        </w:rPr>
        <w:t xml:space="preserve">. </w:t>
      </w:r>
      <w:r w:rsidRPr="00172F89">
        <w:rPr>
          <w:i/>
          <w:noProof/>
        </w:rPr>
        <w:t>Stressor Identification Guidance Document</w:t>
      </w:r>
      <w:r w:rsidRPr="00172F89">
        <w:rPr>
          <w:noProof/>
        </w:rPr>
        <w:t xml:space="preserve">. EPA-822-B-00-025. U.S. EPA Office of Water, Washington D.C. </w:t>
      </w:r>
    </w:p>
    <w:p w14:paraId="4BC7DF4E" w14:textId="39816017" w:rsidR="006C0654" w:rsidRDefault="006C0654" w:rsidP="006C0654">
      <w:pPr>
        <w:spacing w:before="120" w:after="120" w:line="360" w:lineRule="auto"/>
        <w:ind w:left="720" w:hanging="720"/>
        <w:rPr>
          <w:noProof/>
        </w:rPr>
      </w:pPr>
      <w:r w:rsidRPr="00172F89">
        <w:rPr>
          <w:noProof/>
        </w:rPr>
        <w:t>U.S. Environmental Protection Agency. 2000</w:t>
      </w:r>
      <w:r>
        <w:rPr>
          <w:noProof/>
        </w:rPr>
        <w:t>c</w:t>
      </w:r>
      <w:r w:rsidRPr="00172F89">
        <w:rPr>
          <w:noProof/>
        </w:rPr>
        <w:t xml:space="preserve">. </w:t>
      </w:r>
      <w:r w:rsidRPr="006C0654">
        <w:rPr>
          <w:i/>
          <w:noProof/>
        </w:rPr>
        <w:t>Method Guidance and Recommendations for Whole Effluent Toxicity (WET) Testing (40 CFR Part 136)</w:t>
      </w:r>
      <w:r w:rsidRPr="00172F89">
        <w:rPr>
          <w:noProof/>
        </w:rPr>
        <w:t>. EPA-82</w:t>
      </w:r>
      <w:r>
        <w:rPr>
          <w:noProof/>
        </w:rPr>
        <w:t>1</w:t>
      </w:r>
      <w:r w:rsidRPr="00172F89">
        <w:rPr>
          <w:noProof/>
        </w:rPr>
        <w:t>-B-00-0</w:t>
      </w:r>
      <w:r>
        <w:rPr>
          <w:noProof/>
        </w:rPr>
        <w:t>04</w:t>
      </w:r>
      <w:r w:rsidRPr="00172F89">
        <w:rPr>
          <w:noProof/>
        </w:rPr>
        <w:t xml:space="preserve">. U.S. EPA Office of Water, Washington D.C. </w:t>
      </w:r>
    </w:p>
    <w:p w14:paraId="50E27299" w14:textId="4312BFEB" w:rsidR="00937123" w:rsidRPr="00172F89" w:rsidRDefault="00937123" w:rsidP="00937123">
      <w:pPr>
        <w:spacing w:before="120" w:after="120" w:line="360" w:lineRule="auto"/>
        <w:ind w:left="720" w:hanging="720"/>
        <w:rPr>
          <w:noProof/>
        </w:rPr>
      </w:pPr>
      <w:r>
        <w:rPr>
          <w:noProof/>
        </w:rPr>
        <w:t xml:space="preserve">U.S. Environmental Protection Agency. 2002. </w:t>
      </w:r>
      <w:r w:rsidRPr="00937123">
        <w:rPr>
          <w:i/>
          <w:noProof/>
        </w:rPr>
        <w:t>Short-term Methods for Estimating the Chronic Toxicity of Effluents and Receiving Waters to Freshwater Organisms, 4</w:t>
      </w:r>
      <w:r w:rsidRPr="00937123">
        <w:rPr>
          <w:i/>
          <w:noProof/>
          <w:vertAlign w:val="superscript"/>
        </w:rPr>
        <w:t>th</w:t>
      </w:r>
      <w:r w:rsidRPr="00937123">
        <w:rPr>
          <w:i/>
          <w:noProof/>
        </w:rPr>
        <w:t xml:space="preserve"> Ed</w:t>
      </w:r>
      <w:r>
        <w:rPr>
          <w:noProof/>
        </w:rPr>
        <w:t xml:space="preserve">. </w:t>
      </w:r>
      <w:r w:rsidR="006C0654">
        <w:rPr>
          <w:noProof/>
        </w:rPr>
        <w:t xml:space="preserve">EPA-821-R-02-013. </w:t>
      </w:r>
      <w:r>
        <w:rPr>
          <w:noProof/>
        </w:rPr>
        <w:t xml:space="preserve">U.S. EPA Office of Water, Washington, D.C. </w:t>
      </w:r>
    </w:p>
    <w:p w14:paraId="09D28EC0" w14:textId="77777777" w:rsidR="00215E0B" w:rsidRPr="00172F89" w:rsidRDefault="00215E0B" w:rsidP="00215E0B">
      <w:pPr>
        <w:spacing w:line="360" w:lineRule="auto"/>
        <w:ind w:left="720" w:hanging="720"/>
        <w:rPr>
          <w:noProof/>
        </w:rPr>
      </w:pPr>
      <w:r w:rsidRPr="00172F89">
        <w:rPr>
          <w:noProof/>
        </w:rPr>
        <w:t>U.S. Environmental Protection Agency. 2018a.</w:t>
      </w:r>
      <w:r w:rsidRPr="00172F89">
        <w:t xml:space="preserve"> </w:t>
      </w:r>
      <w:r w:rsidRPr="00172F89">
        <w:rPr>
          <w:noProof/>
        </w:rPr>
        <w:t xml:space="preserve"> </w:t>
      </w:r>
      <w:r w:rsidRPr="00172F89">
        <w:rPr>
          <w:i/>
          <w:noProof/>
        </w:rPr>
        <w:t>Causal Analysis/Diagnosis Decision Information System (CADDIS)</w:t>
      </w:r>
      <w:r w:rsidRPr="00172F89">
        <w:rPr>
          <w:noProof/>
        </w:rPr>
        <w:t>. Retrieved: January 17, 2018. Available from: www.epa.gov/caddis. Office of Research and Development, Washington, D.C.</w:t>
      </w:r>
    </w:p>
    <w:p w14:paraId="6DBB057C" w14:textId="5AE84CBF" w:rsidR="00215E0B" w:rsidRDefault="00215E0B" w:rsidP="00215E0B">
      <w:pPr>
        <w:spacing w:before="120" w:after="120" w:line="360" w:lineRule="auto"/>
        <w:ind w:left="720" w:hanging="720"/>
      </w:pPr>
      <w:r w:rsidRPr="00172F89">
        <w:rPr>
          <w:noProof/>
        </w:rPr>
        <w:t>U.S. Environmental Protection Agency</w:t>
      </w:r>
      <w:r w:rsidRPr="00172F89">
        <w:t xml:space="preserve">. 2018b. </w:t>
      </w:r>
      <w:r w:rsidRPr="00172F89">
        <w:rPr>
          <w:i/>
        </w:rPr>
        <w:t>Final Aquatic Life Ambient Water Quality Criteria for Aluminum</w:t>
      </w:r>
      <w:r w:rsidRPr="00172F89">
        <w:t>. EPA-822-R-18-001. U.S. EPA Office of Water, Washington, D.C.</w:t>
      </w:r>
    </w:p>
    <w:p w14:paraId="1CD52BEE" w14:textId="5C2355F8" w:rsidR="00F85C9E" w:rsidRPr="00172F89" w:rsidRDefault="00F85C9E" w:rsidP="00215E0B">
      <w:pPr>
        <w:spacing w:before="120" w:after="120" w:line="360" w:lineRule="auto"/>
        <w:ind w:left="720" w:hanging="720"/>
      </w:pPr>
      <w:r>
        <w:t xml:space="preserve">U.S. Environmental Protection Agency. 2022. </w:t>
      </w:r>
      <w:r w:rsidRPr="00F85C9E">
        <w:rPr>
          <w:i/>
        </w:rPr>
        <w:t xml:space="preserve">Fact Sheet: Draft 2022 Aquatic Life Ambient Water Quality Criteria for Perfluorooctanoic acid (PFOA) and </w:t>
      </w:r>
      <w:proofErr w:type="spellStart"/>
      <w:r w:rsidRPr="00F85C9E">
        <w:rPr>
          <w:i/>
        </w:rPr>
        <w:t>Perfluorooctane</w:t>
      </w:r>
      <w:proofErr w:type="spellEnd"/>
      <w:r w:rsidRPr="00F85C9E">
        <w:rPr>
          <w:i/>
        </w:rPr>
        <w:t xml:space="preserve"> Sulfonic Acid (PFOS)</w:t>
      </w:r>
      <w:r>
        <w:t xml:space="preserve">. </w:t>
      </w:r>
      <w:r w:rsidRPr="00F85C9E">
        <w:t>EPA 842-D-22-005</w:t>
      </w:r>
      <w:r>
        <w:t>. U.S. EPA Office of Water, Washington, D.C.</w:t>
      </w:r>
    </w:p>
    <w:p w14:paraId="0EC19322" w14:textId="2E1CB984" w:rsidR="009C6BDB" w:rsidRPr="00172F89" w:rsidRDefault="009C6BDB" w:rsidP="009C6BDB">
      <w:pPr>
        <w:spacing w:before="120" w:after="120" w:line="360" w:lineRule="auto"/>
        <w:ind w:left="720" w:hanging="720"/>
      </w:pPr>
      <w:r w:rsidRPr="00172F89">
        <w:t>Virginia Department of Environmental Quality. 20</w:t>
      </w:r>
      <w:r>
        <w:t>06</w:t>
      </w:r>
      <w:r w:rsidRPr="00172F89">
        <w:t xml:space="preserve">. </w:t>
      </w:r>
      <w:r>
        <w:rPr>
          <w:i/>
        </w:rPr>
        <w:t>Using Probabilistic Monitoring Data to Validate the Non-Coastal Stream Condition Index.</w:t>
      </w:r>
      <w:r w:rsidRPr="00172F89">
        <w:rPr>
          <w:i/>
        </w:rPr>
        <w:t xml:space="preserve"> </w:t>
      </w:r>
      <w:r>
        <w:t>VDEQ Technical Bulletin WQA/2006-001. V</w:t>
      </w:r>
      <w:r w:rsidRPr="00172F89">
        <w:t>irginia Department of Environmental Quality, Richmond, VA.</w:t>
      </w:r>
    </w:p>
    <w:p w14:paraId="5069A0D7" w14:textId="77777777" w:rsidR="00AA1191" w:rsidRPr="00172F89" w:rsidRDefault="00AA1191" w:rsidP="00AA1191">
      <w:pPr>
        <w:spacing w:before="120" w:after="120" w:line="360" w:lineRule="auto"/>
        <w:ind w:left="720" w:hanging="720"/>
      </w:pPr>
      <w:r w:rsidRPr="00172F89">
        <w:t xml:space="preserve">Virginia Department of Environmental Quality. 2017. </w:t>
      </w:r>
      <w:r w:rsidRPr="00172F89">
        <w:rPr>
          <w:i/>
        </w:rPr>
        <w:t xml:space="preserve">Stressor Analysis in Virginia: Data Collection and Stressor Thresholds. </w:t>
      </w:r>
      <w:r w:rsidRPr="00172F89">
        <w:t>Virginia Department of Environmental Quality, Richmond, VA.</w:t>
      </w:r>
    </w:p>
    <w:p w14:paraId="278E1300" w14:textId="34D05557" w:rsidR="00691536" w:rsidRPr="00172F89" w:rsidRDefault="00691536" w:rsidP="00691536">
      <w:pPr>
        <w:spacing w:before="120" w:after="120" w:line="360" w:lineRule="auto"/>
        <w:ind w:left="720" w:hanging="720"/>
      </w:pPr>
      <w:r w:rsidRPr="00172F89">
        <w:t xml:space="preserve">Virginia Department of Environmental Quality. 2020. </w:t>
      </w:r>
      <w:r w:rsidRPr="00172F89">
        <w:rPr>
          <w:i/>
        </w:rPr>
        <w:t>Virginia Water Quality Assessment 305(b)/303(d) Integrated Report 20</w:t>
      </w:r>
      <w:r w:rsidR="005E604D">
        <w:rPr>
          <w:i/>
        </w:rPr>
        <w:t>20</w:t>
      </w:r>
      <w:r w:rsidRPr="00172F89">
        <w:t>. Virginia Department of Environmental Quality, Richmond, VA.</w:t>
      </w:r>
    </w:p>
    <w:p w14:paraId="73DDF051" w14:textId="06DF4991" w:rsidR="00D635DB" w:rsidRDefault="002E5862" w:rsidP="00691536">
      <w:pPr>
        <w:spacing w:before="120" w:after="120" w:line="360" w:lineRule="auto"/>
        <w:ind w:left="720" w:hanging="720"/>
      </w:pPr>
      <w:proofErr w:type="spellStart"/>
      <w:r w:rsidRPr="00172F89">
        <w:t>Voshell</w:t>
      </w:r>
      <w:proofErr w:type="spellEnd"/>
      <w:r w:rsidRPr="00172F89">
        <w:t xml:space="preserve">, J.R. 2002. </w:t>
      </w:r>
      <w:r w:rsidRPr="00172F89">
        <w:rPr>
          <w:i/>
        </w:rPr>
        <w:t>A Guide to Common Freshwater Invertebrates of North America</w:t>
      </w:r>
      <w:r w:rsidRPr="00172F89">
        <w:t>. The McDonald &amp;Woodward Publishing Company, Blacksburg, VA.</w:t>
      </w:r>
    </w:p>
    <w:p w14:paraId="6A133DD0" w14:textId="43988F86" w:rsidR="00D44977" w:rsidRDefault="005B7A67" w:rsidP="00D44977">
      <w:pPr>
        <w:spacing w:before="120" w:after="120" w:line="360" w:lineRule="auto"/>
        <w:ind w:left="720" w:hanging="720"/>
      </w:pPr>
      <w:r w:rsidRPr="005B7A67">
        <w:t>Ward, J. V.</w:t>
      </w:r>
      <w:r w:rsidR="00BD7375">
        <w:t xml:space="preserve"> and J.A.</w:t>
      </w:r>
      <w:r w:rsidRPr="005B7A67">
        <w:t xml:space="preserve"> Stanford</w:t>
      </w:r>
      <w:r w:rsidR="00BD7375">
        <w:t>.</w:t>
      </w:r>
      <w:r w:rsidRPr="005B7A67">
        <w:t xml:space="preserve"> 1987. The ecology of regulated streams: past accomplishments and directions for future research. In </w:t>
      </w:r>
      <w:r w:rsidRPr="005B7A67">
        <w:rPr>
          <w:i/>
        </w:rPr>
        <w:t>Regulated streams: advances in ecology</w:t>
      </w:r>
      <w:r w:rsidRPr="005B7A67">
        <w:t xml:space="preserve"> (pp. 391-409). Boston, MA: Springer US.</w:t>
      </w:r>
    </w:p>
    <w:p w14:paraId="119AB465" w14:textId="330D2149" w:rsidR="008B1E95" w:rsidRDefault="008B1E95" w:rsidP="00691536">
      <w:pPr>
        <w:spacing w:before="120" w:after="120" w:line="360" w:lineRule="auto"/>
        <w:ind w:left="720" w:hanging="720"/>
      </w:pPr>
      <w:r w:rsidRPr="008B1E95">
        <w:t xml:space="preserve">World Commission on Dams. 2000. </w:t>
      </w:r>
      <w:r w:rsidRPr="008B1E95">
        <w:rPr>
          <w:i/>
        </w:rPr>
        <w:t>Dams and development: A new framework for decision-making: The report of the world commission on dams</w:t>
      </w:r>
      <w:r w:rsidRPr="008B1E95">
        <w:t>. Earthscan.</w:t>
      </w:r>
    </w:p>
    <w:p w14:paraId="2DBC948A" w14:textId="0BD3B57B" w:rsidR="00666407" w:rsidRDefault="004C736A" w:rsidP="008D1AAB">
      <w:pPr>
        <w:spacing w:before="120" w:after="120" w:line="360" w:lineRule="auto"/>
        <w:ind w:left="720" w:hanging="720"/>
        <w:sectPr w:rsidR="00666407" w:rsidSect="00666407">
          <w:pgSz w:w="12240" w:h="15840" w:code="1"/>
          <w:pgMar w:top="1440" w:right="1440" w:bottom="1440" w:left="1440" w:header="576" w:footer="720" w:gutter="0"/>
          <w:cols w:space="720"/>
          <w:docGrid w:linePitch="360"/>
        </w:sectPr>
      </w:pPr>
      <w:r w:rsidRPr="004C736A">
        <w:t xml:space="preserve">Zhang, </w:t>
      </w:r>
      <w:r>
        <w:t xml:space="preserve">H., </w:t>
      </w:r>
      <w:r w:rsidRPr="004C736A">
        <w:t>Y</w:t>
      </w:r>
      <w:r>
        <w:t>.</w:t>
      </w:r>
      <w:r w:rsidRPr="004C736A">
        <w:t xml:space="preserve"> Hua, J</w:t>
      </w:r>
      <w:r>
        <w:t>.</w:t>
      </w:r>
      <w:r w:rsidRPr="004C736A">
        <w:t xml:space="preserve"> Chen, X</w:t>
      </w:r>
      <w:r>
        <w:t>.</w:t>
      </w:r>
      <w:r w:rsidRPr="004C736A">
        <w:t xml:space="preserve"> Li, X</w:t>
      </w:r>
      <w:r>
        <w:t>.</w:t>
      </w:r>
      <w:r w:rsidRPr="004C736A">
        <w:t xml:space="preserve"> Bai</w:t>
      </w:r>
      <w:r>
        <w:t xml:space="preserve">, and </w:t>
      </w:r>
      <w:r w:rsidRPr="004C736A">
        <w:t>H</w:t>
      </w:r>
      <w:r>
        <w:t>.</w:t>
      </w:r>
      <w:r w:rsidRPr="004C736A">
        <w:t xml:space="preserve"> Wang</w:t>
      </w:r>
      <w:r>
        <w:t>.</w:t>
      </w:r>
      <w:r w:rsidRPr="004C736A">
        <w:t xml:space="preserve"> 2018</w:t>
      </w:r>
      <w:r>
        <w:t>.</w:t>
      </w:r>
      <w:r w:rsidRPr="004C736A">
        <w:t xml:space="preserve"> Organism-derived phthalate derivatives as bioactive natural products</w:t>
      </w:r>
      <w:r w:rsidR="00BB1541">
        <w:t xml:space="preserve">. </w:t>
      </w:r>
      <w:r w:rsidRPr="00BB1541">
        <w:rPr>
          <w:i/>
        </w:rPr>
        <w:t>Journal of Environmental Science and Health</w:t>
      </w:r>
      <w:r w:rsidRPr="004C736A">
        <w:t>, 36</w:t>
      </w:r>
      <w:r w:rsidR="00BB1541">
        <w:t>(</w:t>
      </w:r>
      <w:r w:rsidRPr="004C736A">
        <w:t>3</w:t>
      </w:r>
      <w:r w:rsidR="00BB1541">
        <w:t>):</w:t>
      </w:r>
      <w:r w:rsidRPr="004C736A">
        <w:t xml:space="preserve"> 125-144</w:t>
      </w:r>
      <w:r w:rsidR="00BB1541">
        <w:t>.</w:t>
      </w:r>
    </w:p>
    <w:bookmarkEnd w:id="292"/>
    <w:p w14:paraId="7B29FC33" w14:textId="77777777" w:rsidR="00B957EC" w:rsidRPr="00B37FEF" w:rsidRDefault="00B957EC" w:rsidP="00666407">
      <w:pPr>
        <w:pStyle w:val="HeadingAppxEEE"/>
      </w:pPr>
    </w:p>
    <w:sectPr w:rsidR="00B957EC" w:rsidRPr="00B37FEF" w:rsidSect="00666407">
      <w:headerReference w:type="even" r:id="rId69"/>
      <w:headerReference w:type="default" r:id="rId70"/>
      <w:footerReference w:type="default" r:id="rId71"/>
      <w:headerReference w:type="first" r:id="rId72"/>
      <w:type w:val="continuous"/>
      <w:pgSz w:w="12240" w:h="15840" w:code="1"/>
      <w:pgMar w:top="1440" w:right="1440" w:bottom="1440" w:left="1440" w:header="720" w:footer="720" w:gutter="0"/>
      <w:pgNumType w:start="1"/>
      <w:cols w:space="720"/>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8AD5A4" w14:textId="77777777" w:rsidR="00641518" w:rsidRDefault="00641518" w:rsidP="00C046E1">
      <w:r>
        <w:separator/>
      </w:r>
    </w:p>
    <w:p w14:paraId="4F32BCF5" w14:textId="77777777" w:rsidR="00641518" w:rsidRDefault="00641518" w:rsidP="00C046E1"/>
  </w:endnote>
  <w:endnote w:type="continuationSeparator" w:id="0">
    <w:p w14:paraId="41DC3D5C" w14:textId="77777777" w:rsidR="00641518" w:rsidRDefault="00641518" w:rsidP="00C046E1">
      <w:r>
        <w:continuationSeparator/>
      </w:r>
    </w:p>
    <w:p w14:paraId="392ADC72" w14:textId="77777777" w:rsidR="00641518" w:rsidRDefault="00641518" w:rsidP="00C046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4000ACFF" w:usb2="00000001" w:usb3="00000000" w:csb0="000001FF" w:csb1="00000000"/>
  </w:font>
  <w:font w:name="Times New Roman Bold">
    <w:altName w:val="Times New Roman"/>
    <w:panose1 w:val="020208030705050203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546FD" w14:textId="77777777" w:rsidR="00641518" w:rsidRPr="00421E5C" w:rsidRDefault="00641518" w:rsidP="00421E5C">
    <w:pPr>
      <w:pStyle w:val="Footer"/>
    </w:pPr>
  </w:p>
  <w:p w14:paraId="66414EF8" w14:textId="170C7428" w:rsidR="00641518" w:rsidRPr="00421E5C" w:rsidRDefault="00641518" w:rsidP="00421E5C">
    <w:pPr>
      <w:pStyle w:val="Footer"/>
    </w:pPr>
    <w:r>
      <w:fldChar w:fldCharType="begin"/>
    </w:r>
    <w:r>
      <w:instrText xml:space="preserve"> PAGE   \* MERGEFORMAT </w:instrText>
    </w:r>
    <w:r>
      <w:fldChar w:fldCharType="separate"/>
    </w:r>
    <w:r>
      <w:rPr>
        <w:noProof/>
      </w:rPr>
      <w:t>1</w:t>
    </w:r>
    <w:r>
      <w:rPr>
        <w:noProof/>
      </w:rPr>
      <w:fldChar w:fldCharType="end"/>
    </w:r>
    <w:r>
      <w:rPr>
        <w:noProof/>
      </w:rPr>
      <w:t xml:space="preserve"> of 156</w:t>
    </w:r>
    <w:r w:rsidRPr="00193863">
      <w:tab/>
    </w:r>
    <w:r w:rsidRPr="00193863">
      <w:fldChar w:fldCharType="begin"/>
    </w:r>
    <w:r w:rsidRPr="00193863">
      <w:instrText xml:space="preserve"> PAGE  \* Arabic  \* MERGEFORMAT </w:instrText>
    </w:r>
    <w:r w:rsidRPr="00193863">
      <w:fldChar w:fldCharType="separate"/>
    </w:r>
    <w:r>
      <w:rPr>
        <w:noProof/>
      </w:rPr>
      <w:t>2</w:t>
    </w:r>
    <w:r w:rsidRPr="00193863">
      <w:fldChar w:fldCharType="end"/>
    </w:r>
    <w:r w:rsidRPr="00193863">
      <w:tab/>
    </w:r>
    <w:r>
      <w:t>December 2023</w:t>
    </w:r>
  </w:p>
  <w:p w14:paraId="513C3387" w14:textId="77777777" w:rsidR="00641518" w:rsidRDefault="0064151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69690" w14:textId="77777777" w:rsidR="00641518" w:rsidRPr="00916226" w:rsidRDefault="00641518" w:rsidP="00421E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9A2FF1" w14:textId="77777777" w:rsidR="00641518" w:rsidRDefault="00641518" w:rsidP="00C046E1">
      <w:r>
        <w:separator/>
      </w:r>
    </w:p>
    <w:p w14:paraId="302E1A47" w14:textId="77777777" w:rsidR="00641518" w:rsidRDefault="00641518" w:rsidP="00C046E1"/>
  </w:footnote>
  <w:footnote w:type="continuationSeparator" w:id="0">
    <w:p w14:paraId="2E923A36" w14:textId="77777777" w:rsidR="00641518" w:rsidRDefault="00641518" w:rsidP="00C046E1">
      <w:r>
        <w:continuationSeparator/>
      </w:r>
    </w:p>
    <w:p w14:paraId="3ACFFA9E" w14:textId="77777777" w:rsidR="00641518" w:rsidRDefault="00641518" w:rsidP="00C046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2D2E6" w14:textId="29AEE40D" w:rsidR="00641518" w:rsidRPr="00193863" w:rsidRDefault="00641518" w:rsidP="00123ABF">
    <w:pPr>
      <w:pStyle w:val="Header"/>
    </w:pPr>
    <w:r>
      <w:t>James River Tributaries</w:t>
    </w:r>
  </w:p>
  <w:p w14:paraId="26591FBE" w14:textId="41187233" w:rsidR="00641518" w:rsidRDefault="00641518">
    <w:pPr>
      <w:pStyle w:val="Header"/>
    </w:pPr>
    <w:r>
      <w:t>Chesterfield, Dinwiddie, and Prince George Counties, VA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F6551" w14:textId="5E69DFB8" w:rsidR="00641518" w:rsidRPr="00FB23B4" w:rsidRDefault="00641518" w:rsidP="00FB23B4">
    <w:pPr>
      <w:pStyle w:val="Heade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B4F39" w14:textId="146A1D44" w:rsidR="00641518" w:rsidRDefault="0064151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9A5C5" w14:textId="4C4F2682" w:rsidR="00641518" w:rsidRDefault="00641518" w:rsidP="008D07FF">
    <w:pPr>
      <w:pStyle w:val="Header"/>
      <w:tabs>
        <w:tab w:val="left" w:pos="500"/>
      </w:tabs>
      <w:jc w:val="left"/>
    </w:pPr>
    <w:r>
      <w:tab/>
    </w:r>
    <w:r>
      <w:tab/>
    </w:r>
    <w:r>
      <w:tab/>
      <w:t>Roanoke River Project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68A6A" w14:textId="356F9313" w:rsidR="00641518" w:rsidRDefault="0064151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7A9DF" w14:textId="5AF8E5D7" w:rsidR="00641518" w:rsidRDefault="0064151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78DDB" w14:textId="19964F29" w:rsidR="00641518" w:rsidRPr="00916226" w:rsidRDefault="00641518" w:rsidP="00421E5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6E59B" w14:textId="5BD379EA" w:rsidR="00641518" w:rsidRDefault="006415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C572F0"/>
    <w:multiLevelType w:val="multilevel"/>
    <w:tmpl w:val="30F44F9C"/>
    <w:styleLink w:val="EEEbullets"/>
    <w:lvl w:ilvl="0">
      <w:start w:val="1"/>
      <w:numFmt w:val="bullet"/>
      <w:pStyle w:val="EEEbullet1"/>
      <w:lvlText w:val=""/>
      <w:lvlJc w:val="left"/>
      <w:pPr>
        <w:ind w:left="720" w:hanging="360"/>
      </w:pPr>
      <w:rPr>
        <w:rFonts w:ascii="Wingdings" w:hAnsi="Wingdings" w:hint="default"/>
        <w:color w:val="32783C"/>
      </w:rPr>
    </w:lvl>
    <w:lvl w:ilvl="1">
      <w:start w:val="1"/>
      <w:numFmt w:val="bullet"/>
      <w:pStyle w:val="EEEbullet2"/>
      <w:lvlText w:val=""/>
      <w:lvlJc w:val="left"/>
      <w:pPr>
        <w:ind w:left="1440" w:hanging="360"/>
      </w:pPr>
      <w:rPr>
        <w:rFonts w:ascii="Symbol" w:hAnsi="Symbol" w:hint="default"/>
        <w:sz w:val="28"/>
      </w:rPr>
    </w:lvl>
    <w:lvl w:ilvl="2">
      <w:start w:val="1"/>
      <w:numFmt w:val="bullet"/>
      <w:pStyle w:val="EEEbullet3"/>
      <w:lvlText w:val="o"/>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0AE7716"/>
    <w:multiLevelType w:val="hybridMultilevel"/>
    <w:tmpl w:val="57F8250C"/>
    <w:lvl w:ilvl="0" w:tplc="84146A32">
      <w:start w:val="25"/>
      <w:numFmt w:val="bullet"/>
      <w:lvlText w:val="-"/>
      <w:lvlJc w:val="left"/>
      <w:pPr>
        <w:ind w:left="720" w:hanging="360"/>
      </w:pPr>
      <w:rPr>
        <w:rFonts w:ascii="Arial Narrow" w:eastAsiaTheme="minorHAnsi" w:hAnsi="Arial Narrow" w:cs="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4D4F86"/>
    <w:multiLevelType w:val="multilevel"/>
    <w:tmpl w:val="30F44F9C"/>
    <w:numStyleLink w:val="EEEbullets"/>
  </w:abstractNum>
  <w:abstractNum w:abstractNumId="3" w15:restartNumberingAfterBreak="0">
    <w:nsid w:val="3FA43890"/>
    <w:multiLevelType w:val="hybridMultilevel"/>
    <w:tmpl w:val="5A9A4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CB69FC"/>
    <w:multiLevelType w:val="hybridMultilevel"/>
    <w:tmpl w:val="48C07A54"/>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5" w15:restartNumberingAfterBreak="0">
    <w:nsid w:val="5CC81D0F"/>
    <w:multiLevelType w:val="multilevel"/>
    <w:tmpl w:val="B512E59C"/>
    <w:lvl w:ilvl="0">
      <w:start w:val="1"/>
      <w:numFmt w:val="decimal"/>
      <w:suff w:val="space"/>
      <w:lvlText w:val="Chapter %1:"/>
      <w:lvlJc w:val="left"/>
      <w:pPr>
        <w:ind w:left="2250" w:firstLine="0"/>
      </w:pPr>
      <w:rPr>
        <w:rFonts w:cs="Times New Roman" w:hint="default"/>
        <w:b/>
        <w:i w:val="0"/>
        <w:iCs w:val="0"/>
        <w:caps/>
        <w:smallCaps w:val="0"/>
        <w:strike w:val="0"/>
        <w:dstrike w:val="0"/>
        <w:outline w:val="0"/>
        <w:shadow w:val="0"/>
        <w:emboss w:val="0"/>
        <w:imprint w:val="0"/>
        <w:noProof w:val="0"/>
        <w:vanish w:val="0"/>
        <w:spacing w:val="0"/>
        <w:kern w:val="0"/>
        <w:position w:val="0"/>
        <w:szCs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90" w:firstLine="0"/>
      </w:pPr>
      <w:rPr>
        <w:rFonts w:hint="default"/>
      </w:rPr>
    </w:lvl>
    <w:lvl w:ilvl="3">
      <w:start w:val="1"/>
      <w:numFmt w:val="decimal"/>
      <w:suff w:val="space"/>
      <w:lvlText w:val="%1.%2.%3.%4."/>
      <w:lvlJc w:val="left"/>
      <w:pPr>
        <w:ind w:left="86"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upperLetter"/>
      <w:suff w:val="nothing"/>
      <w:lvlText w:val="APPENDIX %9"/>
      <w:lvlJc w:val="left"/>
      <w:pPr>
        <w:ind w:left="0" w:firstLine="0"/>
      </w:pPr>
      <w:rPr>
        <w:rFonts w:hint="default"/>
      </w:rPr>
    </w:lvl>
  </w:abstractNum>
  <w:abstractNum w:abstractNumId="6" w15:restartNumberingAfterBreak="0">
    <w:nsid w:val="63AC7950"/>
    <w:multiLevelType w:val="hybridMultilevel"/>
    <w:tmpl w:val="9354AB6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63C0182D"/>
    <w:multiLevelType w:val="multilevel"/>
    <w:tmpl w:val="B512E59C"/>
    <w:lvl w:ilvl="0">
      <w:start w:val="1"/>
      <w:numFmt w:val="decimal"/>
      <w:suff w:val="space"/>
      <w:lvlText w:val="Chapter %1:"/>
      <w:lvlJc w:val="left"/>
      <w:pPr>
        <w:ind w:left="2250" w:firstLine="0"/>
      </w:pPr>
      <w:rPr>
        <w:rFonts w:cs="Times New Roman" w:hint="default"/>
        <w:b/>
        <w:i w:val="0"/>
        <w:iCs w:val="0"/>
        <w:caps/>
        <w:smallCaps w:val="0"/>
        <w:strike w:val="0"/>
        <w:dstrike w:val="0"/>
        <w:outline w:val="0"/>
        <w:shadow w:val="0"/>
        <w:emboss w:val="0"/>
        <w:imprint w:val="0"/>
        <w:noProof w:val="0"/>
        <w:vanish w:val="0"/>
        <w:spacing w:val="0"/>
        <w:kern w:val="0"/>
        <w:position w:val="0"/>
        <w:szCs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90" w:firstLine="0"/>
      </w:pPr>
      <w:rPr>
        <w:rFonts w:hint="default"/>
      </w:rPr>
    </w:lvl>
    <w:lvl w:ilvl="3">
      <w:start w:val="1"/>
      <w:numFmt w:val="decimal"/>
      <w:suff w:val="space"/>
      <w:lvlText w:val="%1.%2.%3.%4."/>
      <w:lvlJc w:val="left"/>
      <w:pPr>
        <w:ind w:left="86"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upperLetter"/>
      <w:suff w:val="nothing"/>
      <w:lvlText w:val="APPENDIX %9"/>
      <w:lvlJc w:val="left"/>
      <w:pPr>
        <w:ind w:left="0" w:firstLine="0"/>
      </w:pPr>
      <w:rPr>
        <w:rFonts w:hint="default"/>
      </w:rPr>
    </w:lvl>
  </w:abstractNum>
  <w:abstractNum w:abstractNumId="8" w15:restartNumberingAfterBreak="0">
    <w:nsid w:val="66517102"/>
    <w:multiLevelType w:val="hybridMultilevel"/>
    <w:tmpl w:val="72965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E0626A"/>
    <w:multiLevelType w:val="hybridMultilevel"/>
    <w:tmpl w:val="80C68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2E7B63"/>
    <w:multiLevelType w:val="hybridMultilevel"/>
    <w:tmpl w:val="BE847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036BC1"/>
    <w:multiLevelType w:val="multilevel"/>
    <w:tmpl w:val="B2C0DFA4"/>
    <w:lvl w:ilvl="0">
      <w:start w:val="1"/>
      <w:numFmt w:val="decimal"/>
      <w:pStyle w:val="Heading1"/>
      <w:suff w:val="space"/>
      <w:lvlText w:val="%1.0"/>
      <w:lvlJc w:val="left"/>
      <w:pPr>
        <w:ind w:left="360" w:hanging="360"/>
      </w:pPr>
      <w:rPr>
        <w:rFonts w:hint="default"/>
      </w:rPr>
    </w:lvl>
    <w:lvl w:ilvl="1">
      <w:start w:val="1"/>
      <w:numFmt w:val="decimal"/>
      <w:pStyle w:val="Heading2"/>
      <w:suff w:val="space"/>
      <w:lvlText w:val="%1.%2."/>
      <w:lvlJc w:val="left"/>
      <w:pPr>
        <w:ind w:left="792" w:hanging="432"/>
      </w:pPr>
      <w:rPr>
        <w:rFonts w:hint="default"/>
      </w:rPr>
    </w:lvl>
    <w:lvl w:ilvl="2">
      <w:start w:val="1"/>
      <w:numFmt w:val="decimal"/>
      <w:pStyle w:val="Heading3"/>
      <w:suff w:val="space"/>
      <w:lvlText w:val="%1.%2.%3."/>
      <w:lvlJc w:val="left"/>
      <w:pPr>
        <w:ind w:left="1224" w:hanging="504"/>
      </w:pPr>
      <w:rPr>
        <w:rFonts w:hint="default"/>
      </w:rPr>
    </w:lvl>
    <w:lvl w:ilvl="3">
      <w:start w:val="1"/>
      <w:numFmt w:val="decimal"/>
      <w:pStyle w:val="Heading4"/>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2"/>
  </w:num>
  <w:num w:numId="3">
    <w:abstractNumId w:val="0"/>
  </w:num>
  <w:num w:numId="4">
    <w:abstractNumId w:val="9"/>
  </w:num>
  <w:num w:numId="5">
    <w:abstractNumId w:val="8"/>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4"/>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3"/>
  </w:num>
  <w:num w:numId="17">
    <w:abstractNumId w:val="5"/>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8D2"/>
    <w:rsid w:val="000007BE"/>
    <w:rsid w:val="000010F3"/>
    <w:rsid w:val="000049C1"/>
    <w:rsid w:val="00004BE8"/>
    <w:rsid w:val="00005164"/>
    <w:rsid w:val="00005360"/>
    <w:rsid w:val="00005E66"/>
    <w:rsid w:val="00007799"/>
    <w:rsid w:val="00011027"/>
    <w:rsid w:val="00011B78"/>
    <w:rsid w:val="00011E92"/>
    <w:rsid w:val="0001200E"/>
    <w:rsid w:val="00012E25"/>
    <w:rsid w:val="000146B8"/>
    <w:rsid w:val="00015AC4"/>
    <w:rsid w:val="0001659E"/>
    <w:rsid w:val="00016EF2"/>
    <w:rsid w:val="00017D3B"/>
    <w:rsid w:val="00021552"/>
    <w:rsid w:val="00027990"/>
    <w:rsid w:val="000302E6"/>
    <w:rsid w:val="00030EF7"/>
    <w:rsid w:val="00031A08"/>
    <w:rsid w:val="00031B37"/>
    <w:rsid w:val="000331EE"/>
    <w:rsid w:val="00033A7A"/>
    <w:rsid w:val="00037774"/>
    <w:rsid w:val="00040279"/>
    <w:rsid w:val="0004235E"/>
    <w:rsid w:val="00042B30"/>
    <w:rsid w:val="00042E4B"/>
    <w:rsid w:val="00044F95"/>
    <w:rsid w:val="00045E6E"/>
    <w:rsid w:val="000461EA"/>
    <w:rsid w:val="0004624B"/>
    <w:rsid w:val="000472E7"/>
    <w:rsid w:val="000477C0"/>
    <w:rsid w:val="00050591"/>
    <w:rsid w:val="000526E2"/>
    <w:rsid w:val="0005370D"/>
    <w:rsid w:val="00053BD8"/>
    <w:rsid w:val="000549E8"/>
    <w:rsid w:val="0005524A"/>
    <w:rsid w:val="00056877"/>
    <w:rsid w:val="0006052F"/>
    <w:rsid w:val="000615A6"/>
    <w:rsid w:val="0006181C"/>
    <w:rsid w:val="00061E5D"/>
    <w:rsid w:val="00062978"/>
    <w:rsid w:val="00062AEF"/>
    <w:rsid w:val="000632EF"/>
    <w:rsid w:val="000664BA"/>
    <w:rsid w:val="00066FB6"/>
    <w:rsid w:val="000674CF"/>
    <w:rsid w:val="000701AC"/>
    <w:rsid w:val="00070E53"/>
    <w:rsid w:val="00071D68"/>
    <w:rsid w:val="000746A2"/>
    <w:rsid w:val="000763C6"/>
    <w:rsid w:val="00076A4E"/>
    <w:rsid w:val="00076CB3"/>
    <w:rsid w:val="000771C5"/>
    <w:rsid w:val="00081A5E"/>
    <w:rsid w:val="00083B7E"/>
    <w:rsid w:val="000842F0"/>
    <w:rsid w:val="000846F7"/>
    <w:rsid w:val="00084F4D"/>
    <w:rsid w:val="000852F2"/>
    <w:rsid w:val="000854C4"/>
    <w:rsid w:val="00087A4F"/>
    <w:rsid w:val="00091EFE"/>
    <w:rsid w:val="00092452"/>
    <w:rsid w:val="000932E0"/>
    <w:rsid w:val="00093C9F"/>
    <w:rsid w:val="00095305"/>
    <w:rsid w:val="00095474"/>
    <w:rsid w:val="0009558E"/>
    <w:rsid w:val="00095F2D"/>
    <w:rsid w:val="00096865"/>
    <w:rsid w:val="000968FF"/>
    <w:rsid w:val="000973EF"/>
    <w:rsid w:val="000979AA"/>
    <w:rsid w:val="000A27A3"/>
    <w:rsid w:val="000A2AB8"/>
    <w:rsid w:val="000A323F"/>
    <w:rsid w:val="000A3F1B"/>
    <w:rsid w:val="000A4D74"/>
    <w:rsid w:val="000A570A"/>
    <w:rsid w:val="000A5EA1"/>
    <w:rsid w:val="000B0F06"/>
    <w:rsid w:val="000B1792"/>
    <w:rsid w:val="000B186F"/>
    <w:rsid w:val="000B3D27"/>
    <w:rsid w:val="000B453D"/>
    <w:rsid w:val="000B5A27"/>
    <w:rsid w:val="000B6AAC"/>
    <w:rsid w:val="000C189F"/>
    <w:rsid w:val="000C303C"/>
    <w:rsid w:val="000C35E7"/>
    <w:rsid w:val="000C38D4"/>
    <w:rsid w:val="000C5247"/>
    <w:rsid w:val="000C53C1"/>
    <w:rsid w:val="000C6210"/>
    <w:rsid w:val="000D0ABF"/>
    <w:rsid w:val="000D18AA"/>
    <w:rsid w:val="000D2B06"/>
    <w:rsid w:val="000D606D"/>
    <w:rsid w:val="000D759F"/>
    <w:rsid w:val="000E12CE"/>
    <w:rsid w:val="000E71B3"/>
    <w:rsid w:val="000E7B22"/>
    <w:rsid w:val="000E7BE2"/>
    <w:rsid w:val="000F265A"/>
    <w:rsid w:val="000F2FE0"/>
    <w:rsid w:val="000F33CC"/>
    <w:rsid w:val="000F3C74"/>
    <w:rsid w:val="000F4E99"/>
    <w:rsid w:val="000F5753"/>
    <w:rsid w:val="000F5F1E"/>
    <w:rsid w:val="000F7311"/>
    <w:rsid w:val="000F7A55"/>
    <w:rsid w:val="00100C52"/>
    <w:rsid w:val="001017DA"/>
    <w:rsid w:val="00102686"/>
    <w:rsid w:val="0010320F"/>
    <w:rsid w:val="00103DF6"/>
    <w:rsid w:val="001053FD"/>
    <w:rsid w:val="00105578"/>
    <w:rsid w:val="001068E7"/>
    <w:rsid w:val="00107256"/>
    <w:rsid w:val="00107B9E"/>
    <w:rsid w:val="00110022"/>
    <w:rsid w:val="00110266"/>
    <w:rsid w:val="00110B34"/>
    <w:rsid w:val="0011192D"/>
    <w:rsid w:val="00112C54"/>
    <w:rsid w:val="00114D20"/>
    <w:rsid w:val="00115DFC"/>
    <w:rsid w:val="0011614D"/>
    <w:rsid w:val="0011694E"/>
    <w:rsid w:val="00120446"/>
    <w:rsid w:val="00120699"/>
    <w:rsid w:val="00120EE8"/>
    <w:rsid w:val="001226A2"/>
    <w:rsid w:val="0012302D"/>
    <w:rsid w:val="001239B1"/>
    <w:rsid w:val="00123ABF"/>
    <w:rsid w:val="00124E49"/>
    <w:rsid w:val="001268B6"/>
    <w:rsid w:val="0012765B"/>
    <w:rsid w:val="001276AE"/>
    <w:rsid w:val="001306AB"/>
    <w:rsid w:val="00130793"/>
    <w:rsid w:val="00133CBD"/>
    <w:rsid w:val="0013481C"/>
    <w:rsid w:val="001349EE"/>
    <w:rsid w:val="00134B97"/>
    <w:rsid w:val="00135BEB"/>
    <w:rsid w:val="00136016"/>
    <w:rsid w:val="001415B3"/>
    <w:rsid w:val="00143C1C"/>
    <w:rsid w:val="00143FEC"/>
    <w:rsid w:val="0014403A"/>
    <w:rsid w:val="00145308"/>
    <w:rsid w:val="0014572A"/>
    <w:rsid w:val="001466BC"/>
    <w:rsid w:val="001470AB"/>
    <w:rsid w:val="0014794B"/>
    <w:rsid w:val="00150FD2"/>
    <w:rsid w:val="0015188B"/>
    <w:rsid w:val="00152320"/>
    <w:rsid w:val="00153A61"/>
    <w:rsid w:val="0015660A"/>
    <w:rsid w:val="00156F5C"/>
    <w:rsid w:val="001579E9"/>
    <w:rsid w:val="00157ECC"/>
    <w:rsid w:val="00160058"/>
    <w:rsid w:val="00160B79"/>
    <w:rsid w:val="001611A3"/>
    <w:rsid w:val="001614D3"/>
    <w:rsid w:val="00162BC3"/>
    <w:rsid w:val="001634E6"/>
    <w:rsid w:val="00163D48"/>
    <w:rsid w:val="001666B9"/>
    <w:rsid w:val="00170652"/>
    <w:rsid w:val="00172F89"/>
    <w:rsid w:val="00173DB0"/>
    <w:rsid w:val="00174049"/>
    <w:rsid w:val="0017443D"/>
    <w:rsid w:val="001747A1"/>
    <w:rsid w:val="00175E74"/>
    <w:rsid w:val="00177C78"/>
    <w:rsid w:val="00181166"/>
    <w:rsid w:val="001819AD"/>
    <w:rsid w:val="00184889"/>
    <w:rsid w:val="00184EC8"/>
    <w:rsid w:val="001851AB"/>
    <w:rsid w:val="00190886"/>
    <w:rsid w:val="00190B91"/>
    <w:rsid w:val="00190EC9"/>
    <w:rsid w:val="0019246E"/>
    <w:rsid w:val="00193863"/>
    <w:rsid w:val="00193B5C"/>
    <w:rsid w:val="0019418D"/>
    <w:rsid w:val="00196667"/>
    <w:rsid w:val="00196EB3"/>
    <w:rsid w:val="001A0B7C"/>
    <w:rsid w:val="001A0D5B"/>
    <w:rsid w:val="001A2390"/>
    <w:rsid w:val="001A3005"/>
    <w:rsid w:val="001A6BB4"/>
    <w:rsid w:val="001B24AD"/>
    <w:rsid w:val="001B2A90"/>
    <w:rsid w:val="001B4989"/>
    <w:rsid w:val="001B50FF"/>
    <w:rsid w:val="001B51FA"/>
    <w:rsid w:val="001B5F06"/>
    <w:rsid w:val="001B6774"/>
    <w:rsid w:val="001C1145"/>
    <w:rsid w:val="001C11CF"/>
    <w:rsid w:val="001C142F"/>
    <w:rsid w:val="001C14D6"/>
    <w:rsid w:val="001C30C5"/>
    <w:rsid w:val="001C3CED"/>
    <w:rsid w:val="001C595A"/>
    <w:rsid w:val="001C6E61"/>
    <w:rsid w:val="001C6F81"/>
    <w:rsid w:val="001C7AAE"/>
    <w:rsid w:val="001C7AF3"/>
    <w:rsid w:val="001D17DF"/>
    <w:rsid w:val="001D1E88"/>
    <w:rsid w:val="001D25DD"/>
    <w:rsid w:val="001D2F55"/>
    <w:rsid w:val="001D3831"/>
    <w:rsid w:val="001D40ED"/>
    <w:rsid w:val="001D435C"/>
    <w:rsid w:val="001D6378"/>
    <w:rsid w:val="001E035C"/>
    <w:rsid w:val="001E0DE6"/>
    <w:rsid w:val="001E13C1"/>
    <w:rsid w:val="001E1847"/>
    <w:rsid w:val="001E1935"/>
    <w:rsid w:val="001E33B1"/>
    <w:rsid w:val="001E3E00"/>
    <w:rsid w:val="001E546E"/>
    <w:rsid w:val="001E553B"/>
    <w:rsid w:val="001E71CA"/>
    <w:rsid w:val="001F19BF"/>
    <w:rsid w:val="001F2046"/>
    <w:rsid w:val="001F29F0"/>
    <w:rsid w:val="001F3474"/>
    <w:rsid w:val="001F47D5"/>
    <w:rsid w:val="001F4EE1"/>
    <w:rsid w:val="001F5327"/>
    <w:rsid w:val="002007E2"/>
    <w:rsid w:val="00204E58"/>
    <w:rsid w:val="002051CF"/>
    <w:rsid w:val="00205223"/>
    <w:rsid w:val="00205956"/>
    <w:rsid w:val="00206393"/>
    <w:rsid w:val="002069D5"/>
    <w:rsid w:val="002070A9"/>
    <w:rsid w:val="002071C7"/>
    <w:rsid w:val="00207827"/>
    <w:rsid w:val="00207BE1"/>
    <w:rsid w:val="002101DF"/>
    <w:rsid w:val="0021175B"/>
    <w:rsid w:val="00213689"/>
    <w:rsid w:val="00215E0B"/>
    <w:rsid w:val="00217D3D"/>
    <w:rsid w:val="00220CC7"/>
    <w:rsid w:val="0022164E"/>
    <w:rsid w:val="00222901"/>
    <w:rsid w:val="002239EA"/>
    <w:rsid w:val="00223F05"/>
    <w:rsid w:val="00224E85"/>
    <w:rsid w:val="002274EF"/>
    <w:rsid w:val="00227B81"/>
    <w:rsid w:val="00227B88"/>
    <w:rsid w:val="002301B9"/>
    <w:rsid w:val="00232137"/>
    <w:rsid w:val="002321F3"/>
    <w:rsid w:val="00232637"/>
    <w:rsid w:val="00232C09"/>
    <w:rsid w:val="00232D1D"/>
    <w:rsid w:val="002335DB"/>
    <w:rsid w:val="00234EBB"/>
    <w:rsid w:val="00234FC4"/>
    <w:rsid w:val="0023520A"/>
    <w:rsid w:val="00236B85"/>
    <w:rsid w:val="00237185"/>
    <w:rsid w:val="00241AEF"/>
    <w:rsid w:val="00241EBD"/>
    <w:rsid w:val="002443FF"/>
    <w:rsid w:val="002444CE"/>
    <w:rsid w:val="00244E81"/>
    <w:rsid w:val="0024570B"/>
    <w:rsid w:val="00246242"/>
    <w:rsid w:val="002470AB"/>
    <w:rsid w:val="00250857"/>
    <w:rsid w:val="00250E0C"/>
    <w:rsid w:val="00250E3D"/>
    <w:rsid w:val="00250F26"/>
    <w:rsid w:val="0025147A"/>
    <w:rsid w:val="00252105"/>
    <w:rsid w:val="0025473A"/>
    <w:rsid w:val="00254E68"/>
    <w:rsid w:val="0025633D"/>
    <w:rsid w:val="00256B9A"/>
    <w:rsid w:val="0025710D"/>
    <w:rsid w:val="00257110"/>
    <w:rsid w:val="00257EB0"/>
    <w:rsid w:val="00261B65"/>
    <w:rsid w:val="002629FC"/>
    <w:rsid w:val="00262A51"/>
    <w:rsid w:val="0026317A"/>
    <w:rsid w:val="0026326B"/>
    <w:rsid w:val="002633EE"/>
    <w:rsid w:val="00263787"/>
    <w:rsid w:val="00263C95"/>
    <w:rsid w:val="00264E80"/>
    <w:rsid w:val="002653E4"/>
    <w:rsid w:val="00266867"/>
    <w:rsid w:val="002672BD"/>
    <w:rsid w:val="00270F15"/>
    <w:rsid w:val="00271B2F"/>
    <w:rsid w:val="00271F93"/>
    <w:rsid w:val="00272087"/>
    <w:rsid w:val="00275C2A"/>
    <w:rsid w:val="00276F9B"/>
    <w:rsid w:val="00277FE7"/>
    <w:rsid w:val="00281528"/>
    <w:rsid w:val="0028197A"/>
    <w:rsid w:val="00281CA0"/>
    <w:rsid w:val="002836BA"/>
    <w:rsid w:val="002836D9"/>
    <w:rsid w:val="002845BF"/>
    <w:rsid w:val="00286C2F"/>
    <w:rsid w:val="0029014C"/>
    <w:rsid w:val="00290346"/>
    <w:rsid w:val="002938E9"/>
    <w:rsid w:val="00295D69"/>
    <w:rsid w:val="002A1A49"/>
    <w:rsid w:val="002A4750"/>
    <w:rsid w:val="002A5CEC"/>
    <w:rsid w:val="002A5DBE"/>
    <w:rsid w:val="002A7C23"/>
    <w:rsid w:val="002B1790"/>
    <w:rsid w:val="002B2965"/>
    <w:rsid w:val="002B3257"/>
    <w:rsid w:val="002B473A"/>
    <w:rsid w:val="002B49BC"/>
    <w:rsid w:val="002B4CF5"/>
    <w:rsid w:val="002B5BBD"/>
    <w:rsid w:val="002B668A"/>
    <w:rsid w:val="002B6838"/>
    <w:rsid w:val="002B6BF0"/>
    <w:rsid w:val="002B6F94"/>
    <w:rsid w:val="002B7BAA"/>
    <w:rsid w:val="002B7F2D"/>
    <w:rsid w:val="002C0241"/>
    <w:rsid w:val="002C0611"/>
    <w:rsid w:val="002C1142"/>
    <w:rsid w:val="002C1EA7"/>
    <w:rsid w:val="002C442F"/>
    <w:rsid w:val="002C4FC5"/>
    <w:rsid w:val="002C52DF"/>
    <w:rsid w:val="002C6313"/>
    <w:rsid w:val="002D0AA7"/>
    <w:rsid w:val="002D0C50"/>
    <w:rsid w:val="002D0ED8"/>
    <w:rsid w:val="002D1449"/>
    <w:rsid w:val="002D1B8A"/>
    <w:rsid w:val="002D3C71"/>
    <w:rsid w:val="002D3DE9"/>
    <w:rsid w:val="002D406B"/>
    <w:rsid w:val="002D59B3"/>
    <w:rsid w:val="002D5E3A"/>
    <w:rsid w:val="002D5E4D"/>
    <w:rsid w:val="002D647C"/>
    <w:rsid w:val="002E0789"/>
    <w:rsid w:val="002E0F47"/>
    <w:rsid w:val="002E11D9"/>
    <w:rsid w:val="002E1541"/>
    <w:rsid w:val="002E1C1A"/>
    <w:rsid w:val="002E3CDE"/>
    <w:rsid w:val="002E580E"/>
    <w:rsid w:val="002E5862"/>
    <w:rsid w:val="002E598A"/>
    <w:rsid w:val="002E6DD8"/>
    <w:rsid w:val="002E7675"/>
    <w:rsid w:val="002F0399"/>
    <w:rsid w:val="002F10CF"/>
    <w:rsid w:val="002F1746"/>
    <w:rsid w:val="002F17AF"/>
    <w:rsid w:val="002F2B1E"/>
    <w:rsid w:val="002F372A"/>
    <w:rsid w:val="002F3BC1"/>
    <w:rsid w:val="002F5B0A"/>
    <w:rsid w:val="002F7315"/>
    <w:rsid w:val="002F7363"/>
    <w:rsid w:val="00300B54"/>
    <w:rsid w:val="00300EF3"/>
    <w:rsid w:val="00301FAD"/>
    <w:rsid w:val="0030215C"/>
    <w:rsid w:val="00302682"/>
    <w:rsid w:val="003028DD"/>
    <w:rsid w:val="00302983"/>
    <w:rsid w:val="0030505B"/>
    <w:rsid w:val="0030660F"/>
    <w:rsid w:val="00306701"/>
    <w:rsid w:val="003074D3"/>
    <w:rsid w:val="00307CD2"/>
    <w:rsid w:val="00310941"/>
    <w:rsid w:val="00313225"/>
    <w:rsid w:val="003145C8"/>
    <w:rsid w:val="00314E91"/>
    <w:rsid w:val="0031578E"/>
    <w:rsid w:val="00315F96"/>
    <w:rsid w:val="00317C63"/>
    <w:rsid w:val="00323198"/>
    <w:rsid w:val="003231BE"/>
    <w:rsid w:val="00323C76"/>
    <w:rsid w:val="00324FDC"/>
    <w:rsid w:val="00325FF2"/>
    <w:rsid w:val="00327628"/>
    <w:rsid w:val="003279B5"/>
    <w:rsid w:val="0033378F"/>
    <w:rsid w:val="00333B5B"/>
    <w:rsid w:val="00333C8C"/>
    <w:rsid w:val="0033479A"/>
    <w:rsid w:val="003348D2"/>
    <w:rsid w:val="0033499E"/>
    <w:rsid w:val="003410EF"/>
    <w:rsid w:val="0034220B"/>
    <w:rsid w:val="00342292"/>
    <w:rsid w:val="00343AD0"/>
    <w:rsid w:val="00343DF5"/>
    <w:rsid w:val="00344F76"/>
    <w:rsid w:val="00346933"/>
    <w:rsid w:val="00346ADC"/>
    <w:rsid w:val="00347535"/>
    <w:rsid w:val="0035165E"/>
    <w:rsid w:val="00356592"/>
    <w:rsid w:val="00356818"/>
    <w:rsid w:val="00357186"/>
    <w:rsid w:val="00357F33"/>
    <w:rsid w:val="0036060A"/>
    <w:rsid w:val="0036178E"/>
    <w:rsid w:val="0036290D"/>
    <w:rsid w:val="00363A65"/>
    <w:rsid w:val="00363B6A"/>
    <w:rsid w:val="003643CE"/>
    <w:rsid w:val="00364EDD"/>
    <w:rsid w:val="003669E5"/>
    <w:rsid w:val="00367BA7"/>
    <w:rsid w:val="00372DD9"/>
    <w:rsid w:val="00372E20"/>
    <w:rsid w:val="00373054"/>
    <w:rsid w:val="00373345"/>
    <w:rsid w:val="00373EEF"/>
    <w:rsid w:val="00374021"/>
    <w:rsid w:val="003745AA"/>
    <w:rsid w:val="00374D51"/>
    <w:rsid w:val="00375097"/>
    <w:rsid w:val="00375E23"/>
    <w:rsid w:val="00377542"/>
    <w:rsid w:val="00377DC8"/>
    <w:rsid w:val="0038009C"/>
    <w:rsid w:val="00380AA5"/>
    <w:rsid w:val="003816CC"/>
    <w:rsid w:val="00382765"/>
    <w:rsid w:val="003842DC"/>
    <w:rsid w:val="00390D6B"/>
    <w:rsid w:val="003911ED"/>
    <w:rsid w:val="00391679"/>
    <w:rsid w:val="00391F0E"/>
    <w:rsid w:val="00392119"/>
    <w:rsid w:val="00392AF2"/>
    <w:rsid w:val="00392E1E"/>
    <w:rsid w:val="00394493"/>
    <w:rsid w:val="003944A6"/>
    <w:rsid w:val="003950CE"/>
    <w:rsid w:val="00396690"/>
    <w:rsid w:val="0039696E"/>
    <w:rsid w:val="00396EC1"/>
    <w:rsid w:val="0039721C"/>
    <w:rsid w:val="003A5C90"/>
    <w:rsid w:val="003A66AB"/>
    <w:rsid w:val="003B053E"/>
    <w:rsid w:val="003B22C6"/>
    <w:rsid w:val="003B3D7F"/>
    <w:rsid w:val="003B48E8"/>
    <w:rsid w:val="003B49F8"/>
    <w:rsid w:val="003B6BD8"/>
    <w:rsid w:val="003B79DD"/>
    <w:rsid w:val="003C0613"/>
    <w:rsid w:val="003C0E6D"/>
    <w:rsid w:val="003C1CEE"/>
    <w:rsid w:val="003C2323"/>
    <w:rsid w:val="003C2451"/>
    <w:rsid w:val="003C3284"/>
    <w:rsid w:val="003C3E11"/>
    <w:rsid w:val="003C4245"/>
    <w:rsid w:val="003C52AC"/>
    <w:rsid w:val="003C57FB"/>
    <w:rsid w:val="003C616E"/>
    <w:rsid w:val="003C64DB"/>
    <w:rsid w:val="003C68C8"/>
    <w:rsid w:val="003C6F3B"/>
    <w:rsid w:val="003C76F9"/>
    <w:rsid w:val="003C7AD1"/>
    <w:rsid w:val="003D09F5"/>
    <w:rsid w:val="003D473B"/>
    <w:rsid w:val="003D5A97"/>
    <w:rsid w:val="003D64F6"/>
    <w:rsid w:val="003D75BE"/>
    <w:rsid w:val="003D75F6"/>
    <w:rsid w:val="003E0961"/>
    <w:rsid w:val="003E474B"/>
    <w:rsid w:val="003E4DFD"/>
    <w:rsid w:val="003E58A0"/>
    <w:rsid w:val="003E6878"/>
    <w:rsid w:val="003E6AD9"/>
    <w:rsid w:val="003F1472"/>
    <w:rsid w:val="003F3AE1"/>
    <w:rsid w:val="003F3C32"/>
    <w:rsid w:val="003F466B"/>
    <w:rsid w:val="003F5E37"/>
    <w:rsid w:val="003F7055"/>
    <w:rsid w:val="003F74DD"/>
    <w:rsid w:val="004000BA"/>
    <w:rsid w:val="00401284"/>
    <w:rsid w:val="00401D01"/>
    <w:rsid w:val="00402511"/>
    <w:rsid w:val="00403595"/>
    <w:rsid w:val="004035A4"/>
    <w:rsid w:val="00403FE6"/>
    <w:rsid w:val="0040456D"/>
    <w:rsid w:val="00405E93"/>
    <w:rsid w:val="004068C2"/>
    <w:rsid w:val="00406BDE"/>
    <w:rsid w:val="00406BF4"/>
    <w:rsid w:val="00406C0F"/>
    <w:rsid w:val="00406E80"/>
    <w:rsid w:val="004072A5"/>
    <w:rsid w:val="00410655"/>
    <w:rsid w:val="00411BDC"/>
    <w:rsid w:val="00412941"/>
    <w:rsid w:val="00414833"/>
    <w:rsid w:val="00415034"/>
    <w:rsid w:val="00415930"/>
    <w:rsid w:val="00415E29"/>
    <w:rsid w:val="00416D3B"/>
    <w:rsid w:val="00420B19"/>
    <w:rsid w:val="00421DF6"/>
    <w:rsid w:val="00421E5C"/>
    <w:rsid w:val="00421F3D"/>
    <w:rsid w:val="00424B22"/>
    <w:rsid w:val="0042789F"/>
    <w:rsid w:val="00430F00"/>
    <w:rsid w:val="00432992"/>
    <w:rsid w:val="00433FE2"/>
    <w:rsid w:val="004346A7"/>
    <w:rsid w:val="004353E2"/>
    <w:rsid w:val="00435FA2"/>
    <w:rsid w:val="004365DB"/>
    <w:rsid w:val="00437793"/>
    <w:rsid w:val="004403BE"/>
    <w:rsid w:val="00442332"/>
    <w:rsid w:val="00444B7E"/>
    <w:rsid w:val="00444DC0"/>
    <w:rsid w:val="00445808"/>
    <w:rsid w:val="00447216"/>
    <w:rsid w:val="00450EA3"/>
    <w:rsid w:val="00451201"/>
    <w:rsid w:val="00451D9F"/>
    <w:rsid w:val="00452383"/>
    <w:rsid w:val="00454FC9"/>
    <w:rsid w:val="00454FCB"/>
    <w:rsid w:val="00455282"/>
    <w:rsid w:val="004558EE"/>
    <w:rsid w:val="00455E38"/>
    <w:rsid w:val="0045635A"/>
    <w:rsid w:val="004603BB"/>
    <w:rsid w:val="00463303"/>
    <w:rsid w:val="004638D1"/>
    <w:rsid w:val="00463D4B"/>
    <w:rsid w:val="00464795"/>
    <w:rsid w:val="0046488F"/>
    <w:rsid w:val="004656F4"/>
    <w:rsid w:val="00466886"/>
    <w:rsid w:val="00466978"/>
    <w:rsid w:val="00466B78"/>
    <w:rsid w:val="004677F1"/>
    <w:rsid w:val="004734B1"/>
    <w:rsid w:val="00475446"/>
    <w:rsid w:val="004758E0"/>
    <w:rsid w:val="0047736D"/>
    <w:rsid w:val="00477D15"/>
    <w:rsid w:val="00481481"/>
    <w:rsid w:val="00482789"/>
    <w:rsid w:val="004831A7"/>
    <w:rsid w:val="00483A88"/>
    <w:rsid w:val="00483E99"/>
    <w:rsid w:val="00485418"/>
    <w:rsid w:val="0048660C"/>
    <w:rsid w:val="00486F84"/>
    <w:rsid w:val="004875F5"/>
    <w:rsid w:val="0049058F"/>
    <w:rsid w:val="00491425"/>
    <w:rsid w:val="00491AF4"/>
    <w:rsid w:val="00492014"/>
    <w:rsid w:val="00492022"/>
    <w:rsid w:val="004922CA"/>
    <w:rsid w:val="004940AF"/>
    <w:rsid w:val="00494261"/>
    <w:rsid w:val="004948EF"/>
    <w:rsid w:val="00494F09"/>
    <w:rsid w:val="004959B3"/>
    <w:rsid w:val="00495F45"/>
    <w:rsid w:val="00497EBD"/>
    <w:rsid w:val="004A0EEC"/>
    <w:rsid w:val="004A1165"/>
    <w:rsid w:val="004A1C95"/>
    <w:rsid w:val="004A2EE0"/>
    <w:rsid w:val="004A4126"/>
    <w:rsid w:val="004A4F53"/>
    <w:rsid w:val="004A78BF"/>
    <w:rsid w:val="004B0B1A"/>
    <w:rsid w:val="004B0E0F"/>
    <w:rsid w:val="004B10BE"/>
    <w:rsid w:val="004B2830"/>
    <w:rsid w:val="004B5B59"/>
    <w:rsid w:val="004B5E8B"/>
    <w:rsid w:val="004B610D"/>
    <w:rsid w:val="004B6268"/>
    <w:rsid w:val="004B6B71"/>
    <w:rsid w:val="004B7662"/>
    <w:rsid w:val="004C0852"/>
    <w:rsid w:val="004C0D1B"/>
    <w:rsid w:val="004C1D71"/>
    <w:rsid w:val="004C2DCB"/>
    <w:rsid w:val="004C3218"/>
    <w:rsid w:val="004C355A"/>
    <w:rsid w:val="004C39D9"/>
    <w:rsid w:val="004C3A79"/>
    <w:rsid w:val="004C5783"/>
    <w:rsid w:val="004C59ED"/>
    <w:rsid w:val="004C66FE"/>
    <w:rsid w:val="004C736A"/>
    <w:rsid w:val="004D1BDF"/>
    <w:rsid w:val="004D277F"/>
    <w:rsid w:val="004D2B96"/>
    <w:rsid w:val="004D2C24"/>
    <w:rsid w:val="004D3CEB"/>
    <w:rsid w:val="004D5D4D"/>
    <w:rsid w:val="004D686B"/>
    <w:rsid w:val="004D732D"/>
    <w:rsid w:val="004E0C0D"/>
    <w:rsid w:val="004E1E68"/>
    <w:rsid w:val="004E3D6E"/>
    <w:rsid w:val="004E62D1"/>
    <w:rsid w:val="004E665A"/>
    <w:rsid w:val="004E689D"/>
    <w:rsid w:val="004E78D1"/>
    <w:rsid w:val="004F139D"/>
    <w:rsid w:val="004F4893"/>
    <w:rsid w:val="004F5EBF"/>
    <w:rsid w:val="004F6105"/>
    <w:rsid w:val="004F68EC"/>
    <w:rsid w:val="004F6A77"/>
    <w:rsid w:val="004F6A7C"/>
    <w:rsid w:val="004F793F"/>
    <w:rsid w:val="00505A84"/>
    <w:rsid w:val="00505B86"/>
    <w:rsid w:val="005076EF"/>
    <w:rsid w:val="005116F3"/>
    <w:rsid w:val="00512239"/>
    <w:rsid w:val="00512388"/>
    <w:rsid w:val="005132E5"/>
    <w:rsid w:val="00513828"/>
    <w:rsid w:val="005141E9"/>
    <w:rsid w:val="00514DCC"/>
    <w:rsid w:val="005150C1"/>
    <w:rsid w:val="00515188"/>
    <w:rsid w:val="00520252"/>
    <w:rsid w:val="005206BA"/>
    <w:rsid w:val="00521880"/>
    <w:rsid w:val="00522D97"/>
    <w:rsid w:val="00524792"/>
    <w:rsid w:val="00524DE2"/>
    <w:rsid w:val="005255C6"/>
    <w:rsid w:val="00525A6A"/>
    <w:rsid w:val="00526A90"/>
    <w:rsid w:val="00526AEF"/>
    <w:rsid w:val="00526C74"/>
    <w:rsid w:val="005272A1"/>
    <w:rsid w:val="00527F77"/>
    <w:rsid w:val="0053085A"/>
    <w:rsid w:val="00530BA2"/>
    <w:rsid w:val="00530DB0"/>
    <w:rsid w:val="005313DF"/>
    <w:rsid w:val="0053252F"/>
    <w:rsid w:val="005325BA"/>
    <w:rsid w:val="00532741"/>
    <w:rsid w:val="00534E49"/>
    <w:rsid w:val="00536CCF"/>
    <w:rsid w:val="005372F7"/>
    <w:rsid w:val="00537D84"/>
    <w:rsid w:val="0054110E"/>
    <w:rsid w:val="005416D6"/>
    <w:rsid w:val="00542B39"/>
    <w:rsid w:val="00542F2E"/>
    <w:rsid w:val="005430BB"/>
    <w:rsid w:val="0054327F"/>
    <w:rsid w:val="00546B42"/>
    <w:rsid w:val="00547824"/>
    <w:rsid w:val="0055032D"/>
    <w:rsid w:val="0055087F"/>
    <w:rsid w:val="00550C1D"/>
    <w:rsid w:val="00550D45"/>
    <w:rsid w:val="00551113"/>
    <w:rsid w:val="00551205"/>
    <w:rsid w:val="005514E2"/>
    <w:rsid w:val="005514FF"/>
    <w:rsid w:val="00551E28"/>
    <w:rsid w:val="00552C42"/>
    <w:rsid w:val="00553FF0"/>
    <w:rsid w:val="00554B32"/>
    <w:rsid w:val="0055701A"/>
    <w:rsid w:val="00561433"/>
    <w:rsid w:val="00561F1A"/>
    <w:rsid w:val="00562AD5"/>
    <w:rsid w:val="00562B1D"/>
    <w:rsid w:val="00563518"/>
    <w:rsid w:val="0056374F"/>
    <w:rsid w:val="00563CB3"/>
    <w:rsid w:val="005654F8"/>
    <w:rsid w:val="00567A55"/>
    <w:rsid w:val="0057100E"/>
    <w:rsid w:val="005726AF"/>
    <w:rsid w:val="0057316D"/>
    <w:rsid w:val="005739BE"/>
    <w:rsid w:val="00573E97"/>
    <w:rsid w:val="005771B7"/>
    <w:rsid w:val="00577DC1"/>
    <w:rsid w:val="00580C74"/>
    <w:rsid w:val="005817F5"/>
    <w:rsid w:val="00581E85"/>
    <w:rsid w:val="00581F76"/>
    <w:rsid w:val="00582129"/>
    <w:rsid w:val="00583FA1"/>
    <w:rsid w:val="005841AC"/>
    <w:rsid w:val="005860EB"/>
    <w:rsid w:val="00587796"/>
    <w:rsid w:val="00587B4F"/>
    <w:rsid w:val="00587F90"/>
    <w:rsid w:val="00592F6B"/>
    <w:rsid w:val="00594AB5"/>
    <w:rsid w:val="00595784"/>
    <w:rsid w:val="00596C12"/>
    <w:rsid w:val="00597AAC"/>
    <w:rsid w:val="005A0004"/>
    <w:rsid w:val="005A05AC"/>
    <w:rsid w:val="005A05BD"/>
    <w:rsid w:val="005A1AEF"/>
    <w:rsid w:val="005A1F96"/>
    <w:rsid w:val="005A6AFF"/>
    <w:rsid w:val="005B0184"/>
    <w:rsid w:val="005B108C"/>
    <w:rsid w:val="005B188E"/>
    <w:rsid w:val="005B2525"/>
    <w:rsid w:val="005B43B7"/>
    <w:rsid w:val="005B47D6"/>
    <w:rsid w:val="005B548F"/>
    <w:rsid w:val="005B566D"/>
    <w:rsid w:val="005B6253"/>
    <w:rsid w:val="005B7A67"/>
    <w:rsid w:val="005B7A6B"/>
    <w:rsid w:val="005C2267"/>
    <w:rsid w:val="005C245B"/>
    <w:rsid w:val="005C253E"/>
    <w:rsid w:val="005C29B3"/>
    <w:rsid w:val="005C482B"/>
    <w:rsid w:val="005C4E8A"/>
    <w:rsid w:val="005C5CC3"/>
    <w:rsid w:val="005C5CC7"/>
    <w:rsid w:val="005C6609"/>
    <w:rsid w:val="005C67A5"/>
    <w:rsid w:val="005C7216"/>
    <w:rsid w:val="005C73DE"/>
    <w:rsid w:val="005D055C"/>
    <w:rsid w:val="005D1A9D"/>
    <w:rsid w:val="005D3D56"/>
    <w:rsid w:val="005D6549"/>
    <w:rsid w:val="005D7E06"/>
    <w:rsid w:val="005E0009"/>
    <w:rsid w:val="005E02F3"/>
    <w:rsid w:val="005E1049"/>
    <w:rsid w:val="005E259D"/>
    <w:rsid w:val="005E2F29"/>
    <w:rsid w:val="005E3A8A"/>
    <w:rsid w:val="005E432E"/>
    <w:rsid w:val="005E4B50"/>
    <w:rsid w:val="005E51D8"/>
    <w:rsid w:val="005E604D"/>
    <w:rsid w:val="005E644C"/>
    <w:rsid w:val="005E64D9"/>
    <w:rsid w:val="005E7DF0"/>
    <w:rsid w:val="005F23A0"/>
    <w:rsid w:val="005F333B"/>
    <w:rsid w:val="005F4F48"/>
    <w:rsid w:val="005F7585"/>
    <w:rsid w:val="00600CDF"/>
    <w:rsid w:val="0060172A"/>
    <w:rsid w:val="00603A00"/>
    <w:rsid w:val="00603CBC"/>
    <w:rsid w:val="00604420"/>
    <w:rsid w:val="0061018C"/>
    <w:rsid w:val="006120CE"/>
    <w:rsid w:val="0061256D"/>
    <w:rsid w:val="006129D5"/>
    <w:rsid w:val="00612E93"/>
    <w:rsid w:val="0061312A"/>
    <w:rsid w:val="00614128"/>
    <w:rsid w:val="006145C3"/>
    <w:rsid w:val="006145E2"/>
    <w:rsid w:val="006148DC"/>
    <w:rsid w:val="006148FD"/>
    <w:rsid w:val="00616480"/>
    <w:rsid w:val="00616876"/>
    <w:rsid w:val="00621622"/>
    <w:rsid w:val="00622594"/>
    <w:rsid w:val="006229D5"/>
    <w:rsid w:val="006236D8"/>
    <w:rsid w:val="00623CD7"/>
    <w:rsid w:val="006249B7"/>
    <w:rsid w:val="00625012"/>
    <w:rsid w:val="00625674"/>
    <w:rsid w:val="00625C9A"/>
    <w:rsid w:val="00627A69"/>
    <w:rsid w:val="00632CF7"/>
    <w:rsid w:val="00632D63"/>
    <w:rsid w:val="00634019"/>
    <w:rsid w:val="006340C2"/>
    <w:rsid w:val="00635288"/>
    <w:rsid w:val="00635DD8"/>
    <w:rsid w:val="006372CF"/>
    <w:rsid w:val="006379F3"/>
    <w:rsid w:val="00637CCC"/>
    <w:rsid w:val="006400B9"/>
    <w:rsid w:val="006404A5"/>
    <w:rsid w:val="006404B0"/>
    <w:rsid w:val="00641518"/>
    <w:rsid w:val="006430AC"/>
    <w:rsid w:val="00643FEF"/>
    <w:rsid w:val="00645FEF"/>
    <w:rsid w:val="00647D86"/>
    <w:rsid w:val="00650DB1"/>
    <w:rsid w:val="006519E3"/>
    <w:rsid w:val="00651C76"/>
    <w:rsid w:val="00653457"/>
    <w:rsid w:val="00655472"/>
    <w:rsid w:val="00655691"/>
    <w:rsid w:val="00655E75"/>
    <w:rsid w:val="006569BD"/>
    <w:rsid w:val="00656B40"/>
    <w:rsid w:val="0066032A"/>
    <w:rsid w:val="00660623"/>
    <w:rsid w:val="00660938"/>
    <w:rsid w:val="00660F8F"/>
    <w:rsid w:val="0066130A"/>
    <w:rsid w:val="00661331"/>
    <w:rsid w:val="00661602"/>
    <w:rsid w:val="006617CC"/>
    <w:rsid w:val="006632AA"/>
    <w:rsid w:val="00663BCD"/>
    <w:rsid w:val="00665288"/>
    <w:rsid w:val="0066571F"/>
    <w:rsid w:val="00665FF5"/>
    <w:rsid w:val="0066638B"/>
    <w:rsid w:val="00666407"/>
    <w:rsid w:val="00666425"/>
    <w:rsid w:val="00666603"/>
    <w:rsid w:val="0066679E"/>
    <w:rsid w:val="006700BF"/>
    <w:rsid w:val="00671D36"/>
    <w:rsid w:val="0067255C"/>
    <w:rsid w:val="00673540"/>
    <w:rsid w:val="006746AD"/>
    <w:rsid w:val="00674AE5"/>
    <w:rsid w:val="006755B7"/>
    <w:rsid w:val="006756A9"/>
    <w:rsid w:val="00677B8D"/>
    <w:rsid w:val="006812F9"/>
    <w:rsid w:val="006818A1"/>
    <w:rsid w:val="00682229"/>
    <w:rsid w:val="00683740"/>
    <w:rsid w:val="00683788"/>
    <w:rsid w:val="0068521C"/>
    <w:rsid w:val="00685342"/>
    <w:rsid w:val="00685A02"/>
    <w:rsid w:val="00687857"/>
    <w:rsid w:val="0068789B"/>
    <w:rsid w:val="0069013A"/>
    <w:rsid w:val="00691536"/>
    <w:rsid w:val="00692BAA"/>
    <w:rsid w:val="00694A1C"/>
    <w:rsid w:val="00696709"/>
    <w:rsid w:val="00696CB1"/>
    <w:rsid w:val="00697235"/>
    <w:rsid w:val="006A06E6"/>
    <w:rsid w:val="006A06F0"/>
    <w:rsid w:val="006A2CB7"/>
    <w:rsid w:val="006A435C"/>
    <w:rsid w:val="006A4809"/>
    <w:rsid w:val="006A4BA0"/>
    <w:rsid w:val="006A4C3C"/>
    <w:rsid w:val="006A4CAB"/>
    <w:rsid w:val="006A741A"/>
    <w:rsid w:val="006A7E24"/>
    <w:rsid w:val="006B1625"/>
    <w:rsid w:val="006B24F9"/>
    <w:rsid w:val="006B3716"/>
    <w:rsid w:val="006B51F7"/>
    <w:rsid w:val="006B5F3C"/>
    <w:rsid w:val="006B6766"/>
    <w:rsid w:val="006B757B"/>
    <w:rsid w:val="006C0654"/>
    <w:rsid w:val="006C18CA"/>
    <w:rsid w:val="006C1939"/>
    <w:rsid w:val="006C27E2"/>
    <w:rsid w:val="006C4F36"/>
    <w:rsid w:val="006C59DE"/>
    <w:rsid w:val="006C5D90"/>
    <w:rsid w:val="006C67BA"/>
    <w:rsid w:val="006C6DD8"/>
    <w:rsid w:val="006C7A4C"/>
    <w:rsid w:val="006D39D6"/>
    <w:rsid w:val="006D3B5C"/>
    <w:rsid w:val="006D4CCE"/>
    <w:rsid w:val="006D4CDA"/>
    <w:rsid w:val="006D62B4"/>
    <w:rsid w:val="006D6510"/>
    <w:rsid w:val="006E2B98"/>
    <w:rsid w:val="006E2E71"/>
    <w:rsid w:val="006E4125"/>
    <w:rsid w:val="006E4A97"/>
    <w:rsid w:val="006E601F"/>
    <w:rsid w:val="006E6038"/>
    <w:rsid w:val="006E654A"/>
    <w:rsid w:val="006E744A"/>
    <w:rsid w:val="006E781C"/>
    <w:rsid w:val="006F2223"/>
    <w:rsid w:val="006F3068"/>
    <w:rsid w:val="006F354D"/>
    <w:rsid w:val="006F478F"/>
    <w:rsid w:val="006F5423"/>
    <w:rsid w:val="006F613F"/>
    <w:rsid w:val="006F6AD3"/>
    <w:rsid w:val="007005C0"/>
    <w:rsid w:val="00700B5A"/>
    <w:rsid w:val="007011BF"/>
    <w:rsid w:val="00701E4B"/>
    <w:rsid w:val="00702E7F"/>
    <w:rsid w:val="007039B7"/>
    <w:rsid w:val="00704E83"/>
    <w:rsid w:val="007050F6"/>
    <w:rsid w:val="00705497"/>
    <w:rsid w:val="0070628A"/>
    <w:rsid w:val="0071136F"/>
    <w:rsid w:val="00711F51"/>
    <w:rsid w:val="007121EF"/>
    <w:rsid w:val="007129D1"/>
    <w:rsid w:val="00712C57"/>
    <w:rsid w:val="007135B4"/>
    <w:rsid w:val="00713899"/>
    <w:rsid w:val="00713ADF"/>
    <w:rsid w:val="0071468D"/>
    <w:rsid w:val="007149BD"/>
    <w:rsid w:val="00716AD6"/>
    <w:rsid w:val="007207CA"/>
    <w:rsid w:val="00721AC7"/>
    <w:rsid w:val="00722577"/>
    <w:rsid w:val="007232CE"/>
    <w:rsid w:val="00723B1F"/>
    <w:rsid w:val="00725032"/>
    <w:rsid w:val="0072569A"/>
    <w:rsid w:val="00725DBF"/>
    <w:rsid w:val="0072649C"/>
    <w:rsid w:val="00726B27"/>
    <w:rsid w:val="00726C8C"/>
    <w:rsid w:val="00726F1C"/>
    <w:rsid w:val="0072717A"/>
    <w:rsid w:val="00730073"/>
    <w:rsid w:val="00730D29"/>
    <w:rsid w:val="00731C08"/>
    <w:rsid w:val="00731FCA"/>
    <w:rsid w:val="00733F7D"/>
    <w:rsid w:val="007347F7"/>
    <w:rsid w:val="0073580A"/>
    <w:rsid w:val="00735826"/>
    <w:rsid w:val="00740317"/>
    <w:rsid w:val="00740590"/>
    <w:rsid w:val="007419D3"/>
    <w:rsid w:val="00742F20"/>
    <w:rsid w:val="00743473"/>
    <w:rsid w:val="007471E7"/>
    <w:rsid w:val="0074790B"/>
    <w:rsid w:val="007528BF"/>
    <w:rsid w:val="00753392"/>
    <w:rsid w:val="00753D63"/>
    <w:rsid w:val="007545F7"/>
    <w:rsid w:val="007553B3"/>
    <w:rsid w:val="00756251"/>
    <w:rsid w:val="00760187"/>
    <w:rsid w:val="00760375"/>
    <w:rsid w:val="00761FD5"/>
    <w:rsid w:val="007623AD"/>
    <w:rsid w:val="00762984"/>
    <w:rsid w:val="00763134"/>
    <w:rsid w:val="00763A8B"/>
    <w:rsid w:val="007649A3"/>
    <w:rsid w:val="00766A1C"/>
    <w:rsid w:val="00770293"/>
    <w:rsid w:val="007705CA"/>
    <w:rsid w:val="00771204"/>
    <w:rsid w:val="00771536"/>
    <w:rsid w:val="007733E4"/>
    <w:rsid w:val="007765DE"/>
    <w:rsid w:val="00776CDE"/>
    <w:rsid w:val="00780694"/>
    <w:rsid w:val="007807B7"/>
    <w:rsid w:val="00784F19"/>
    <w:rsid w:val="00786FD9"/>
    <w:rsid w:val="0079165E"/>
    <w:rsid w:val="0079383A"/>
    <w:rsid w:val="0079456E"/>
    <w:rsid w:val="007945FD"/>
    <w:rsid w:val="00796A99"/>
    <w:rsid w:val="00796AB5"/>
    <w:rsid w:val="00796C45"/>
    <w:rsid w:val="00796D56"/>
    <w:rsid w:val="00797E3A"/>
    <w:rsid w:val="007A0350"/>
    <w:rsid w:val="007A0C83"/>
    <w:rsid w:val="007A150B"/>
    <w:rsid w:val="007A306A"/>
    <w:rsid w:val="007A3F69"/>
    <w:rsid w:val="007A5A2C"/>
    <w:rsid w:val="007A7223"/>
    <w:rsid w:val="007B0223"/>
    <w:rsid w:val="007B2780"/>
    <w:rsid w:val="007B2C14"/>
    <w:rsid w:val="007B3A38"/>
    <w:rsid w:val="007B46A9"/>
    <w:rsid w:val="007B51BB"/>
    <w:rsid w:val="007B5F56"/>
    <w:rsid w:val="007B63DE"/>
    <w:rsid w:val="007B755E"/>
    <w:rsid w:val="007C0BCD"/>
    <w:rsid w:val="007C0BF2"/>
    <w:rsid w:val="007C0F29"/>
    <w:rsid w:val="007C212D"/>
    <w:rsid w:val="007C5779"/>
    <w:rsid w:val="007C679F"/>
    <w:rsid w:val="007D03C6"/>
    <w:rsid w:val="007D5707"/>
    <w:rsid w:val="007D5729"/>
    <w:rsid w:val="007D5D45"/>
    <w:rsid w:val="007D5F5D"/>
    <w:rsid w:val="007D6043"/>
    <w:rsid w:val="007D6D6E"/>
    <w:rsid w:val="007D73AD"/>
    <w:rsid w:val="007D7624"/>
    <w:rsid w:val="007D76B3"/>
    <w:rsid w:val="007E10B6"/>
    <w:rsid w:val="007E1499"/>
    <w:rsid w:val="007E15B0"/>
    <w:rsid w:val="007E27D4"/>
    <w:rsid w:val="007E2E2D"/>
    <w:rsid w:val="007E43BD"/>
    <w:rsid w:val="007E6275"/>
    <w:rsid w:val="007E7F97"/>
    <w:rsid w:val="007F06E3"/>
    <w:rsid w:val="007F0E19"/>
    <w:rsid w:val="007F21CB"/>
    <w:rsid w:val="007F35C4"/>
    <w:rsid w:val="007F44CF"/>
    <w:rsid w:val="007F5A51"/>
    <w:rsid w:val="007F5C76"/>
    <w:rsid w:val="007F6E99"/>
    <w:rsid w:val="007F6F3F"/>
    <w:rsid w:val="007F6FA4"/>
    <w:rsid w:val="00800E39"/>
    <w:rsid w:val="00801A86"/>
    <w:rsid w:val="00801AA0"/>
    <w:rsid w:val="00802095"/>
    <w:rsid w:val="008030F5"/>
    <w:rsid w:val="008037CC"/>
    <w:rsid w:val="0080724E"/>
    <w:rsid w:val="00811A0A"/>
    <w:rsid w:val="00813496"/>
    <w:rsid w:val="008139E6"/>
    <w:rsid w:val="0081568A"/>
    <w:rsid w:val="00816843"/>
    <w:rsid w:val="00820E4F"/>
    <w:rsid w:val="00821DD6"/>
    <w:rsid w:val="00822DF3"/>
    <w:rsid w:val="008231F4"/>
    <w:rsid w:val="0082340E"/>
    <w:rsid w:val="008236B7"/>
    <w:rsid w:val="00824007"/>
    <w:rsid w:val="0082420B"/>
    <w:rsid w:val="008246FD"/>
    <w:rsid w:val="008259B5"/>
    <w:rsid w:val="00826C58"/>
    <w:rsid w:val="0082712B"/>
    <w:rsid w:val="008274DD"/>
    <w:rsid w:val="008278BB"/>
    <w:rsid w:val="00827B22"/>
    <w:rsid w:val="008328E3"/>
    <w:rsid w:val="00832D73"/>
    <w:rsid w:val="008336C6"/>
    <w:rsid w:val="00833C90"/>
    <w:rsid w:val="00834818"/>
    <w:rsid w:val="008377A2"/>
    <w:rsid w:val="00840175"/>
    <w:rsid w:val="00840422"/>
    <w:rsid w:val="00840C6D"/>
    <w:rsid w:val="00841251"/>
    <w:rsid w:val="0084134E"/>
    <w:rsid w:val="00841AB4"/>
    <w:rsid w:val="00841AC3"/>
    <w:rsid w:val="00841D18"/>
    <w:rsid w:val="00842213"/>
    <w:rsid w:val="00843487"/>
    <w:rsid w:val="008454F3"/>
    <w:rsid w:val="0084597F"/>
    <w:rsid w:val="0084622E"/>
    <w:rsid w:val="008517C9"/>
    <w:rsid w:val="00852401"/>
    <w:rsid w:val="00852D34"/>
    <w:rsid w:val="008532FE"/>
    <w:rsid w:val="00853D88"/>
    <w:rsid w:val="0085487D"/>
    <w:rsid w:val="0085696B"/>
    <w:rsid w:val="00856AEB"/>
    <w:rsid w:val="008576E9"/>
    <w:rsid w:val="008578C1"/>
    <w:rsid w:val="00857C1D"/>
    <w:rsid w:val="008601B8"/>
    <w:rsid w:val="0086044D"/>
    <w:rsid w:val="008613B5"/>
    <w:rsid w:val="008614F8"/>
    <w:rsid w:val="008617DA"/>
    <w:rsid w:val="00861B35"/>
    <w:rsid w:val="00862433"/>
    <w:rsid w:val="008637D3"/>
    <w:rsid w:val="008640C5"/>
    <w:rsid w:val="008644F8"/>
    <w:rsid w:val="00867C44"/>
    <w:rsid w:val="00872655"/>
    <w:rsid w:val="00872F96"/>
    <w:rsid w:val="00874139"/>
    <w:rsid w:val="008751D9"/>
    <w:rsid w:val="0087598A"/>
    <w:rsid w:val="00877595"/>
    <w:rsid w:val="00880FC3"/>
    <w:rsid w:val="008815AF"/>
    <w:rsid w:val="008823D6"/>
    <w:rsid w:val="008840B3"/>
    <w:rsid w:val="008854FC"/>
    <w:rsid w:val="008858D6"/>
    <w:rsid w:val="008869DB"/>
    <w:rsid w:val="0088746F"/>
    <w:rsid w:val="0089105C"/>
    <w:rsid w:val="00891433"/>
    <w:rsid w:val="00892250"/>
    <w:rsid w:val="0089260F"/>
    <w:rsid w:val="008929BB"/>
    <w:rsid w:val="00893543"/>
    <w:rsid w:val="00894B79"/>
    <w:rsid w:val="00895A83"/>
    <w:rsid w:val="00896098"/>
    <w:rsid w:val="008972F9"/>
    <w:rsid w:val="008977F6"/>
    <w:rsid w:val="008A0ECD"/>
    <w:rsid w:val="008A1233"/>
    <w:rsid w:val="008A1F50"/>
    <w:rsid w:val="008A2EE2"/>
    <w:rsid w:val="008A3258"/>
    <w:rsid w:val="008A6BA4"/>
    <w:rsid w:val="008A7EEC"/>
    <w:rsid w:val="008B1530"/>
    <w:rsid w:val="008B1ABC"/>
    <w:rsid w:val="008B1DEC"/>
    <w:rsid w:val="008B1E95"/>
    <w:rsid w:val="008B23B9"/>
    <w:rsid w:val="008B42A3"/>
    <w:rsid w:val="008B565E"/>
    <w:rsid w:val="008B5906"/>
    <w:rsid w:val="008C06B8"/>
    <w:rsid w:val="008C13EF"/>
    <w:rsid w:val="008C24A5"/>
    <w:rsid w:val="008C2BD1"/>
    <w:rsid w:val="008C2D81"/>
    <w:rsid w:val="008C323F"/>
    <w:rsid w:val="008C355A"/>
    <w:rsid w:val="008C49AB"/>
    <w:rsid w:val="008C64A6"/>
    <w:rsid w:val="008C6698"/>
    <w:rsid w:val="008C6F35"/>
    <w:rsid w:val="008D07FF"/>
    <w:rsid w:val="008D1AAB"/>
    <w:rsid w:val="008D20A3"/>
    <w:rsid w:val="008D20C4"/>
    <w:rsid w:val="008D2267"/>
    <w:rsid w:val="008D29B8"/>
    <w:rsid w:val="008D4748"/>
    <w:rsid w:val="008D4854"/>
    <w:rsid w:val="008D521C"/>
    <w:rsid w:val="008D528C"/>
    <w:rsid w:val="008D578E"/>
    <w:rsid w:val="008D60CE"/>
    <w:rsid w:val="008D64B1"/>
    <w:rsid w:val="008D64DE"/>
    <w:rsid w:val="008D68C7"/>
    <w:rsid w:val="008D790F"/>
    <w:rsid w:val="008E079D"/>
    <w:rsid w:val="008E1A88"/>
    <w:rsid w:val="008E7EBA"/>
    <w:rsid w:val="008F0340"/>
    <w:rsid w:val="008F08A3"/>
    <w:rsid w:val="008F0E3D"/>
    <w:rsid w:val="008F11C5"/>
    <w:rsid w:val="008F14A0"/>
    <w:rsid w:val="008F3713"/>
    <w:rsid w:val="008F4D3E"/>
    <w:rsid w:val="008F5DA4"/>
    <w:rsid w:val="008F7CA8"/>
    <w:rsid w:val="00901A6B"/>
    <w:rsid w:val="00902D8C"/>
    <w:rsid w:val="00903321"/>
    <w:rsid w:val="0090376A"/>
    <w:rsid w:val="00903A9C"/>
    <w:rsid w:val="009048A8"/>
    <w:rsid w:val="00912486"/>
    <w:rsid w:val="00913B96"/>
    <w:rsid w:val="009141A0"/>
    <w:rsid w:val="009158AC"/>
    <w:rsid w:val="00916159"/>
    <w:rsid w:val="00916226"/>
    <w:rsid w:val="00917AEB"/>
    <w:rsid w:val="009219DA"/>
    <w:rsid w:val="00921C92"/>
    <w:rsid w:val="00922C7C"/>
    <w:rsid w:val="00923FCF"/>
    <w:rsid w:val="00923FDE"/>
    <w:rsid w:val="009256B6"/>
    <w:rsid w:val="00926A11"/>
    <w:rsid w:val="0093378F"/>
    <w:rsid w:val="0093390F"/>
    <w:rsid w:val="009339B3"/>
    <w:rsid w:val="00936AD0"/>
    <w:rsid w:val="00937123"/>
    <w:rsid w:val="00937553"/>
    <w:rsid w:val="0093755C"/>
    <w:rsid w:val="00937A3F"/>
    <w:rsid w:val="009404A2"/>
    <w:rsid w:val="00941388"/>
    <w:rsid w:val="009421C6"/>
    <w:rsid w:val="009426E9"/>
    <w:rsid w:val="00943114"/>
    <w:rsid w:val="009441B1"/>
    <w:rsid w:val="00944D5F"/>
    <w:rsid w:val="00945500"/>
    <w:rsid w:val="009460F1"/>
    <w:rsid w:val="00946247"/>
    <w:rsid w:val="00950B30"/>
    <w:rsid w:val="009510C4"/>
    <w:rsid w:val="00951189"/>
    <w:rsid w:val="00955B3E"/>
    <w:rsid w:val="00956449"/>
    <w:rsid w:val="009568DB"/>
    <w:rsid w:val="0095743D"/>
    <w:rsid w:val="00957826"/>
    <w:rsid w:val="00960C61"/>
    <w:rsid w:val="0096117B"/>
    <w:rsid w:val="00961B76"/>
    <w:rsid w:val="00961DE9"/>
    <w:rsid w:val="00962B6A"/>
    <w:rsid w:val="00963136"/>
    <w:rsid w:val="00963293"/>
    <w:rsid w:val="00963B1A"/>
    <w:rsid w:val="00966714"/>
    <w:rsid w:val="0096732A"/>
    <w:rsid w:val="00967791"/>
    <w:rsid w:val="00971505"/>
    <w:rsid w:val="00972308"/>
    <w:rsid w:val="00972842"/>
    <w:rsid w:val="00972D4C"/>
    <w:rsid w:val="00974114"/>
    <w:rsid w:val="00974A20"/>
    <w:rsid w:val="009766C9"/>
    <w:rsid w:val="00976B0F"/>
    <w:rsid w:val="009779E1"/>
    <w:rsid w:val="00981E7E"/>
    <w:rsid w:val="00982471"/>
    <w:rsid w:val="009826F4"/>
    <w:rsid w:val="0098366E"/>
    <w:rsid w:val="00984420"/>
    <w:rsid w:val="0098574C"/>
    <w:rsid w:val="0099606A"/>
    <w:rsid w:val="00997B77"/>
    <w:rsid w:val="009A1718"/>
    <w:rsid w:val="009A18A8"/>
    <w:rsid w:val="009A21B9"/>
    <w:rsid w:val="009A23F0"/>
    <w:rsid w:val="009A35D7"/>
    <w:rsid w:val="009A553E"/>
    <w:rsid w:val="009A7211"/>
    <w:rsid w:val="009A7F84"/>
    <w:rsid w:val="009B021C"/>
    <w:rsid w:val="009B1422"/>
    <w:rsid w:val="009B393D"/>
    <w:rsid w:val="009B4167"/>
    <w:rsid w:val="009B45B2"/>
    <w:rsid w:val="009B4E67"/>
    <w:rsid w:val="009B4F0E"/>
    <w:rsid w:val="009B51BF"/>
    <w:rsid w:val="009B521B"/>
    <w:rsid w:val="009C0E24"/>
    <w:rsid w:val="009C1015"/>
    <w:rsid w:val="009C1FDF"/>
    <w:rsid w:val="009C2218"/>
    <w:rsid w:val="009C4EBD"/>
    <w:rsid w:val="009C6AF4"/>
    <w:rsid w:val="009C6BDB"/>
    <w:rsid w:val="009D077A"/>
    <w:rsid w:val="009D0927"/>
    <w:rsid w:val="009D15F1"/>
    <w:rsid w:val="009D3918"/>
    <w:rsid w:val="009D4C81"/>
    <w:rsid w:val="009D5CA2"/>
    <w:rsid w:val="009D5E94"/>
    <w:rsid w:val="009D635C"/>
    <w:rsid w:val="009D7188"/>
    <w:rsid w:val="009E1A72"/>
    <w:rsid w:val="009E3F89"/>
    <w:rsid w:val="009E6609"/>
    <w:rsid w:val="009E6E4B"/>
    <w:rsid w:val="009F10F3"/>
    <w:rsid w:val="009F272B"/>
    <w:rsid w:val="009F431A"/>
    <w:rsid w:val="009F5783"/>
    <w:rsid w:val="009F6DB6"/>
    <w:rsid w:val="00A00F60"/>
    <w:rsid w:val="00A0180F"/>
    <w:rsid w:val="00A02AE5"/>
    <w:rsid w:val="00A02B9B"/>
    <w:rsid w:val="00A0309B"/>
    <w:rsid w:val="00A03922"/>
    <w:rsid w:val="00A04792"/>
    <w:rsid w:val="00A060C8"/>
    <w:rsid w:val="00A06A64"/>
    <w:rsid w:val="00A1007C"/>
    <w:rsid w:val="00A11CFD"/>
    <w:rsid w:val="00A12BDF"/>
    <w:rsid w:val="00A13115"/>
    <w:rsid w:val="00A13897"/>
    <w:rsid w:val="00A14850"/>
    <w:rsid w:val="00A159BC"/>
    <w:rsid w:val="00A16F9B"/>
    <w:rsid w:val="00A17907"/>
    <w:rsid w:val="00A20104"/>
    <w:rsid w:val="00A213CA"/>
    <w:rsid w:val="00A21480"/>
    <w:rsid w:val="00A233DE"/>
    <w:rsid w:val="00A2382A"/>
    <w:rsid w:val="00A25D33"/>
    <w:rsid w:val="00A26049"/>
    <w:rsid w:val="00A279A8"/>
    <w:rsid w:val="00A30B4D"/>
    <w:rsid w:val="00A3182D"/>
    <w:rsid w:val="00A32CC1"/>
    <w:rsid w:val="00A34E69"/>
    <w:rsid w:val="00A358B6"/>
    <w:rsid w:val="00A3620A"/>
    <w:rsid w:val="00A378BA"/>
    <w:rsid w:val="00A41D84"/>
    <w:rsid w:val="00A42336"/>
    <w:rsid w:val="00A426E2"/>
    <w:rsid w:val="00A42705"/>
    <w:rsid w:val="00A4296E"/>
    <w:rsid w:val="00A451C1"/>
    <w:rsid w:val="00A45C98"/>
    <w:rsid w:val="00A46079"/>
    <w:rsid w:val="00A47927"/>
    <w:rsid w:val="00A47A08"/>
    <w:rsid w:val="00A51BDE"/>
    <w:rsid w:val="00A51DEA"/>
    <w:rsid w:val="00A52254"/>
    <w:rsid w:val="00A53A11"/>
    <w:rsid w:val="00A54905"/>
    <w:rsid w:val="00A55A47"/>
    <w:rsid w:val="00A6042F"/>
    <w:rsid w:val="00A631D7"/>
    <w:rsid w:val="00A6430A"/>
    <w:rsid w:val="00A6699B"/>
    <w:rsid w:val="00A6788F"/>
    <w:rsid w:val="00A704D0"/>
    <w:rsid w:val="00A70ECC"/>
    <w:rsid w:val="00A71898"/>
    <w:rsid w:val="00A73C8C"/>
    <w:rsid w:val="00A742BA"/>
    <w:rsid w:val="00A76BC7"/>
    <w:rsid w:val="00A77D08"/>
    <w:rsid w:val="00A801B5"/>
    <w:rsid w:val="00A80600"/>
    <w:rsid w:val="00A8183C"/>
    <w:rsid w:val="00A825D2"/>
    <w:rsid w:val="00A831D9"/>
    <w:rsid w:val="00A83812"/>
    <w:rsid w:val="00A83F5F"/>
    <w:rsid w:val="00A853C2"/>
    <w:rsid w:val="00A869A8"/>
    <w:rsid w:val="00A87AB2"/>
    <w:rsid w:val="00A90011"/>
    <w:rsid w:val="00A90567"/>
    <w:rsid w:val="00A90B10"/>
    <w:rsid w:val="00A924E7"/>
    <w:rsid w:val="00A94DE5"/>
    <w:rsid w:val="00A9549B"/>
    <w:rsid w:val="00A95BC5"/>
    <w:rsid w:val="00A96F55"/>
    <w:rsid w:val="00A97332"/>
    <w:rsid w:val="00A978EF"/>
    <w:rsid w:val="00AA02F1"/>
    <w:rsid w:val="00AA1191"/>
    <w:rsid w:val="00AA21F0"/>
    <w:rsid w:val="00AA2F7E"/>
    <w:rsid w:val="00AA3B46"/>
    <w:rsid w:val="00AA465F"/>
    <w:rsid w:val="00AA46DB"/>
    <w:rsid w:val="00AA5AB7"/>
    <w:rsid w:val="00AA6293"/>
    <w:rsid w:val="00AA707B"/>
    <w:rsid w:val="00AA7BFD"/>
    <w:rsid w:val="00AB0382"/>
    <w:rsid w:val="00AB06B9"/>
    <w:rsid w:val="00AB159F"/>
    <w:rsid w:val="00AB35ED"/>
    <w:rsid w:val="00AB47F4"/>
    <w:rsid w:val="00AB632B"/>
    <w:rsid w:val="00AC283C"/>
    <w:rsid w:val="00AC292E"/>
    <w:rsid w:val="00AC43C8"/>
    <w:rsid w:val="00AD2F07"/>
    <w:rsid w:val="00AD3E85"/>
    <w:rsid w:val="00AD42AF"/>
    <w:rsid w:val="00AD48D1"/>
    <w:rsid w:val="00AD4BD5"/>
    <w:rsid w:val="00AD613E"/>
    <w:rsid w:val="00AE088F"/>
    <w:rsid w:val="00AE0A0C"/>
    <w:rsid w:val="00AE0C2B"/>
    <w:rsid w:val="00AE1616"/>
    <w:rsid w:val="00AE28FC"/>
    <w:rsid w:val="00AE2A8C"/>
    <w:rsid w:val="00AE3FE5"/>
    <w:rsid w:val="00AE674D"/>
    <w:rsid w:val="00AE6F77"/>
    <w:rsid w:val="00AF093D"/>
    <w:rsid w:val="00AF1F20"/>
    <w:rsid w:val="00AF2935"/>
    <w:rsid w:val="00AF2F26"/>
    <w:rsid w:val="00AF34FB"/>
    <w:rsid w:val="00AF45D9"/>
    <w:rsid w:val="00AF5715"/>
    <w:rsid w:val="00AF5969"/>
    <w:rsid w:val="00AF59E2"/>
    <w:rsid w:val="00AF6E88"/>
    <w:rsid w:val="00B0118F"/>
    <w:rsid w:val="00B02E4C"/>
    <w:rsid w:val="00B0308F"/>
    <w:rsid w:val="00B0382F"/>
    <w:rsid w:val="00B04EBC"/>
    <w:rsid w:val="00B05F12"/>
    <w:rsid w:val="00B067AB"/>
    <w:rsid w:val="00B07B18"/>
    <w:rsid w:val="00B10A07"/>
    <w:rsid w:val="00B151EA"/>
    <w:rsid w:val="00B15FE7"/>
    <w:rsid w:val="00B170F3"/>
    <w:rsid w:val="00B20F67"/>
    <w:rsid w:val="00B23B53"/>
    <w:rsid w:val="00B2617E"/>
    <w:rsid w:val="00B263AB"/>
    <w:rsid w:val="00B268D8"/>
    <w:rsid w:val="00B2702F"/>
    <w:rsid w:val="00B3090D"/>
    <w:rsid w:val="00B311CA"/>
    <w:rsid w:val="00B32C1C"/>
    <w:rsid w:val="00B33D10"/>
    <w:rsid w:val="00B343D4"/>
    <w:rsid w:val="00B34D81"/>
    <w:rsid w:val="00B351E7"/>
    <w:rsid w:val="00B3724C"/>
    <w:rsid w:val="00B37FEF"/>
    <w:rsid w:val="00B40358"/>
    <w:rsid w:val="00B41C9E"/>
    <w:rsid w:val="00B42136"/>
    <w:rsid w:val="00B425AA"/>
    <w:rsid w:val="00B44B9E"/>
    <w:rsid w:val="00B46237"/>
    <w:rsid w:val="00B46C29"/>
    <w:rsid w:val="00B47721"/>
    <w:rsid w:val="00B50BC9"/>
    <w:rsid w:val="00B519BF"/>
    <w:rsid w:val="00B520FA"/>
    <w:rsid w:val="00B52256"/>
    <w:rsid w:val="00B53BF5"/>
    <w:rsid w:val="00B53EFB"/>
    <w:rsid w:val="00B540D8"/>
    <w:rsid w:val="00B541BC"/>
    <w:rsid w:val="00B55C60"/>
    <w:rsid w:val="00B56388"/>
    <w:rsid w:val="00B57405"/>
    <w:rsid w:val="00B600C0"/>
    <w:rsid w:val="00B60717"/>
    <w:rsid w:val="00B60F6B"/>
    <w:rsid w:val="00B61A95"/>
    <w:rsid w:val="00B62DA1"/>
    <w:rsid w:val="00B639C4"/>
    <w:rsid w:val="00B63D70"/>
    <w:rsid w:val="00B674DE"/>
    <w:rsid w:val="00B678E5"/>
    <w:rsid w:val="00B700BF"/>
    <w:rsid w:val="00B70902"/>
    <w:rsid w:val="00B716C7"/>
    <w:rsid w:val="00B72205"/>
    <w:rsid w:val="00B72625"/>
    <w:rsid w:val="00B7271F"/>
    <w:rsid w:val="00B72ED9"/>
    <w:rsid w:val="00B7522D"/>
    <w:rsid w:val="00B7569E"/>
    <w:rsid w:val="00B76DE9"/>
    <w:rsid w:val="00B77014"/>
    <w:rsid w:val="00B770F3"/>
    <w:rsid w:val="00B7734B"/>
    <w:rsid w:val="00B82AB9"/>
    <w:rsid w:val="00B85201"/>
    <w:rsid w:val="00B8565E"/>
    <w:rsid w:val="00B8587D"/>
    <w:rsid w:val="00B87A77"/>
    <w:rsid w:val="00B91C39"/>
    <w:rsid w:val="00B9345A"/>
    <w:rsid w:val="00B957EC"/>
    <w:rsid w:val="00B961D6"/>
    <w:rsid w:val="00B964DF"/>
    <w:rsid w:val="00B97C41"/>
    <w:rsid w:val="00BA01FC"/>
    <w:rsid w:val="00BA0C0F"/>
    <w:rsid w:val="00BA11AB"/>
    <w:rsid w:val="00BA1389"/>
    <w:rsid w:val="00BA32C5"/>
    <w:rsid w:val="00BA4843"/>
    <w:rsid w:val="00BA4C76"/>
    <w:rsid w:val="00BA50C9"/>
    <w:rsid w:val="00BA57D5"/>
    <w:rsid w:val="00BA713A"/>
    <w:rsid w:val="00BA740D"/>
    <w:rsid w:val="00BB04F2"/>
    <w:rsid w:val="00BB0B4D"/>
    <w:rsid w:val="00BB1541"/>
    <w:rsid w:val="00BB16E3"/>
    <w:rsid w:val="00BB17F8"/>
    <w:rsid w:val="00BB1A6A"/>
    <w:rsid w:val="00BB4A70"/>
    <w:rsid w:val="00BB59DC"/>
    <w:rsid w:val="00BB6BAA"/>
    <w:rsid w:val="00BB706B"/>
    <w:rsid w:val="00BC0E56"/>
    <w:rsid w:val="00BC267E"/>
    <w:rsid w:val="00BC5BB1"/>
    <w:rsid w:val="00BC5C74"/>
    <w:rsid w:val="00BC61A2"/>
    <w:rsid w:val="00BC61B5"/>
    <w:rsid w:val="00BC6CA1"/>
    <w:rsid w:val="00BC73FC"/>
    <w:rsid w:val="00BC7426"/>
    <w:rsid w:val="00BD0694"/>
    <w:rsid w:val="00BD0D3C"/>
    <w:rsid w:val="00BD0FF7"/>
    <w:rsid w:val="00BD18C5"/>
    <w:rsid w:val="00BD3FFB"/>
    <w:rsid w:val="00BD457C"/>
    <w:rsid w:val="00BD5DDA"/>
    <w:rsid w:val="00BD6426"/>
    <w:rsid w:val="00BD7375"/>
    <w:rsid w:val="00BD7DC2"/>
    <w:rsid w:val="00BE0F96"/>
    <w:rsid w:val="00BE11E8"/>
    <w:rsid w:val="00BE22AE"/>
    <w:rsid w:val="00BE4009"/>
    <w:rsid w:val="00BE68E5"/>
    <w:rsid w:val="00BE6E9F"/>
    <w:rsid w:val="00BF025A"/>
    <w:rsid w:val="00BF093E"/>
    <w:rsid w:val="00BF1CF6"/>
    <w:rsid w:val="00BF1DAF"/>
    <w:rsid w:val="00BF2BF2"/>
    <w:rsid w:val="00BF32CE"/>
    <w:rsid w:val="00BF36E0"/>
    <w:rsid w:val="00BF3A08"/>
    <w:rsid w:val="00BF49DD"/>
    <w:rsid w:val="00BF4C83"/>
    <w:rsid w:val="00BF4C89"/>
    <w:rsid w:val="00BF64E6"/>
    <w:rsid w:val="00BF6DA0"/>
    <w:rsid w:val="00BF7ADB"/>
    <w:rsid w:val="00C012F1"/>
    <w:rsid w:val="00C018AC"/>
    <w:rsid w:val="00C03B22"/>
    <w:rsid w:val="00C046E1"/>
    <w:rsid w:val="00C04C86"/>
    <w:rsid w:val="00C052E0"/>
    <w:rsid w:val="00C056E2"/>
    <w:rsid w:val="00C0653D"/>
    <w:rsid w:val="00C07857"/>
    <w:rsid w:val="00C07AF9"/>
    <w:rsid w:val="00C07E53"/>
    <w:rsid w:val="00C105F4"/>
    <w:rsid w:val="00C10E19"/>
    <w:rsid w:val="00C111A5"/>
    <w:rsid w:val="00C121EE"/>
    <w:rsid w:val="00C1246C"/>
    <w:rsid w:val="00C12B60"/>
    <w:rsid w:val="00C12FF2"/>
    <w:rsid w:val="00C13412"/>
    <w:rsid w:val="00C13F46"/>
    <w:rsid w:val="00C14720"/>
    <w:rsid w:val="00C1484D"/>
    <w:rsid w:val="00C15C55"/>
    <w:rsid w:val="00C163BD"/>
    <w:rsid w:val="00C17590"/>
    <w:rsid w:val="00C20518"/>
    <w:rsid w:val="00C20561"/>
    <w:rsid w:val="00C20AB8"/>
    <w:rsid w:val="00C20BD7"/>
    <w:rsid w:val="00C22970"/>
    <w:rsid w:val="00C250CC"/>
    <w:rsid w:val="00C25A6C"/>
    <w:rsid w:val="00C25BE4"/>
    <w:rsid w:val="00C25DDC"/>
    <w:rsid w:val="00C30B31"/>
    <w:rsid w:val="00C31903"/>
    <w:rsid w:val="00C31C0F"/>
    <w:rsid w:val="00C334FC"/>
    <w:rsid w:val="00C34948"/>
    <w:rsid w:val="00C358FA"/>
    <w:rsid w:val="00C3723B"/>
    <w:rsid w:val="00C37F46"/>
    <w:rsid w:val="00C400BF"/>
    <w:rsid w:val="00C41293"/>
    <w:rsid w:val="00C42053"/>
    <w:rsid w:val="00C42AC6"/>
    <w:rsid w:val="00C43E2C"/>
    <w:rsid w:val="00C4443F"/>
    <w:rsid w:val="00C44C62"/>
    <w:rsid w:val="00C46054"/>
    <w:rsid w:val="00C464E2"/>
    <w:rsid w:val="00C50DA0"/>
    <w:rsid w:val="00C5156E"/>
    <w:rsid w:val="00C51A36"/>
    <w:rsid w:val="00C52F2C"/>
    <w:rsid w:val="00C53027"/>
    <w:rsid w:val="00C538DD"/>
    <w:rsid w:val="00C53BBC"/>
    <w:rsid w:val="00C54CF0"/>
    <w:rsid w:val="00C5500B"/>
    <w:rsid w:val="00C56DE0"/>
    <w:rsid w:val="00C57EC2"/>
    <w:rsid w:val="00C57FFB"/>
    <w:rsid w:val="00C60198"/>
    <w:rsid w:val="00C6109A"/>
    <w:rsid w:val="00C61A70"/>
    <w:rsid w:val="00C61F10"/>
    <w:rsid w:val="00C622B2"/>
    <w:rsid w:val="00C62D9D"/>
    <w:rsid w:val="00C63706"/>
    <w:rsid w:val="00C65043"/>
    <w:rsid w:val="00C701E9"/>
    <w:rsid w:val="00C711F3"/>
    <w:rsid w:val="00C72584"/>
    <w:rsid w:val="00C72853"/>
    <w:rsid w:val="00C74D97"/>
    <w:rsid w:val="00C75EDC"/>
    <w:rsid w:val="00C75EFC"/>
    <w:rsid w:val="00C762FC"/>
    <w:rsid w:val="00C7730D"/>
    <w:rsid w:val="00C77D25"/>
    <w:rsid w:val="00C80067"/>
    <w:rsid w:val="00C80905"/>
    <w:rsid w:val="00C80DCF"/>
    <w:rsid w:val="00C816EE"/>
    <w:rsid w:val="00C82338"/>
    <w:rsid w:val="00C84CDB"/>
    <w:rsid w:val="00C85248"/>
    <w:rsid w:val="00C8537A"/>
    <w:rsid w:val="00C85864"/>
    <w:rsid w:val="00C85B89"/>
    <w:rsid w:val="00C8669F"/>
    <w:rsid w:val="00C8735A"/>
    <w:rsid w:val="00C87554"/>
    <w:rsid w:val="00C90519"/>
    <w:rsid w:val="00C9141D"/>
    <w:rsid w:val="00C9196C"/>
    <w:rsid w:val="00C91C25"/>
    <w:rsid w:val="00C923AE"/>
    <w:rsid w:val="00C92584"/>
    <w:rsid w:val="00C9297B"/>
    <w:rsid w:val="00C94597"/>
    <w:rsid w:val="00C95B49"/>
    <w:rsid w:val="00CA070E"/>
    <w:rsid w:val="00CA0E06"/>
    <w:rsid w:val="00CA12C3"/>
    <w:rsid w:val="00CA1E21"/>
    <w:rsid w:val="00CA1EE7"/>
    <w:rsid w:val="00CA3959"/>
    <w:rsid w:val="00CA3D03"/>
    <w:rsid w:val="00CA5B5C"/>
    <w:rsid w:val="00CA5E0E"/>
    <w:rsid w:val="00CA695B"/>
    <w:rsid w:val="00CA70BB"/>
    <w:rsid w:val="00CA7D99"/>
    <w:rsid w:val="00CB0F77"/>
    <w:rsid w:val="00CB10C1"/>
    <w:rsid w:val="00CB1CBF"/>
    <w:rsid w:val="00CB2B47"/>
    <w:rsid w:val="00CB35A2"/>
    <w:rsid w:val="00CB3ABE"/>
    <w:rsid w:val="00CB514C"/>
    <w:rsid w:val="00CB5F12"/>
    <w:rsid w:val="00CB65F3"/>
    <w:rsid w:val="00CC0A07"/>
    <w:rsid w:val="00CC1470"/>
    <w:rsid w:val="00CC1F05"/>
    <w:rsid w:val="00CC30EB"/>
    <w:rsid w:val="00CC33BA"/>
    <w:rsid w:val="00CC51BF"/>
    <w:rsid w:val="00CC60A2"/>
    <w:rsid w:val="00CC64A9"/>
    <w:rsid w:val="00CC75A0"/>
    <w:rsid w:val="00CD2290"/>
    <w:rsid w:val="00CD2F7C"/>
    <w:rsid w:val="00CD57C8"/>
    <w:rsid w:val="00CD62FE"/>
    <w:rsid w:val="00CD6528"/>
    <w:rsid w:val="00CD784E"/>
    <w:rsid w:val="00CE0751"/>
    <w:rsid w:val="00CE4229"/>
    <w:rsid w:val="00CE6AD1"/>
    <w:rsid w:val="00CE6DBC"/>
    <w:rsid w:val="00CE7760"/>
    <w:rsid w:val="00CF1C3B"/>
    <w:rsid w:val="00CF1C5E"/>
    <w:rsid w:val="00CF7159"/>
    <w:rsid w:val="00CF7296"/>
    <w:rsid w:val="00CF7E4B"/>
    <w:rsid w:val="00D001E4"/>
    <w:rsid w:val="00D00318"/>
    <w:rsid w:val="00D003D0"/>
    <w:rsid w:val="00D006D7"/>
    <w:rsid w:val="00D007C8"/>
    <w:rsid w:val="00D0106F"/>
    <w:rsid w:val="00D03C3C"/>
    <w:rsid w:val="00D04088"/>
    <w:rsid w:val="00D04A12"/>
    <w:rsid w:val="00D0570E"/>
    <w:rsid w:val="00D05C94"/>
    <w:rsid w:val="00D06EC1"/>
    <w:rsid w:val="00D1000A"/>
    <w:rsid w:val="00D100AB"/>
    <w:rsid w:val="00D1375E"/>
    <w:rsid w:val="00D14AAF"/>
    <w:rsid w:val="00D14ECD"/>
    <w:rsid w:val="00D1559A"/>
    <w:rsid w:val="00D1644F"/>
    <w:rsid w:val="00D16D4A"/>
    <w:rsid w:val="00D17057"/>
    <w:rsid w:val="00D17D23"/>
    <w:rsid w:val="00D17E69"/>
    <w:rsid w:val="00D20DB6"/>
    <w:rsid w:val="00D21ECD"/>
    <w:rsid w:val="00D22B7A"/>
    <w:rsid w:val="00D22FB0"/>
    <w:rsid w:val="00D23356"/>
    <w:rsid w:val="00D24F00"/>
    <w:rsid w:val="00D25004"/>
    <w:rsid w:val="00D26188"/>
    <w:rsid w:val="00D26836"/>
    <w:rsid w:val="00D26BAB"/>
    <w:rsid w:val="00D303D3"/>
    <w:rsid w:val="00D30587"/>
    <w:rsid w:val="00D31118"/>
    <w:rsid w:val="00D33E48"/>
    <w:rsid w:val="00D33F1C"/>
    <w:rsid w:val="00D33F67"/>
    <w:rsid w:val="00D3546A"/>
    <w:rsid w:val="00D36131"/>
    <w:rsid w:val="00D36D40"/>
    <w:rsid w:val="00D374CF"/>
    <w:rsid w:val="00D417DF"/>
    <w:rsid w:val="00D429A9"/>
    <w:rsid w:val="00D42C1E"/>
    <w:rsid w:val="00D44977"/>
    <w:rsid w:val="00D44992"/>
    <w:rsid w:val="00D44E04"/>
    <w:rsid w:val="00D4593B"/>
    <w:rsid w:val="00D50947"/>
    <w:rsid w:val="00D51088"/>
    <w:rsid w:val="00D52C4D"/>
    <w:rsid w:val="00D5315E"/>
    <w:rsid w:val="00D546B5"/>
    <w:rsid w:val="00D55C2C"/>
    <w:rsid w:val="00D5736A"/>
    <w:rsid w:val="00D57A39"/>
    <w:rsid w:val="00D57FBC"/>
    <w:rsid w:val="00D61BD4"/>
    <w:rsid w:val="00D620BB"/>
    <w:rsid w:val="00D6308C"/>
    <w:rsid w:val="00D635DB"/>
    <w:rsid w:val="00D65990"/>
    <w:rsid w:val="00D66016"/>
    <w:rsid w:val="00D6653E"/>
    <w:rsid w:val="00D70B28"/>
    <w:rsid w:val="00D71560"/>
    <w:rsid w:val="00D716AD"/>
    <w:rsid w:val="00D71998"/>
    <w:rsid w:val="00D725DF"/>
    <w:rsid w:val="00D72715"/>
    <w:rsid w:val="00D7450D"/>
    <w:rsid w:val="00D74AEA"/>
    <w:rsid w:val="00D74CE0"/>
    <w:rsid w:val="00D74F56"/>
    <w:rsid w:val="00D74F5D"/>
    <w:rsid w:val="00D75E4B"/>
    <w:rsid w:val="00D7664B"/>
    <w:rsid w:val="00D809E1"/>
    <w:rsid w:val="00D80B8D"/>
    <w:rsid w:val="00D841B3"/>
    <w:rsid w:val="00D85F73"/>
    <w:rsid w:val="00D86DA1"/>
    <w:rsid w:val="00D87000"/>
    <w:rsid w:val="00D87468"/>
    <w:rsid w:val="00D923EB"/>
    <w:rsid w:val="00D92F56"/>
    <w:rsid w:val="00D95319"/>
    <w:rsid w:val="00D967F0"/>
    <w:rsid w:val="00DA0392"/>
    <w:rsid w:val="00DA07E7"/>
    <w:rsid w:val="00DA0B5B"/>
    <w:rsid w:val="00DA1123"/>
    <w:rsid w:val="00DA1F18"/>
    <w:rsid w:val="00DA31FD"/>
    <w:rsid w:val="00DA51A0"/>
    <w:rsid w:val="00DA5D6F"/>
    <w:rsid w:val="00DA6859"/>
    <w:rsid w:val="00DA71CD"/>
    <w:rsid w:val="00DA7D6F"/>
    <w:rsid w:val="00DB1726"/>
    <w:rsid w:val="00DB3097"/>
    <w:rsid w:val="00DB3E9F"/>
    <w:rsid w:val="00DB3FC8"/>
    <w:rsid w:val="00DB47ED"/>
    <w:rsid w:val="00DB4E0E"/>
    <w:rsid w:val="00DB51D6"/>
    <w:rsid w:val="00DB70C8"/>
    <w:rsid w:val="00DC0337"/>
    <w:rsid w:val="00DC07DA"/>
    <w:rsid w:val="00DC1256"/>
    <w:rsid w:val="00DC13D3"/>
    <w:rsid w:val="00DC3BF1"/>
    <w:rsid w:val="00DC3F22"/>
    <w:rsid w:val="00DC402F"/>
    <w:rsid w:val="00DC5F17"/>
    <w:rsid w:val="00DC5F86"/>
    <w:rsid w:val="00DC6ED3"/>
    <w:rsid w:val="00DD0A74"/>
    <w:rsid w:val="00DD1398"/>
    <w:rsid w:val="00DD13D5"/>
    <w:rsid w:val="00DD1429"/>
    <w:rsid w:val="00DD3B0C"/>
    <w:rsid w:val="00DD3C29"/>
    <w:rsid w:val="00DD462B"/>
    <w:rsid w:val="00DE1382"/>
    <w:rsid w:val="00DE4648"/>
    <w:rsid w:val="00DE63A9"/>
    <w:rsid w:val="00DE7ACD"/>
    <w:rsid w:val="00DF0271"/>
    <w:rsid w:val="00DF1406"/>
    <w:rsid w:val="00DF1AB9"/>
    <w:rsid w:val="00DF2BEE"/>
    <w:rsid w:val="00DF2CF8"/>
    <w:rsid w:val="00DF2CFB"/>
    <w:rsid w:val="00DF34A5"/>
    <w:rsid w:val="00DF37D0"/>
    <w:rsid w:val="00DF5F92"/>
    <w:rsid w:val="00DF7640"/>
    <w:rsid w:val="00DF7AB3"/>
    <w:rsid w:val="00E015BF"/>
    <w:rsid w:val="00E02840"/>
    <w:rsid w:val="00E04139"/>
    <w:rsid w:val="00E046AB"/>
    <w:rsid w:val="00E04A4B"/>
    <w:rsid w:val="00E07C48"/>
    <w:rsid w:val="00E10403"/>
    <w:rsid w:val="00E11301"/>
    <w:rsid w:val="00E114CB"/>
    <w:rsid w:val="00E1206D"/>
    <w:rsid w:val="00E1213E"/>
    <w:rsid w:val="00E12CAF"/>
    <w:rsid w:val="00E130CF"/>
    <w:rsid w:val="00E17906"/>
    <w:rsid w:val="00E17C3C"/>
    <w:rsid w:val="00E20320"/>
    <w:rsid w:val="00E2062B"/>
    <w:rsid w:val="00E21F48"/>
    <w:rsid w:val="00E2306A"/>
    <w:rsid w:val="00E23134"/>
    <w:rsid w:val="00E243C7"/>
    <w:rsid w:val="00E2443D"/>
    <w:rsid w:val="00E245CA"/>
    <w:rsid w:val="00E264FE"/>
    <w:rsid w:val="00E27598"/>
    <w:rsid w:val="00E27B53"/>
    <w:rsid w:val="00E27ECB"/>
    <w:rsid w:val="00E30405"/>
    <w:rsid w:val="00E30462"/>
    <w:rsid w:val="00E308C6"/>
    <w:rsid w:val="00E3142C"/>
    <w:rsid w:val="00E326A6"/>
    <w:rsid w:val="00E332E0"/>
    <w:rsid w:val="00E33FC3"/>
    <w:rsid w:val="00E350D5"/>
    <w:rsid w:val="00E372D2"/>
    <w:rsid w:val="00E40F38"/>
    <w:rsid w:val="00E4195E"/>
    <w:rsid w:val="00E4383D"/>
    <w:rsid w:val="00E44DCF"/>
    <w:rsid w:val="00E459E8"/>
    <w:rsid w:val="00E4701B"/>
    <w:rsid w:val="00E544C3"/>
    <w:rsid w:val="00E56309"/>
    <w:rsid w:val="00E566FE"/>
    <w:rsid w:val="00E5681B"/>
    <w:rsid w:val="00E61901"/>
    <w:rsid w:val="00E62709"/>
    <w:rsid w:val="00E62CD9"/>
    <w:rsid w:val="00E652D2"/>
    <w:rsid w:val="00E65485"/>
    <w:rsid w:val="00E65C48"/>
    <w:rsid w:val="00E65D2E"/>
    <w:rsid w:val="00E704B7"/>
    <w:rsid w:val="00E7272A"/>
    <w:rsid w:val="00E74907"/>
    <w:rsid w:val="00E758DA"/>
    <w:rsid w:val="00E76239"/>
    <w:rsid w:val="00E7638F"/>
    <w:rsid w:val="00E80DB8"/>
    <w:rsid w:val="00E81F67"/>
    <w:rsid w:val="00E831E7"/>
    <w:rsid w:val="00E83D2E"/>
    <w:rsid w:val="00E83E26"/>
    <w:rsid w:val="00E83EC3"/>
    <w:rsid w:val="00E842A0"/>
    <w:rsid w:val="00E84E15"/>
    <w:rsid w:val="00E84E75"/>
    <w:rsid w:val="00E87A34"/>
    <w:rsid w:val="00E9024D"/>
    <w:rsid w:val="00E91233"/>
    <w:rsid w:val="00E91F93"/>
    <w:rsid w:val="00E93020"/>
    <w:rsid w:val="00E95A21"/>
    <w:rsid w:val="00E95CB1"/>
    <w:rsid w:val="00E95E33"/>
    <w:rsid w:val="00E97758"/>
    <w:rsid w:val="00E979CE"/>
    <w:rsid w:val="00EA1303"/>
    <w:rsid w:val="00EA213D"/>
    <w:rsid w:val="00EA4951"/>
    <w:rsid w:val="00EA4FCE"/>
    <w:rsid w:val="00EA67F2"/>
    <w:rsid w:val="00EB0C28"/>
    <w:rsid w:val="00EB202C"/>
    <w:rsid w:val="00EB326C"/>
    <w:rsid w:val="00EB3C84"/>
    <w:rsid w:val="00EB5EF1"/>
    <w:rsid w:val="00EB7132"/>
    <w:rsid w:val="00EB77FF"/>
    <w:rsid w:val="00EC0058"/>
    <w:rsid w:val="00EC0ADE"/>
    <w:rsid w:val="00EC0E21"/>
    <w:rsid w:val="00EC1A1D"/>
    <w:rsid w:val="00EC1ADC"/>
    <w:rsid w:val="00EC4364"/>
    <w:rsid w:val="00EC4AB1"/>
    <w:rsid w:val="00EC5262"/>
    <w:rsid w:val="00EC5DB2"/>
    <w:rsid w:val="00EC5FD1"/>
    <w:rsid w:val="00EC6DE9"/>
    <w:rsid w:val="00EC7614"/>
    <w:rsid w:val="00EC77C9"/>
    <w:rsid w:val="00EC7CCB"/>
    <w:rsid w:val="00ED140A"/>
    <w:rsid w:val="00ED1F68"/>
    <w:rsid w:val="00ED2B3D"/>
    <w:rsid w:val="00ED50C4"/>
    <w:rsid w:val="00ED5286"/>
    <w:rsid w:val="00EE115E"/>
    <w:rsid w:val="00EE2FD8"/>
    <w:rsid w:val="00EE3782"/>
    <w:rsid w:val="00EE4120"/>
    <w:rsid w:val="00EE6BC2"/>
    <w:rsid w:val="00EE770A"/>
    <w:rsid w:val="00EF0239"/>
    <w:rsid w:val="00EF1457"/>
    <w:rsid w:val="00EF3643"/>
    <w:rsid w:val="00EF3E0C"/>
    <w:rsid w:val="00EF514B"/>
    <w:rsid w:val="00EF57AF"/>
    <w:rsid w:val="00EF5910"/>
    <w:rsid w:val="00EF7789"/>
    <w:rsid w:val="00F00434"/>
    <w:rsid w:val="00F01921"/>
    <w:rsid w:val="00F0193D"/>
    <w:rsid w:val="00F02FB1"/>
    <w:rsid w:val="00F03A44"/>
    <w:rsid w:val="00F04F69"/>
    <w:rsid w:val="00F05808"/>
    <w:rsid w:val="00F06B2D"/>
    <w:rsid w:val="00F06E8C"/>
    <w:rsid w:val="00F075F1"/>
    <w:rsid w:val="00F07826"/>
    <w:rsid w:val="00F120B7"/>
    <w:rsid w:val="00F1273E"/>
    <w:rsid w:val="00F12F7D"/>
    <w:rsid w:val="00F159AC"/>
    <w:rsid w:val="00F16270"/>
    <w:rsid w:val="00F1686E"/>
    <w:rsid w:val="00F16DB6"/>
    <w:rsid w:val="00F20477"/>
    <w:rsid w:val="00F21781"/>
    <w:rsid w:val="00F21A8E"/>
    <w:rsid w:val="00F228E8"/>
    <w:rsid w:val="00F26C41"/>
    <w:rsid w:val="00F2775B"/>
    <w:rsid w:val="00F30720"/>
    <w:rsid w:val="00F30A15"/>
    <w:rsid w:val="00F315D5"/>
    <w:rsid w:val="00F3168D"/>
    <w:rsid w:val="00F325DE"/>
    <w:rsid w:val="00F34B34"/>
    <w:rsid w:val="00F35736"/>
    <w:rsid w:val="00F35BE4"/>
    <w:rsid w:val="00F41075"/>
    <w:rsid w:val="00F412DD"/>
    <w:rsid w:val="00F42F82"/>
    <w:rsid w:val="00F43012"/>
    <w:rsid w:val="00F45265"/>
    <w:rsid w:val="00F46E0C"/>
    <w:rsid w:val="00F47223"/>
    <w:rsid w:val="00F475E4"/>
    <w:rsid w:val="00F52660"/>
    <w:rsid w:val="00F52CC1"/>
    <w:rsid w:val="00F53359"/>
    <w:rsid w:val="00F53BED"/>
    <w:rsid w:val="00F53BFC"/>
    <w:rsid w:val="00F54BAC"/>
    <w:rsid w:val="00F57236"/>
    <w:rsid w:val="00F579F3"/>
    <w:rsid w:val="00F60DB3"/>
    <w:rsid w:val="00F6225B"/>
    <w:rsid w:val="00F62906"/>
    <w:rsid w:val="00F639E2"/>
    <w:rsid w:val="00F6410F"/>
    <w:rsid w:val="00F65557"/>
    <w:rsid w:val="00F665C9"/>
    <w:rsid w:val="00F66F45"/>
    <w:rsid w:val="00F7096C"/>
    <w:rsid w:val="00F709FD"/>
    <w:rsid w:val="00F719A2"/>
    <w:rsid w:val="00F742EA"/>
    <w:rsid w:val="00F74F18"/>
    <w:rsid w:val="00F76669"/>
    <w:rsid w:val="00F80B54"/>
    <w:rsid w:val="00F81215"/>
    <w:rsid w:val="00F81297"/>
    <w:rsid w:val="00F81C14"/>
    <w:rsid w:val="00F82820"/>
    <w:rsid w:val="00F83719"/>
    <w:rsid w:val="00F85253"/>
    <w:rsid w:val="00F85C9E"/>
    <w:rsid w:val="00F879A4"/>
    <w:rsid w:val="00F9106F"/>
    <w:rsid w:val="00F9161C"/>
    <w:rsid w:val="00F92162"/>
    <w:rsid w:val="00F92B60"/>
    <w:rsid w:val="00F93363"/>
    <w:rsid w:val="00F93D9A"/>
    <w:rsid w:val="00F93E59"/>
    <w:rsid w:val="00F94476"/>
    <w:rsid w:val="00F9685B"/>
    <w:rsid w:val="00F96B41"/>
    <w:rsid w:val="00F96D14"/>
    <w:rsid w:val="00F97875"/>
    <w:rsid w:val="00FA1DE1"/>
    <w:rsid w:val="00FA38EC"/>
    <w:rsid w:val="00FA3FDD"/>
    <w:rsid w:val="00FA484B"/>
    <w:rsid w:val="00FA49BE"/>
    <w:rsid w:val="00FA5004"/>
    <w:rsid w:val="00FB014A"/>
    <w:rsid w:val="00FB23B4"/>
    <w:rsid w:val="00FB2627"/>
    <w:rsid w:val="00FB2DC7"/>
    <w:rsid w:val="00FB5146"/>
    <w:rsid w:val="00FB5806"/>
    <w:rsid w:val="00FB5D51"/>
    <w:rsid w:val="00FB5EFA"/>
    <w:rsid w:val="00FB6F21"/>
    <w:rsid w:val="00FC05B2"/>
    <w:rsid w:val="00FC06DB"/>
    <w:rsid w:val="00FC07EA"/>
    <w:rsid w:val="00FC1346"/>
    <w:rsid w:val="00FC195B"/>
    <w:rsid w:val="00FC2539"/>
    <w:rsid w:val="00FC5254"/>
    <w:rsid w:val="00FC5919"/>
    <w:rsid w:val="00FC6C54"/>
    <w:rsid w:val="00FC756D"/>
    <w:rsid w:val="00FC7E5C"/>
    <w:rsid w:val="00FD02AC"/>
    <w:rsid w:val="00FD0B76"/>
    <w:rsid w:val="00FD0D17"/>
    <w:rsid w:val="00FD287F"/>
    <w:rsid w:val="00FD29A3"/>
    <w:rsid w:val="00FD304E"/>
    <w:rsid w:val="00FD379A"/>
    <w:rsid w:val="00FD461A"/>
    <w:rsid w:val="00FD489D"/>
    <w:rsid w:val="00FD59D0"/>
    <w:rsid w:val="00FE0D30"/>
    <w:rsid w:val="00FE1896"/>
    <w:rsid w:val="00FE39F9"/>
    <w:rsid w:val="00FE5202"/>
    <w:rsid w:val="00FE625E"/>
    <w:rsid w:val="00FE6529"/>
    <w:rsid w:val="00FF0CF6"/>
    <w:rsid w:val="00FF174F"/>
    <w:rsid w:val="00FF1B98"/>
    <w:rsid w:val="00FF3739"/>
    <w:rsid w:val="00FF609B"/>
    <w:rsid w:val="00FF714D"/>
    <w:rsid w:val="00FF768D"/>
    <w:rsid w:val="7FFB44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5AD040"/>
  <w15:chartTrackingRefBased/>
  <w15:docId w15:val="{7D4C09A1-BEE4-474E-A27A-29ABCFC6D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EEEText"/>
    <w:qFormat/>
    <w:rsid w:val="00B2617E"/>
    <w:pPr>
      <w:spacing w:after="0" w:line="276" w:lineRule="auto"/>
      <w:jc w:val="both"/>
    </w:pPr>
    <w:rPr>
      <w:rFonts w:ascii="Times New Roman" w:hAnsi="Times New Roman" w:cs="Times New Roman"/>
      <w:sz w:val="24"/>
      <w:szCs w:val="24"/>
    </w:rPr>
  </w:style>
  <w:style w:type="paragraph" w:styleId="Heading1">
    <w:name w:val="heading 1"/>
    <w:aliases w:val="EEEHeading 1"/>
    <w:basedOn w:val="Normal"/>
    <w:next w:val="Normal"/>
    <w:link w:val="Heading1Char"/>
    <w:autoRedefine/>
    <w:qFormat/>
    <w:rsid w:val="00587F90"/>
    <w:pPr>
      <w:keepNext/>
      <w:keepLines/>
      <w:numPr>
        <w:numId w:val="1"/>
      </w:numPr>
      <w:spacing w:before="240" w:after="240"/>
      <w:outlineLvl w:val="0"/>
    </w:pPr>
    <w:rPr>
      <w:rFonts w:ascii="Times New Roman Bold" w:eastAsiaTheme="majorEastAsia" w:hAnsi="Times New Roman Bold" w:cstheme="majorBidi"/>
      <w:b/>
      <w:caps/>
      <w:sz w:val="28"/>
      <w:szCs w:val="32"/>
    </w:rPr>
  </w:style>
  <w:style w:type="paragraph" w:styleId="Heading2">
    <w:name w:val="heading 2"/>
    <w:aliases w:val="EEEHeading2"/>
    <w:basedOn w:val="Normal"/>
    <w:next w:val="Normal"/>
    <w:link w:val="Heading2Char"/>
    <w:unhideWhenUsed/>
    <w:qFormat/>
    <w:rsid w:val="00612E93"/>
    <w:pPr>
      <w:keepNext/>
      <w:keepLines/>
      <w:numPr>
        <w:ilvl w:val="1"/>
        <w:numId w:val="1"/>
      </w:numPr>
      <w:spacing w:before="240" w:after="240"/>
      <w:outlineLvl w:val="1"/>
    </w:pPr>
    <w:rPr>
      <w:rFonts w:ascii="Times New Roman Bold" w:eastAsiaTheme="majorEastAsia" w:hAnsi="Times New Roman Bold"/>
      <w:b/>
      <w:sz w:val="28"/>
    </w:rPr>
  </w:style>
  <w:style w:type="paragraph" w:styleId="Heading3">
    <w:name w:val="heading 3"/>
    <w:aliases w:val="EEEHeading3"/>
    <w:basedOn w:val="Normal"/>
    <w:next w:val="Normal"/>
    <w:link w:val="Heading3Char"/>
    <w:unhideWhenUsed/>
    <w:qFormat/>
    <w:rsid w:val="00612E93"/>
    <w:pPr>
      <w:keepNext/>
      <w:keepLines/>
      <w:numPr>
        <w:ilvl w:val="2"/>
        <w:numId w:val="1"/>
      </w:numPr>
      <w:spacing w:before="240" w:after="240"/>
      <w:outlineLvl w:val="2"/>
    </w:pPr>
    <w:rPr>
      <w:rFonts w:ascii="Times New Roman Bold" w:eastAsiaTheme="majorEastAsia" w:hAnsi="Times New Roman Bold"/>
      <w:b/>
      <w:i/>
    </w:rPr>
  </w:style>
  <w:style w:type="paragraph" w:styleId="Heading4">
    <w:name w:val="heading 4"/>
    <w:aliases w:val="EEEHeading4"/>
    <w:basedOn w:val="Normal"/>
    <w:next w:val="Normal"/>
    <w:link w:val="Heading4Char"/>
    <w:unhideWhenUsed/>
    <w:qFormat/>
    <w:rsid w:val="00612E93"/>
    <w:pPr>
      <w:keepNext/>
      <w:keepLines/>
      <w:numPr>
        <w:ilvl w:val="3"/>
        <w:numId w:val="1"/>
      </w:numPr>
      <w:spacing w:before="240" w:after="240"/>
      <w:outlineLvl w:val="3"/>
    </w:pPr>
    <w:rPr>
      <w:rFonts w:eastAsiaTheme="majorEastAsia"/>
      <w:b/>
      <w:i/>
    </w:rPr>
  </w:style>
  <w:style w:type="paragraph" w:styleId="Heading5">
    <w:name w:val="heading 5"/>
    <w:basedOn w:val="Normal"/>
    <w:next w:val="Normal"/>
    <w:link w:val="Heading5Char"/>
    <w:unhideWhenUsed/>
    <w:qFormat/>
    <w:rsid w:val="00AC43C8"/>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qFormat/>
    <w:rsid w:val="00A52254"/>
    <w:pPr>
      <w:spacing w:before="240" w:after="60" w:line="240" w:lineRule="auto"/>
      <w:jc w:val="left"/>
      <w:outlineLvl w:val="5"/>
    </w:pPr>
    <w:rPr>
      <w:rFonts w:eastAsia="Times New Roman"/>
      <w:b/>
      <w:bCs/>
      <w:sz w:val="22"/>
      <w:szCs w:val="22"/>
    </w:rPr>
  </w:style>
  <w:style w:type="paragraph" w:styleId="Heading7">
    <w:name w:val="heading 7"/>
    <w:basedOn w:val="Normal"/>
    <w:next w:val="Normal"/>
    <w:link w:val="Heading7Char"/>
    <w:qFormat/>
    <w:rsid w:val="00A52254"/>
    <w:pPr>
      <w:spacing w:before="240" w:after="60" w:line="240" w:lineRule="auto"/>
      <w:jc w:val="left"/>
      <w:outlineLvl w:val="6"/>
    </w:pPr>
    <w:rPr>
      <w:rFonts w:eastAsia="Times New Roman"/>
    </w:rPr>
  </w:style>
  <w:style w:type="paragraph" w:styleId="Heading8">
    <w:name w:val="heading 8"/>
    <w:basedOn w:val="Normal"/>
    <w:next w:val="Normal"/>
    <w:link w:val="Heading8Char"/>
    <w:qFormat/>
    <w:rsid w:val="00A52254"/>
    <w:pPr>
      <w:spacing w:before="240" w:after="60" w:line="240" w:lineRule="auto"/>
      <w:jc w:val="left"/>
      <w:outlineLvl w:val="7"/>
    </w:pPr>
    <w:rPr>
      <w:rFonts w:eastAsia="Times New Roman"/>
      <w:i/>
      <w:iCs/>
    </w:rPr>
  </w:style>
  <w:style w:type="paragraph" w:styleId="Heading9">
    <w:name w:val="heading 9"/>
    <w:basedOn w:val="Normal"/>
    <w:next w:val="Normal"/>
    <w:link w:val="Heading9Char"/>
    <w:qFormat/>
    <w:rsid w:val="00A52254"/>
    <w:pPr>
      <w:spacing w:before="1000" w:after="480" w:line="240" w:lineRule="auto"/>
      <w:jc w:val="center"/>
      <w:outlineLvl w:val="8"/>
    </w:pPr>
    <w:rPr>
      <w:rFonts w:ascii="Arial" w:eastAsia="Times New Roman" w:hAnsi="Arial" w:cs="Arial"/>
      <w:b/>
      <w:sz w:val="3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EETitleMain">
    <w:name w:val="EEETitle_Main"/>
    <w:basedOn w:val="Normal"/>
    <w:link w:val="EEETitleMainChar"/>
    <w:qFormat/>
    <w:rsid w:val="00740317"/>
    <w:pPr>
      <w:spacing w:line="240" w:lineRule="auto"/>
      <w:ind w:left="144"/>
    </w:pPr>
    <w:rPr>
      <w:b/>
      <w:sz w:val="40"/>
      <w:szCs w:val="40"/>
    </w:rPr>
  </w:style>
  <w:style w:type="paragraph" w:customStyle="1" w:styleId="EEETitleSub">
    <w:name w:val="EEETitle_Sub"/>
    <w:basedOn w:val="Normal"/>
    <w:link w:val="EEETitleSubChar"/>
    <w:qFormat/>
    <w:rsid w:val="00740317"/>
    <w:pPr>
      <w:spacing w:line="240" w:lineRule="auto"/>
      <w:ind w:left="144"/>
    </w:pPr>
    <w:rPr>
      <w:b/>
      <w:sz w:val="32"/>
      <w:szCs w:val="32"/>
    </w:rPr>
  </w:style>
  <w:style w:type="character" w:customStyle="1" w:styleId="EEETitleMainChar">
    <w:name w:val="EEETitle_Main Char"/>
    <w:basedOn w:val="DefaultParagraphFont"/>
    <w:link w:val="EEETitleMain"/>
    <w:rsid w:val="00740317"/>
    <w:rPr>
      <w:rFonts w:ascii="Times New Roman" w:hAnsi="Times New Roman" w:cs="Times New Roman"/>
      <w:b/>
      <w:sz w:val="40"/>
      <w:szCs w:val="40"/>
    </w:rPr>
  </w:style>
  <w:style w:type="paragraph" w:customStyle="1" w:styleId="EEETitleInfo">
    <w:name w:val="EEETitle_Info"/>
    <w:basedOn w:val="Normal"/>
    <w:link w:val="EEETitleInfoChar"/>
    <w:qFormat/>
    <w:rsid w:val="00740317"/>
    <w:pPr>
      <w:spacing w:line="240" w:lineRule="auto"/>
      <w:ind w:left="144"/>
    </w:pPr>
    <w:rPr>
      <w:rFonts w:ascii="Times New Roman Bold" w:hAnsi="Times New Roman Bold"/>
      <w:b/>
      <w:sz w:val="28"/>
      <w:szCs w:val="32"/>
    </w:rPr>
  </w:style>
  <w:style w:type="character" w:customStyle="1" w:styleId="EEETitleSubChar">
    <w:name w:val="EEETitle_Sub Char"/>
    <w:basedOn w:val="DefaultParagraphFont"/>
    <w:link w:val="EEETitleSub"/>
    <w:rsid w:val="00740317"/>
    <w:rPr>
      <w:rFonts w:ascii="Times New Roman" w:hAnsi="Times New Roman" w:cs="Times New Roman"/>
      <w:b/>
      <w:sz w:val="32"/>
      <w:szCs w:val="32"/>
    </w:rPr>
  </w:style>
  <w:style w:type="character" w:customStyle="1" w:styleId="EEETitleInfoChar">
    <w:name w:val="EEETitle_Info Char"/>
    <w:basedOn w:val="DefaultParagraphFont"/>
    <w:link w:val="EEETitleInfo"/>
    <w:rsid w:val="00740317"/>
    <w:rPr>
      <w:rFonts w:ascii="Times New Roman Bold" w:hAnsi="Times New Roman Bold" w:cs="Times New Roman"/>
      <w:b/>
      <w:sz w:val="28"/>
      <w:szCs w:val="32"/>
    </w:rPr>
  </w:style>
  <w:style w:type="paragraph" w:styleId="Header">
    <w:name w:val="header"/>
    <w:aliases w:val="EEEHeader"/>
    <w:basedOn w:val="Normal"/>
    <w:link w:val="HeaderChar"/>
    <w:uiPriority w:val="99"/>
    <w:unhideWhenUsed/>
    <w:rsid w:val="00421E5C"/>
    <w:pPr>
      <w:pBdr>
        <w:bottom w:val="single" w:sz="4" w:space="1" w:color="auto"/>
      </w:pBdr>
      <w:tabs>
        <w:tab w:val="center" w:pos="4680"/>
        <w:tab w:val="right" w:pos="9360"/>
      </w:tabs>
      <w:spacing w:line="240" w:lineRule="auto"/>
      <w:jc w:val="right"/>
    </w:pPr>
    <w:rPr>
      <w:sz w:val="20"/>
    </w:rPr>
  </w:style>
  <w:style w:type="character" w:customStyle="1" w:styleId="HeaderChar">
    <w:name w:val="Header Char"/>
    <w:aliases w:val="EEEHeader Char"/>
    <w:basedOn w:val="DefaultParagraphFont"/>
    <w:link w:val="Header"/>
    <w:uiPriority w:val="99"/>
    <w:rsid w:val="00421E5C"/>
    <w:rPr>
      <w:rFonts w:ascii="Times New Roman" w:hAnsi="Times New Roman" w:cs="Times New Roman"/>
      <w:sz w:val="20"/>
      <w:szCs w:val="24"/>
    </w:rPr>
  </w:style>
  <w:style w:type="paragraph" w:styleId="Footer">
    <w:name w:val="footer"/>
    <w:aliases w:val="EEEFooter"/>
    <w:basedOn w:val="Normal"/>
    <w:link w:val="FooterChar"/>
    <w:uiPriority w:val="99"/>
    <w:unhideWhenUsed/>
    <w:rsid w:val="00421E5C"/>
    <w:pPr>
      <w:pBdr>
        <w:top w:val="single" w:sz="4" w:space="1" w:color="auto"/>
      </w:pBdr>
      <w:tabs>
        <w:tab w:val="center" w:pos="4680"/>
        <w:tab w:val="right" w:pos="9360"/>
      </w:tabs>
      <w:spacing w:line="240" w:lineRule="auto"/>
    </w:pPr>
    <w:rPr>
      <w:sz w:val="20"/>
    </w:rPr>
  </w:style>
  <w:style w:type="character" w:customStyle="1" w:styleId="FooterChar">
    <w:name w:val="Footer Char"/>
    <w:aliases w:val="EEEFooter Char"/>
    <w:basedOn w:val="DefaultParagraphFont"/>
    <w:link w:val="Footer"/>
    <w:uiPriority w:val="99"/>
    <w:rsid w:val="00421E5C"/>
    <w:rPr>
      <w:rFonts w:ascii="Times New Roman" w:hAnsi="Times New Roman" w:cs="Times New Roman"/>
      <w:sz w:val="20"/>
      <w:szCs w:val="24"/>
    </w:rPr>
  </w:style>
  <w:style w:type="paragraph" w:customStyle="1" w:styleId="HeadingNoNumEEE">
    <w:name w:val="HeadingNoNumEEE"/>
    <w:basedOn w:val="Heading1"/>
    <w:link w:val="HeadingNoNumEEEChar"/>
    <w:qFormat/>
    <w:rsid w:val="0082712B"/>
    <w:pPr>
      <w:numPr>
        <w:numId w:val="0"/>
      </w:numPr>
    </w:pPr>
    <w:rPr>
      <w:caps w:val="0"/>
      <w:sz w:val="24"/>
    </w:rPr>
  </w:style>
  <w:style w:type="character" w:customStyle="1" w:styleId="Heading5Char">
    <w:name w:val="Heading 5 Char"/>
    <w:basedOn w:val="DefaultParagraphFont"/>
    <w:link w:val="Heading5"/>
    <w:rsid w:val="00AC43C8"/>
    <w:rPr>
      <w:rFonts w:asciiTheme="majorHAnsi" w:eastAsiaTheme="majorEastAsia" w:hAnsiTheme="majorHAnsi" w:cstheme="majorBidi"/>
      <w:color w:val="2E74B5" w:themeColor="accent1" w:themeShade="BF"/>
    </w:rPr>
  </w:style>
  <w:style w:type="paragraph" w:styleId="BalloonText">
    <w:name w:val="Balloon Text"/>
    <w:basedOn w:val="Normal"/>
    <w:link w:val="BalloonTextChar"/>
    <w:uiPriority w:val="99"/>
    <w:semiHidden/>
    <w:unhideWhenUsed/>
    <w:rsid w:val="000F265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265A"/>
    <w:rPr>
      <w:rFonts w:ascii="Segoe UI" w:hAnsi="Segoe UI" w:cs="Segoe UI"/>
      <w:sz w:val="18"/>
      <w:szCs w:val="18"/>
    </w:rPr>
  </w:style>
  <w:style w:type="character" w:customStyle="1" w:styleId="Heading1Char">
    <w:name w:val="Heading 1 Char"/>
    <w:aliases w:val="EEEHeading 1 Char"/>
    <w:basedOn w:val="DefaultParagraphFont"/>
    <w:link w:val="Heading1"/>
    <w:rsid w:val="00587F90"/>
    <w:rPr>
      <w:rFonts w:ascii="Times New Roman Bold" w:eastAsiaTheme="majorEastAsia" w:hAnsi="Times New Roman Bold" w:cstheme="majorBidi"/>
      <w:b/>
      <w:caps/>
      <w:sz w:val="28"/>
      <w:szCs w:val="32"/>
    </w:rPr>
  </w:style>
  <w:style w:type="character" w:customStyle="1" w:styleId="Heading2Char">
    <w:name w:val="Heading 2 Char"/>
    <w:aliases w:val="EEEHeading2 Char"/>
    <w:basedOn w:val="DefaultParagraphFont"/>
    <w:link w:val="Heading2"/>
    <w:rsid w:val="00612E93"/>
    <w:rPr>
      <w:rFonts w:ascii="Times New Roman Bold" w:eastAsiaTheme="majorEastAsia" w:hAnsi="Times New Roman Bold" w:cs="Times New Roman"/>
      <w:b/>
      <w:sz w:val="28"/>
      <w:szCs w:val="24"/>
    </w:rPr>
  </w:style>
  <w:style w:type="character" w:customStyle="1" w:styleId="Heading3Char">
    <w:name w:val="Heading 3 Char"/>
    <w:aliases w:val="EEEHeading3 Char"/>
    <w:basedOn w:val="DefaultParagraphFont"/>
    <w:link w:val="Heading3"/>
    <w:rsid w:val="00612E93"/>
    <w:rPr>
      <w:rFonts w:ascii="Times New Roman Bold" w:eastAsiaTheme="majorEastAsia" w:hAnsi="Times New Roman Bold" w:cs="Times New Roman"/>
      <w:b/>
      <w:i/>
      <w:sz w:val="24"/>
      <w:szCs w:val="24"/>
    </w:rPr>
  </w:style>
  <w:style w:type="paragraph" w:styleId="TOC2">
    <w:name w:val="toc 2"/>
    <w:basedOn w:val="Normal"/>
    <w:next w:val="Normal"/>
    <w:autoRedefine/>
    <w:uiPriority w:val="39"/>
    <w:unhideWhenUsed/>
    <w:rsid w:val="00421E5C"/>
    <w:pPr>
      <w:tabs>
        <w:tab w:val="right" w:leader="dot" w:pos="9350"/>
      </w:tabs>
      <w:ind w:left="216"/>
    </w:pPr>
    <w:rPr>
      <w:rFonts w:eastAsiaTheme="majorEastAsia"/>
      <w:noProof/>
      <w:szCs w:val="28"/>
    </w:rPr>
  </w:style>
  <w:style w:type="paragraph" w:styleId="TOC1">
    <w:name w:val="toc 1"/>
    <w:aliases w:val="EEE_TOC"/>
    <w:basedOn w:val="Normal"/>
    <w:next w:val="Normal"/>
    <w:autoRedefine/>
    <w:uiPriority w:val="39"/>
    <w:unhideWhenUsed/>
    <w:rsid w:val="00BD0D3C"/>
    <w:pPr>
      <w:tabs>
        <w:tab w:val="right" w:leader="dot" w:pos="9350"/>
      </w:tabs>
    </w:pPr>
    <w:rPr>
      <w:caps/>
      <w:noProof/>
      <w:szCs w:val="28"/>
    </w:rPr>
  </w:style>
  <w:style w:type="paragraph" w:styleId="TOC3">
    <w:name w:val="toc 3"/>
    <w:basedOn w:val="Normal"/>
    <w:next w:val="Normal"/>
    <w:autoRedefine/>
    <w:uiPriority w:val="39"/>
    <w:unhideWhenUsed/>
    <w:rsid w:val="00421E5C"/>
    <w:pPr>
      <w:ind w:left="432"/>
    </w:pPr>
    <w:rPr>
      <w:rFonts w:eastAsiaTheme="majorEastAsia"/>
    </w:rPr>
  </w:style>
  <w:style w:type="paragraph" w:styleId="TOC4">
    <w:name w:val="toc 4"/>
    <w:basedOn w:val="Normal"/>
    <w:next w:val="Normal"/>
    <w:autoRedefine/>
    <w:uiPriority w:val="39"/>
    <w:unhideWhenUsed/>
    <w:rsid w:val="00421E5C"/>
    <w:pPr>
      <w:ind w:left="720"/>
    </w:pPr>
    <w:rPr>
      <w:rFonts w:eastAsiaTheme="majorEastAsia"/>
    </w:rPr>
  </w:style>
  <w:style w:type="character" w:styleId="Hyperlink">
    <w:name w:val="Hyperlink"/>
    <w:basedOn w:val="DefaultParagraphFont"/>
    <w:uiPriority w:val="99"/>
    <w:unhideWhenUsed/>
    <w:rsid w:val="009D4C81"/>
    <w:rPr>
      <w:color w:val="0563C1" w:themeColor="hyperlink"/>
      <w:u w:val="single"/>
    </w:rPr>
  </w:style>
  <w:style w:type="character" w:customStyle="1" w:styleId="Heading4Char">
    <w:name w:val="Heading 4 Char"/>
    <w:aliases w:val="EEEHeading4 Char"/>
    <w:basedOn w:val="DefaultParagraphFont"/>
    <w:link w:val="Heading4"/>
    <w:rsid w:val="00612E93"/>
    <w:rPr>
      <w:rFonts w:ascii="Times New Roman" w:eastAsiaTheme="majorEastAsia" w:hAnsi="Times New Roman" w:cs="Times New Roman"/>
      <w:b/>
      <w:i/>
      <w:sz w:val="24"/>
      <w:szCs w:val="24"/>
    </w:rPr>
  </w:style>
  <w:style w:type="paragraph" w:styleId="Caption">
    <w:name w:val="caption"/>
    <w:basedOn w:val="Normal"/>
    <w:next w:val="Normal"/>
    <w:link w:val="CaptionChar"/>
    <w:unhideWhenUsed/>
    <w:qFormat/>
    <w:rsid w:val="00A14850"/>
    <w:pPr>
      <w:keepNext/>
      <w:spacing w:line="240" w:lineRule="auto"/>
      <w:ind w:left="720" w:hanging="720"/>
    </w:pPr>
    <w:rPr>
      <w:iCs/>
      <w:sz w:val="20"/>
      <w:szCs w:val="18"/>
    </w:rPr>
  </w:style>
  <w:style w:type="character" w:customStyle="1" w:styleId="HeadingNoNumEEEChar">
    <w:name w:val="HeadingNoNumEEE Char"/>
    <w:basedOn w:val="Heading1Char"/>
    <w:link w:val="HeadingNoNumEEE"/>
    <w:rsid w:val="0082712B"/>
    <w:rPr>
      <w:rFonts w:ascii="Times New Roman Bold" w:eastAsiaTheme="majorEastAsia" w:hAnsi="Times New Roman Bold" w:cstheme="majorBidi"/>
      <w:b/>
      <w:caps w:val="0"/>
      <w:sz w:val="24"/>
      <w:szCs w:val="32"/>
    </w:rPr>
  </w:style>
  <w:style w:type="table" w:styleId="TableGrid">
    <w:name w:val="Table Grid"/>
    <w:basedOn w:val="TableNormal"/>
    <w:uiPriority w:val="39"/>
    <w:rsid w:val="00A148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basedOn w:val="DefaultParagraphFont"/>
    <w:link w:val="Caption"/>
    <w:rsid w:val="00A14850"/>
    <w:rPr>
      <w:rFonts w:ascii="Times New Roman" w:hAnsi="Times New Roman"/>
      <w:iCs/>
      <w:sz w:val="20"/>
      <w:szCs w:val="18"/>
    </w:rPr>
  </w:style>
  <w:style w:type="paragraph" w:styleId="TOC5">
    <w:name w:val="toc 5"/>
    <w:basedOn w:val="HeadingNoNumEEE"/>
    <w:next w:val="Normal"/>
    <w:autoRedefine/>
    <w:uiPriority w:val="39"/>
    <w:unhideWhenUsed/>
    <w:rsid w:val="001611A3"/>
    <w:pPr>
      <w:keepNext w:val="0"/>
      <w:keepLines w:val="0"/>
      <w:spacing w:before="0" w:after="0"/>
      <w:outlineLvl w:val="9"/>
    </w:pPr>
    <w:rPr>
      <w:rFonts w:ascii="Times New Roman" w:hAnsi="Times New Roman"/>
      <w:b w:val="0"/>
    </w:rPr>
  </w:style>
  <w:style w:type="paragraph" w:styleId="TableofFigures">
    <w:name w:val="table of figures"/>
    <w:basedOn w:val="Normal"/>
    <w:next w:val="Normal"/>
    <w:uiPriority w:val="99"/>
    <w:unhideWhenUsed/>
    <w:rsid w:val="005771B7"/>
    <w:pPr>
      <w:ind w:left="720" w:hanging="720"/>
    </w:pPr>
  </w:style>
  <w:style w:type="paragraph" w:customStyle="1" w:styleId="HeadingAppxEEE">
    <w:name w:val="HeadingAppxEEE"/>
    <w:basedOn w:val="HeadingNoNumEEE"/>
    <w:link w:val="HeadingAppxEEEChar"/>
    <w:qFormat/>
    <w:rsid w:val="00BD0D3C"/>
    <w:pPr>
      <w:jc w:val="center"/>
    </w:pPr>
  </w:style>
  <w:style w:type="character" w:customStyle="1" w:styleId="HeadingAppxEEEChar">
    <w:name w:val="HeadingAppxEEE Char"/>
    <w:basedOn w:val="HeadingNoNumEEEChar"/>
    <w:link w:val="HeadingAppxEEE"/>
    <w:rsid w:val="00BD0D3C"/>
    <w:rPr>
      <w:rFonts w:ascii="Times New Roman Bold" w:eastAsiaTheme="majorEastAsia" w:hAnsi="Times New Roman Bold" w:cstheme="majorBidi"/>
      <w:b/>
      <w:caps w:val="0"/>
      <w:sz w:val="24"/>
      <w:szCs w:val="32"/>
    </w:rPr>
  </w:style>
  <w:style w:type="paragraph" w:styleId="TOC6">
    <w:name w:val="toc 6"/>
    <w:basedOn w:val="Normal"/>
    <w:next w:val="Normal"/>
    <w:autoRedefine/>
    <w:uiPriority w:val="39"/>
    <w:unhideWhenUsed/>
    <w:rsid w:val="00BD0D3C"/>
  </w:style>
  <w:style w:type="paragraph" w:styleId="ListParagraph">
    <w:name w:val="List Paragraph"/>
    <w:basedOn w:val="Normal"/>
    <w:uiPriority w:val="34"/>
    <w:qFormat/>
    <w:rsid w:val="00B15FE7"/>
    <w:pPr>
      <w:ind w:left="720"/>
      <w:contextualSpacing/>
    </w:pPr>
  </w:style>
  <w:style w:type="numbering" w:customStyle="1" w:styleId="EEEbullets">
    <w:name w:val="EEE_bullets"/>
    <w:uiPriority w:val="99"/>
    <w:rsid w:val="008D64B1"/>
    <w:pPr>
      <w:numPr>
        <w:numId w:val="3"/>
      </w:numPr>
    </w:pPr>
  </w:style>
  <w:style w:type="paragraph" w:customStyle="1" w:styleId="EEEbullet1">
    <w:name w:val="EEEbullet1"/>
    <w:basedOn w:val="Normal"/>
    <w:link w:val="EEEbullet1Char"/>
    <w:qFormat/>
    <w:rsid w:val="008D64B1"/>
    <w:pPr>
      <w:numPr>
        <w:numId w:val="2"/>
      </w:num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pacing w:line="240" w:lineRule="auto"/>
    </w:pPr>
  </w:style>
  <w:style w:type="paragraph" w:customStyle="1" w:styleId="EEEbullet2">
    <w:name w:val="EEEbullet2"/>
    <w:basedOn w:val="Normal"/>
    <w:link w:val="EEEbullet2Char"/>
    <w:qFormat/>
    <w:rsid w:val="008D64B1"/>
    <w:pPr>
      <w:numPr>
        <w:ilvl w:val="1"/>
        <w:numId w:val="2"/>
      </w:num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pacing w:line="240" w:lineRule="auto"/>
    </w:pPr>
  </w:style>
  <w:style w:type="character" w:customStyle="1" w:styleId="EEEbullet1Char">
    <w:name w:val="EEEbullet1 Char"/>
    <w:basedOn w:val="DefaultParagraphFont"/>
    <w:link w:val="EEEbullet1"/>
    <w:rsid w:val="008D64B1"/>
    <w:rPr>
      <w:rFonts w:ascii="Times New Roman" w:hAnsi="Times New Roman" w:cs="Times New Roman"/>
      <w:sz w:val="24"/>
      <w:szCs w:val="24"/>
    </w:rPr>
  </w:style>
  <w:style w:type="paragraph" w:customStyle="1" w:styleId="EEEbullet3">
    <w:name w:val="EEEbullet3"/>
    <w:basedOn w:val="Normal"/>
    <w:link w:val="EEEbullet3Char"/>
    <w:qFormat/>
    <w:rsid w:val="008D64B1"/>
    <w:pPr>
      <w:numPr>
        <w:ilvl w:val="2"/>
        <w:numId w:val="2"/>
      </w:num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pacing w:line="240" w:lineRule="auto"/>
    </w:pPr>
  </w:style>
  <w:style w:type="character" w:customStyle="1" w:styleId="EEEbullet2Char">
    <w:name w:val="EEEbullet2 Char"/>
    <w:basedOn w:val="DefaultParagraphFont"/>
    <w:link w:val="EEEbullet2"/>
    <w:rsid w:val="008D64B1"/>
    <w:rPr>
      <w:rFonts w:ascii="Times New Roman" w:hAnsi="Times New Roman" w:cs="Times New Roman"/>
      <w:sz w:val="24"/>
      <w:szCs w:val="24"/>
    </w:rPr>
  </w:style>
  <w:style w:type="character" w:customStyle="1" w:styleId="EEEbullet3Char">
    <w:name w:val="EEEbullet3 Char"/>
    <w:basedOn w:val="DefaultParagraphFont"/>
    <w:link w:val="EEEbullet3"/>
    <w:rsid w:val="008D64B1"/>
    <w:rPr>
      <w:rFonts w:ascii="Times New Roman" w:hAnsi="Times New Roman" w:cs="Times New Roman"/>
      <w:sz w:val="24"/>
      <w:szCs w:val="24"/>
    </w:rPr>
  </w:style>
  <w:style w:type="paragraph" w:styleId="BlockText">
    <w:name w:val="Block Text"/>
    <w:aliases w:val="Block Text Char"/>
    <w:basedOn w:val="Normal"/>
    <w:rsid w:val="00B600C0"/>
    <w:pPr>
      <w:spacing w:before="120" w:after="120" w:line="360" w:lineRule="auto"/>
    </w:pPr>
    <w:rPr>
      <w:rFonts w:eastAsia="Times New Roman"/>
    </w:rPr>
  </w:style>
  <w:style w:type="character" w:styleId="CommentReference">
    <w:name w:val="annotation reference"/>
    <w:basedOn w:val="DefaultParagraphFont"/>
    <w:uiPriority w:val="99"/>
    <w:semiHidden/>
    <w:unhideWhenUsed/>
    <w:rsid w:val="00CB514C"/>
    <w:rPr>
      <w:sz w:val="16"/>
      <w:szCs w:val="16"/>
    </w:rPr>
  </w:style>
  <w:style w:type="paragraph" w:styleId="CommentText">
    <w:name w:val="annotation text"/>
    <w:basedOn w:val="Normal"/>
    <w:link w:val="CommentTextChar"/>
    <w:uiPriority w:val="99"/>
    <w:unhideWhenUsed/>
    <w:rsid w:val="00CB514C"/>
    <w:pPr>
      <w:spacing w:after="200" w:line="240" w:lineRule="auto"/>
      <w:jc w:val="left"/>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CB514C"/>
    <w:rPr>
      <w:sz w:val="20"/>
      <w:szCs w:val="20"/>
    </w:rPr>
  </w:style>
  <w:style w:type="paragraph" w:styleId="BodyTextIndent3">
    <w:name w:val="Body Text Indent 3"/>
    <w:basedOn w:val="Normal"/>
    <w:link w:val="BodyTextIndent3Char"/>
    <w:rsid w:val="00AA1191"/>
    <w:pPr>
      <w:tabs>
        <w:tab w:val="left" w:pos="1080"/>
      </w:tabs>
      <w:spacing w:line="240" w:lineRule="auto"/>
      <w:ind w:left="720" w:hanging="720"/>
      <w:jc w:val="left"/>
    </w:pPr>
    <w:rPr>
      <w:rFonts w:eastAsia="Times New Roman"/>
      <w:sz w:val="20"/>
    </w:rPr>
  </w:style>
  <w:style w:type="character" w:customStyle="1" w:styleId="BodyTextIndent3Char">
    <w:name w:val="Body Text Indent 3 Char"/>
    <w:basedOn w:val="DefaultParagraphFont"/>
    <w:link w:val="BodyTextIndent3"/>
    <w:rsid w:val="00AA1191"/>
    <w:rPr>
      <w:rFonts w:ascii="Times New Roman" w:eastAsia="Times New Roman" w:hAnsi="Times New Roman" w:cs="Times New Roman"/>
      <w:sz w:val="20"/>
      <w:szCs w:val="24"/>
    </w:rPr>
  </w:style>
  <w:style w:type="paragraph" w:customStyle="1" w:styleId="xl22">
    <w:name w:val="xl22"/>
    <w:basedOn w:val="Normal"/>
    <w:rsid w:val="00F06E8C"/>
    <w:pPr>
      <w:pBdr>
        <w:top w:val="single" w:sz="4" w:space="0" w:color="auto"/>
        <w:bottom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rPr>
  </w:style>
  <w:style w:type="character" w:customStyle="1" w:styleId="Heading6Char">
    <w:name w:val="Heading 6 Char"/>
    <w:basedOn w:val="DefaultParagraphFont"/>
    <w:link w:val="Heading6"/>
    <w:rsid w:val="00A52254"/>
    <w:rPr>
      <w:rFonts w:ascii="Times New Roman" w:eastAsia="Times New Roman" w:hAnsi="Times New Roman" w:cs="Times New Roman"/>
      <w:b/>
      <w:bCs/>
    </w:rPr>
  </w:style>
  <w:style w:type="character" w:customStyle="1" w:styleId="Heading7Char">
    <w:name w:val="Heading 7 Char"/>
    <w:basedOn w:val="DefaultParagraphFont"/>
    <w:link w:val="Heading7"/>
    <w:rsid w:val="00A52254"/>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A52254"/>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A52254"/>
    <w:rPr>
      <w:rFonts w:ascii="Arial" w:eastAsia="Times New Roman" w:hAnsi="Arial" w:cs="Arial"/>
      <w:b/>
      <w:sz w:val="32"/>
    </w:rPr>
  </w:style>
  <w:style w:type="character" w:styleId="FollowedHyperlink">
    <w:name w:val="FollowedHyperlink"/>
    <w:basedOn w:val="DefaultParagraphFont"/>
    <w:uiPriority w:val="99"/>
    <w:semiHidden/>
    <w:unhideWhenUsed/>
    <w:rsid w:val="008A1F50"/>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1068E7"/>
    <w:pPr>
      <w:spacing w:after="0"/>
      <w:jc w:val="both"/>
    </w:pPr>
    <w:rPr>
      <w:rFonts w:ascii="Times New Roman" w:hAnsi="Times New Roman" w:cs="Times New Roman"/>
      <w:b/>
      <w:bCs/>
    </w:rPr>
  </w:style>
  <w:style w:type="character" w:customStyle="1" w:styleId="CommentSubjectChar">
    <w:name w:val="Comment Subject Char"/>
    <w:basedOn w:val="CommentTextChar"/>
    <w:link w:val="CommentSubject"/>
    <w:uiPriority w:val="99"/>
    <w:semiHidden/>
    <w:rsid w:val="001068E7"/>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54386">
      <w:bodyDiv w:val="1"/>
      <w:marLeft w:val="0"/>
      <w:marRight w:val="0"/>
      <w:marTop w:val="0"/>
      <w:marBottom w:val="0"/>
      <w:divBdr>
        <w:top w:val="none" w:sz="0" w:space="0" w:color="auto"/>
        <w:left w:val="none" w:sz="0" w:space="0" w:color="auto"/>
        <w:bottom w:val="none" w:sz="0" w:space="0" w:color="auto"/>
        <w:right w:val="none" w:sz="0" w:space="0" w:color="auto"/>
      </w:divBdr>
    </w:div>
    <w:div w:id="180970092">
      <w:bodyDiv w:val="1"/>
      <w:marLeft w:val="0"/>
      <w:marRight w:val="0"/>
      <w:marTop w:val="0"/>
      <w:marBottom w:val="0"/>
      <w:divBdr>
        <w:top w:val="none" w:sz="0" w:space="0" w:color="auto"/>
        <w:left w:val="none" w:sz="0" w:space="0" w:color="auto"/>
        <w:bottom w:val="none" w:sz="0" w:space="0" w:color="auto"/>
        <w:right w:val="none" w:sz="0" w:space="0" w:color="auto"/>
      </w:divBdr>
    </w:div>
    <w:div w:id="219874918">
      <w:bodyDiv w:val="1"/>
      <w:marLeft w:val="0"/>
      <w:marRight w:val="0"/>
      <w:marTop w:val="0"/>
      <w:marBottom w:val="0"/>
      <w:divBdr>
        <w:top w:val="none" w:sz="0" w:space="0" w:color="auto"/>
        <w:left w:val="none" w:sz="0" w:space="0" w:color="auto"/>
        <w:bottom w:val="none" w:sz="0" w:space="0" w:color="auto"/>
        <w:right w:val="none" w:sz="0" w:space="0" w:color="auto"/>
      </w:divBdr>
    </w:div>
    <w:div w:id="240021982">
      <w:bodyDiv w:val="1"/>
      <w:marLeft w:val="0"/>
      <w:marRight w:val="0"/>
      <w:marTop w:val="0"/>
      <w:marBottom w:val="0"/>
      <w:divBdr>
        <w:top w:val="none" w:sz="0" w:space="0" w:color="auto"/>
        <w:left w:val="none" w:sz="0" w:space="0" w:color="auto"/>
        <w:bottom w:val="none" w:sz="0" w:space="0" w:color="auto"/>
        <w:right w:val="none" w:sz="0" w:space="0" w:color="auto"/>
      </w:divBdr>
    </w:div>
    <w:div w:id="457797184">
      <w:bodyDiv w:val="1"/>
      <w:marLeft w:val="0"/>
      <w:marRight w:val="0"/>
      <w:marTop w:val="0"/>
      <w:marBottom w:val="0"/>
      <w:divBdr>
        <w:top w:val="none" w:sz="0" w:space="0" w:color="auto"/>
        <w:left w:val="none" w:sz="0" w:space="0" w:color="auto"/>
        <w:bottom w:val="none" w:sz="0" w:space="0" w:color="auto"/>
        <w:right w:val="none" w:sz="0" w:space="0" w:color="auto"/>
      </w:divBdr>
    </w:div>
    <w:div w:id="681781888">
      <w:bodyDiv w:val="1"/>
      <w:marLeft w:val="0"/>
      <w:marRight w:val="0"/>
      <w:marTop w:val="0"/>
      <w:marBottom w:val="0"/>
      <w:divBdr>
        <w:top w:val="none" w:sz="0" w:space="0" w:color="auto"/>
        <w:left w:val="none" w:sz="0" w:space="0" w:color="auto"/>
        <w:bottom w:val="none" w:sz="0" w:space="0" w:color="auto"/>
        <w:right w:val="none" w:sz="0" w:space="0" w:color="auto"/>
      </w:divBdr>
    </w:div>
    <w:div w:id="978876581">
      <w:bodyDiv w:val="1"/>
      <w:marLeft w:val="0"/>
      <w:marRight w:val="0"/>
      <w:marTop w:val="0"/>
      <w:marBottom w:val="0"/>
      <w:divBdr>
        <w:top w:val="none" w:sz="0" w:space="0" w:color="auto"/>
        <w:left w:val="none" w:sz="0" w:space="0" w:color="auto"/>
        <w:bottom w:val="none" w:sz="0" w:space="0" w:color="auto"/>
        <w:right w:val="none" w:sz="0" w:space="0" w:color="auto"/>
      </w:divBdr>
    </w:div>
    <w:div w:id="1295214022">
      <w:bodyDiv w:val="1"/>
      <w:marLeft w:val="0"/>
      <w:marRight w:val="0"/>
      <w:marTop w:val="0"/>
      <w:marBottom w:val="0"/>
      <w:divBdr>
        <w:top w:val="none" w:sz="0" w:space="0" w:color="auto"/>
        <w:left w:val="none" w:sz="0" w:space="0" w:color="auto"/>
        <w:bottom w:val="none" w:sz="0" w:space="0" w:color="auto"/>
        <w:right w:val="none" w:sz="0" w:space="0" w:color="auto"/>
      </w:divBdr>
    </w:div>
    <w:div w:id="1302885864">
      <w:bodyDiv w:val="1"/>
      <w:marLeft w:val="0"/>
      <w:marRight w:val="0"/>
      <w:marTop w:val="0"/>
      <w:marBottom w:val="0"/>
      <w:divBdr>
        <w:top w:val="none" w:sz="0" w:space="0" w:color="auto"/>
        <w:left w:val="none" w:sz="0" w:space="0" w:color="auto"/>
        <w:bottom w:val="none" w:sz="0" w:space="0" w:color="auto"/>
        <w:right w:val="none" w:sz="0" w:space="0" w:color="auto"/>
      </w:divBdr>
    </w:div>
    <w:div w:id="1391417631">
      <w:bodyDiv w:val="1"/>
      <w:marLeft w:val="0"/>
      <w:marRight w:val="0"/>
      <w:marTop w:val="0"/>
      <w:marBottom w:val="0"/>
      <w:divBdr>
        <w:top w:val="none" w:sz="0" w:space="0" w:color="auto"/>
        <w:left w:val="none" w:sz="0" w:space="0" w:color="auto"/>
        <w:bottom w:val="none" w:sz="0" w:space="0" w:color="auto"/>
        <w:right w:val="none" w:sz="0" w:space="0" w:color="auto"/>
      </w:divBdr>
    </w:div>
    <w:div w:id="1488089517">
      <w:bodyDiv w:val="1"/>
      <w:marLeft w:val="0"/>
      <w:marRight w:val="0"/>
      <w:marTop w:val="0"/>
      <w:marBottom w:val="0"/>
      <w:divBdr>
        <w:top w:val="none" w:sz="0" w:space="0" w:color="auto"/>
        <w:left w:val="none" w:sz="0" w:space="0" w:color="auto"/>
        <w:bottom w:val="none" w:sz="0" w:space="0" w:color="auto"/>
        <w:right w:val="none" w:sz="0" w:space="0" w:color="auto"/>
      </w:divBdr>
    </w:div>
    <w:div w:id="1576476592">
      <w:bodyDiv w:val="1"/>
      <w:marLeft w:val="0"/>
      <w:marRight w:val="0"/>
      <w:marTop w:val="0"/>
      <w:marBottom w:val="0"/>
      <w:divBdr>
        <w:top w:val="none" w:sz="0" w:space="0" w:color="auto"/>
        <w:left w:val="none" w:sz="0" w:space="0" w:color="auto"/>
        <w:bottom w:val="none" w:sz="0" w:space="0" w:color="auto"/>
        <w:right w:val="none" w:sz="0" w:space="0" w:color="auto"/>
      </w:divBdr>
    </w:div>
    <w:div w:id="1739937616">
      <w:bodyDiv w:val="1"/>
      <w:marLeft w:val="0"/>
      <w:marRight w:val="0"/>
      <w:marTop w:val="0"/>
      <w:marBottom w:val="0"/>
      <w:divBdr>
        <w:top w:val="none" w:sz="0" w:space="0" w:color="auto"/>
        <w:left w:val="none" w:sz="0" w:space="0" w:color="auto"/>
        <w:bottom w:val="none" w:sz="0" w:space="0" w:color="auto"/>
        <w:right w:val="none" w:sz="0" w:space="0" w:color="auto"/>
      </w:divBdr>
    </w:div>
    <w:div w:id="1767727986">
      <w:bodyDiv w:val="1"/>
      <w:marLeft w:val="0"/>
      <w:marRight w:val="0"/>
      <w:marTop w:val="0"/>
      <w:marBottom w:val="0"/>
      <w:divBdr>
        <w:top w:val="none" w:sz="0" w:space="0" w:color="auto"/>
        <w:left w:val="none" w:sz="0" w:space="0" w:color="auto"/>
        <w:bottom w:val="none" w:sz="0" w:space="0" w:color="auto"/>
        <w:right w:val="none" w:sz="0" w:space="0" w:color="auto"/>
      </w:divBdr>
    </w:div>
    <w:div w:id="1769276837">
      <w:bodyDiv w:val="1"/>
      <w:marLeft w:val="0"/>
      <w:marRight w:val="0"/>
      <w:marTop w:val="0"/>
      <w:marBottom w:val="0"/>
      <w:divBdr>
        <w:top w:val="none" w:sz="0" w:space="0" w:color="auto"/>
        <w:left w:val="none" w:sz="0" w:space="0" w:color="auto"/>
        <w:bottom w:val="none" w:sz="0" w:space="0" w:color="auto"/>
        <w:right w:val="none" w:sz="0" w:space="0" w:color="auto"/>
      </w:divBdr>
    </w:div>
    <w:div w:id="1971395524">
      <w:bodyDiv w:val="1"/>
      <w:marLeft w:val="0"/>
      <w:marRight w:val="0"/>
      <w:marTop w:val="0"/>
      <w:marBottom w:val="0"/>
      <w:divBdr>
        <w:top w:val="none" w:sz="0" w:space="0" w:color="auto"/>
        <w:left w:val="none" w:sz="0" w:space="0" w:color="auto"/>
        <w:bottom w:val="none" w:sz="0" w:space="0" w:color="auto"/>
        <w:right w:val="none" w:sz="0" w:space="0" w:color="auto"/>
      </w:divBdr>
    </w:div>
    <w:div w:id="1991906982">
      <w:bodyDiv w:val="1"/>
      <w:marLeft w:val="0"/>
      <w:marRight w:val="0"/>
      <w:marTop w:val="0"/>
      <w:marBottom w:val="0"/>
      <w:divBdr>
        <w:top w:val="none" w:sz="0" w:space="0" w:color="auto"/>
        <w:left w:val="none" w:sz="0" w:space="0" w:color="auto"/>
        <w:bottom w:val="none" w:sz="0" w:space="0" w:color="auto"/>
        <w:right w:val="none" w:sz="0" w:space="0" w:color="auto"/>
      </w:divBdr>
    </w:div>
    <w:div w:id="2123066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3.jpeg"/><Relationship Id="rId21" Type="http://schemas.openxmlformats.org/officeDocument/2006/relationships/image" Target="media/image9.jpeg"/><Relationship Id="rId34" Type="http://schemas.openxmlformats.org/officeDocument/2006/relationships/header" Target="header5.xml"/><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7.jpeg"/><Relationship Id="rId68" Type="http://schemas.openxmlformats.org/officeDocument/2006/relationships/image" Target="media/image52.png"/><Relationship Id="rId7" Type="http://schemas.openxmlformats.org/officeDocument/2006/relationships/settings" Target="settings.xml"/><Relationship Id="rId71"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jpg"/><Relationship Id="rId29" Type="http://schemas.openxmlformats.org/officeDocument/2006/relationships/image" Target="media/image17.jpeg"/><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header" Target="header4.xml"/><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50.emf"/><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61" Type="http://schemas.openxmlformats.org/officeDocument/2006/relationships/image" Target="media/image45.jpeg"/><Relationship Id="rId10" Type="http://schemas.openxmlformats.org/officeDocument/2006/relationships/endnotes" Target="endnotes.xml"/><Relationship Id="rId19" Type="http://schemas.openxmlformats.org/officeDocument/2006/relationships/image" Target="media/image7.jpg"/><Relationship Id="rId31" Type="http://schemas.openxmlformats.org/officeDocument/2006/relationships/header" Target="header3.xml"/><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image" Target="media/image35.jpeg"/><Relationship Id="rId72"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oter" Target="footer1.xml"/><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1.png"/><Relationship Id="rId20" Type="http://schemas.openxmlformats.org/officeDocument/2006/relationships/image" Target="media/image8.jpeg"/><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ntrn\AppData\Local\Microsoft\Windows\INetCache\Content.Outlook\HRR8PXDA\3e%20report%20template%202020030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B29BFADD1BCF4089EFF3E4A6AC55AD" ma:contentTypeVersion="5" ma:contentTypeDescription="Create a new document." ma:contentTypeScope="" ma:versionID="f411167098078ab6b0d27fb1a722d54e">
  <xsd:schema xmlns:xsd="http://www.w3.org/2001/XMLSchema" xmlns:xs="http://www.w3.org/2001/XMLSchema" xmlns:p="http://schemas.microsoft.com/office/2006/metadata/properties" xmlns:ns2="60b05b08-52dd-42b8-abbd-762ff96534c7" xmlns:ns3="1744156b-d094-44d1-9109-e864a23af961" targetNamespace="http://schemas.microsoft.com/office/2006/metadata/properties" ma:root="true" ma:fieldsID="8bce0cf4d528c4fb5381d909295c3310" ns2:_="" ns3:_="">
    <xsd:import namespace="60b05b08-52dd-42b8-abbd-762ff96534c7"/>
    <xsd:import namespace="1744156b-d094-44d1-9109-e864a23af96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05b08-52dd-42b8-abbd-762ff96534c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44156b-d094-44d1-9109-e864a23af96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D22753-BAF9-4C96-B52F-5F00EB7E2C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05b08-52dd-42b8-abbd-762ff96534c7"/>
    <ds:schemaRef ds:uri="1744156b-d094-44d1-9109-e864a23af9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CABAA4-3E3D-4DE5-9E65-7AAD83E62CE9}">
  <ds:schemaRefs>
    <ds:schemaRef ds:uri="http://schemas.microsoft.com/office/2006/metadata/properties"/>
    <ds:schemaRef ds:uri="http://www.w3.org/XML/1998/namespace"/>
    <ds:schemaRef ds:uri="60b05b08-52dd-42b8-abbd-762ff96534c7"/>
    <ds:schemaRef ds:uri="1744156b-d094-44d1-9109-e864a23af961"/>
    <ds:schemaRef ds:uri="http://schemas.openxmlformats.org/package/2006/metadata/core-properties"/>
    <ds:schemaRef ds:uri="http://purl.org/dc/terms/"/>
    <ds:schemaRef ds:uri="http://purl.org/dc/elements/1.1/"/>
    <ds:schemaRef ds:uri="http://schemas.microsoft.com/office/2006/documentManagement/types"/>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0A67FFF6-8232-499A-8844-C3911E2DC235}">
  <ds:schemaRefs>
    <ds:schemaRef ds:uri="http://schemas.microsoft.com/sharepoint/v3/contenttype/forms"/>
  </ds:schemaRefs>
</ds:datastoreItem>
</file>

<file path=customXml/itemProps4.xml><?xml version="1.0" encoding="utf-8"?>
<ds:datastoreItem xmlns:ds="http://schemas.openxmlformats.org/officeDocument/2006/customXml" ds:itemID="{D7A2D4C6-2B31-4E8E-93E7-2178BA5A8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3e report template 20200305</Template>
  <TotalTime>1387</TotalTime>
  <Pages>157</Pages>
  <Words>39435</Words>
  <Characters>224785</Characters>
  <Application>Microsoft Office Word</Application>
  <DocSecurity>0</DocSecurity>
  <Lines>1873</Lines>
  <Paragraphs>527</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
      <vt:lpstr>Acronyms</vt:lpstr>
      <vt:lpstr>Executive Summary</vt:lpstr>
      <vt:lpstr>Overview</vt:lpstr>
      <vt:lpstr>    TMDL Development</vt:lpstr>
      <vt:lpstr>    Benthic Impairments</vt:lpstr>
      <vt:lpstr>    Stressor Analysis Process</vt:lpstr>
      <vt:lpstr>Biological, Physical, and Chemical Data</vt:lpstr>
      <vt:lpstr>    Benthic Assessments</vt:lpstr>
      <vt:lpstr>        Spatial Analysis of Benthic Data</vt:lpstr>
      <vt:lpstr>        Temporal and Seasonal Trends in Benthic Data</vt:lpstr>
      <vt:lpstr>        Analysis of Benthic Metrics</vt:lpstr>
      <vt:lpstr>        Analysis of Community Composition</vt:lpstr>
      <vt:lpstr>        Biological Condition Gradient Attribute Analysis</vt:lpstr>
      <vt:lpstr>        Analysis of Functional Feeding Groups</vt:lpstr>
      <vt:lpstr>    Habitat Assessment</vt:lpstr>
      <vt:lpstr>    Land Cover Assessment</vt:lpstr>
      <vt:lpstr>    Water Quality Data Assessment</vt:lpstr>
      <vt:lpstr>        Temperature</vt:lpstr>
      <vt:lpstr>        pH</vt:lpstr>
      <vt:lpstr>        Dissolved Oxygen</vt:lpstr>
    </vt:vector>
  </TitlesOfParts>
  <Company/>
  <LinksUpToDate>false</LinksUpToDate>
  <CharactersWithSpaces>263693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Brent, Robert N - brentrn</dc:creator>
  <cp:keywords/>
  <dc:description/>
  <cp:lastModifiedBy>R.Brent</cp:lastModifiedBy>
  <cp:revision>6</cp:revision>
  <cp:lastPrinted>2022-07-11T17:54:00Z</cp:lastPrinted>
  <dcterms:created xsi:type="dcterms:W3CDTF">2024-04-01T15:39:00Z</dcterms:created>
  <dcterms:modified xsi:type="dcterms:W3CDTF">2024-04-02T15:05:00Z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0x0101006EB29BFADD1BCF4089EFF3E4A6AC55AD</vt:lpwstr>
  </property>
</Properties>
</file>