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296D0" w14:textId="77777777" w:rsidR="002148F1" w:rsidRPr="00D24ECB" w:rsidRDefault="003847C3">
      <w:pPr>
        <w:spacing w:before="9" w:line="249" w:lineRule="exact"/>
        <w:jc w:val="center"/>
        <w:textAlignment w:val="baseline"/>
        <w:rPr>
          <w:rFonts w:eastAsia="Times New Roman"/>
          <w:b/>
          <w:color w:val="000000"/>
        </w:rPr>
      </w:pPr>
      <w:r w:rsidRPr="00D24ECB">
        <w:rPr>
          <w:rFonts w:eastAsia="Times New Roman"/>
          <w:b/>
          <w:color w:val="000000"/>
        </w:rPr>
        <w:t xml:space="preserve">COMMONWEALTH OF VIRGINIA </w:t>
      </w:r>
      <w:r w:rsidRPr="00D24ECB">
        <w:rPr>
          <w:rFonts w:eastAsia="Times New Roman"/>
          <w:b/>
          <w:color w:val="000000"/>
        </w:rPr>
        <w:br/>
        <w:t>STATE WATER CONTROL BOARD</w:t>
      </w:r>
    </w:p>
    <w:p w14:paraId="5640A2B9" w14:textId="56ECFCF0" w:rsidR="002148F1" w:rsidRDefault="003847C3">
      <w:pPr>
        <w:spacing w:before="257" w:line="253" w:lineRule="exact"/>
        <w:jc w:val="center"/>
        <w:textAlignment w:val="baseline"/>
        <w:rPr>
          <w:rFonts w:eastAsia="Times New Roman"/>
          <w:color w:val="000000"/>
        </w:rPr>
      </w:pPr>
      <w:r w:rsidRPr="00D24ECB">
        <w:rPr>
          <w:rFonts w:eastAsia="Times New Roman"/>
          <w:b/>
          <w:color w:val="000000"/>
        </w:rPr>
        <w:t xml:space="preserve">FACT SHEET </w:t>
      </w:r>
      <w:r w:rsidRPr="00D24ECB">
        <w:rPr>
          <w:rFonts w:eastAsia="Times New Roman"/>
          <w:b/>
          <w:color w:val="000000"/>
        </w:rPr>
        <w:br/>
        <w:t xml:space="preserve">REISSUANCE OF A GENERAL VPDES PERMIT </w:t>
      </w:r>
      <w:r w:rsidRPr="00D24ECB">
        <w:rPr>
          <w:rFonts w:eastAsia="Times New Roman"/>
          <w:b/>
          <w:color w:val="000000"/>
        </w:rPr>
        <w:br/>
        <w:t xml:space="preserve">FOR NONMETALLIC MINERAL MINING </w:t>
      </w:r>
      <w:r w:rsidRPr="00D24ECB">
        <w:rPr>
          <w:rFonts w:eastAsia="Times New Roman"/>
          <w:b/>
          <w:color w:val="000000"/>
        </w:rPr>
        <w:br/>
        <w:t>20</w:t>
      </w:r>
      <w:r w:rsidR="009D3C8A">
        <w:rPr>
          <w:rFonts w:eastAsia="Times New Roman"/>
          <w:b/>
          <w:color w:val="000000"/>
        </w:rPr>
        <w:t>24</w:t>
      </w:r>
      <w:r w:rsidRPr="00D24ECB">
        <w:rPr>
          <w:rFonts w:eastAsia="Times New Roman"/>
          <w:b/>
          <w:color w:val="000000"/>
        </w:rPr>
        <w:t xml:space="preserve"> REISSUANCE</w:t>
      </w:r>
      <w:r>
        <w:rPr>
          <w:rFonts w:eastAsia="Times New Roman"/>
          <w:color w:val="000000"/>
        </w:rPr>
        <w:t xml:space="preserve"> </w:t>
      </w:r>
      <w:r>
        <w:rPr>
          <w:rFonts w:eastAsia="Times New Roman"/>
          <w:color w:val="000000"/>
        </w:rPr>
        <w:br/>
        <w:t xml:space="preserve">Revised </w:t>
      </w:r>
      <w:r w:rsidR="00D70A52">
        <w:rPr>
          <w:rFonts w:eastAsia="Times New Roman"/>
          <w:color w:val="000000"/>
        </w:rPr>
        <w:t>October</w:t>
      </w:r>
      <w:r w:rsidR="00E2225C" w:rsidRPr="00B73D46">
        <w:rPr>
          <w:rFonts w:eastAsia="Times New Roman"/>
          <w:color w:val="000000"/>
        </w:rPr>
        <w:t xml:space="preserve"> </w:t>
      </w:r>
      <w:r w:rsidRPr="00B73D46">
        <w:rPr>
          <w:rFonts w:eastAsia="Times New Roman"/>
          <w:color w:val="000000"/>
        </w:rPr>
        <w:t>20</w:t>
      </w:r>
      <w:r w:rsidR="009D3C8A">
        <w:rPr>
          <w:rFonts w:eastAsia="Times New Roman"/>
          <w:color w:val="000000"/>
        </w:rPr>
        <w:t>23</w:t>
      </w:r>
    </w:p>
    <w:p w14:paraId="08AF6DA6" w14:textId="3EFBC15F" w:rsidR="002148F1" w:rsidRDefault="003847C3">
      <w:pPr>
        <w:spacing w:before="506" w:line="253" w:lineRule="exact"/>
        <w:ind w:right="144"/>
        <w:jc w:val="both"/>
        <w:textAlignment w:val="baseline"/>
        <w:rPr>
          <w:rFonts w:eastAsia="Times New Roman"/>
          <w:color w:val="000000"/>
        </w:rPr>
      </w:pPr>
      <w:r>
        <w:rPr>
          <w:rFonts w:eastAsia="Times New Roman"/>
          <w:color w:val="000000"/>
        </w:rPr>
        <w:t xml:space="preserve">The State Water Control Board (board) has </w:t>
      </w:r>
      <w:r w:rsidR="00B73D46">
        <w:rPr>
          <w:rFonts w:eastAsia="Times New Roman"/>
          <w:color w:val="000000"/>
        </w:rPr>
        <w:t xml:space="preserve">authorized </w:t>
      </w:r>
      <w:r w:rsidR="00D760FB">
        <w:rPr>
          <w:rFonts w:eastAsia="Times New Roman"/>
          <w:color w:val="000000"/>
        </w:rPr>
        <w:t xml:space="preserve">the </w:t>
      </w:r>
      <w:r>
        <w:rPr>
          <w:rFonts w:eastAsia="Times New Roman"/>
          <w:color w:val="000000"/>
        </w:rPr>
        <w:t>reissu</w:t>
      </w:r>
      <w:r w:rsidR="00B73D46">
        <w:rPr>
          <w:rFonts w:eastAsia="Times New Roman"/>
          <w:color w:val="000000"/>
        </w:rPr>
        <w:t>ance of</w:t>
      </w:r>
      <w:r>
        <w:rPr>
          <w:rFonts w:eastAsia="Times New Roman"/>
          <w:color w:val="000000"/>
        </w:rPr>
        <w:t xml:space="preserve"> </w:t>
      </w:r>
      <w:r w:rsidR="00B73D46">
        <w:rPr>
          <w:rFonts w:eastAsia="Times New Roman"/>
          <w:color w:val="000000"/>
        </w:rPr>
        <w:t>the</w:t>
      </w:r>
      <w:r>
        <w:rPr>
          <w:rFonts w:eastAsia="Times New Roman"/>
          <w:color w:val="000000"/>
        </w:rPr>
        <w:t xml:space="preserve"> Virginia Pollutant Discharge Elimination System (VPDES) </w:t>
      </w:r>
      <w:r w:rsidR="00B73D46">
        <w:rPr>
          <w:rFonts w:eastAsia="Times New Roman"/>
          <w:color w:val="000000"/>
        </w:rPr>
        <w:t xml:space="preserve">general </w:t>
      </w:r>
      <w:r>
        <w:rPr>
          <w:rFonts w:eastAsia="Times New Roman"/>
          <w:color w:val="000000"/>
        </w:rPr>
        <w:t xml:space="preserve">permit for point source discharges from nonmetallic mineral mining facilities. This general permit </w:t>
      </w:r>
      <w:r w:rsidR="009C36D7">
        <w:rPr>
          <w:rFonts w:eastAsia="Times New Roman"/>
          <w:color w:val="000000"/>
        </w:rPr>
        <w:t xml:space="preserve">will </w:t>
      </w:r>
      <w:r w:rsidRPr="00B73D46">
        <w:rPr>
          <w:rFonts w:eastAsia="Times New Roman"/>
          <w:color w:val="000000"/>
        </w:rPr>
        <w:t>replace</w:t>
      </w:r>
      <w:r>
        <w:rPr>
          <w:rFonts w:eastAsia="Times New Roman"/>
          <w:color w:val="000000"/>
        </w:rPr>
        <w:t xml:space="preserve"> </w:t>
      </w:r>
      <w:r w:rsidR="00DC6B80">
        <w:rPr>
          <w:rFonts w:eastAsia="Times New Roman"/>
          <w:color w:val="000000"/>
        </w:rPr>
        <w:t>VAG84, which</w:t>
      </w:r>
      <w:r>
        <w:rPr>
          <w:rFonts w:eastAsia="Times New Roman"/>
          <w:color w:val="000000"/>
        </w:rPr>
        <w:t xml:space="preserve"> expire</w:t>
      </w:r>
      <w:r w:rsidR="009C36D7">
        <w:rPr>
          <w:rFonts w:eastAsia="Times New Roman"/>
          <w:color w:val="000000"/>
        </w:rPr>
        <w:t>s</w:t>
      </w:r>
      <w:r>
        <w:rPr>
          <w:rFonts w:eastAsia="Times New Roman"/>
          <w:color w:val="000000"/>
        </w:rPr>
        <w:t xml:space="preserve"> June 30, 20</w:t>
      </w:r>
      <w:r w:rsidR="00C12040">
        <w:rPr>
          <w:rFonts w:eastAsia="Times New Roman"/>
          <w:color w:val="000000"/>
        </w:rPr>
        <w:t>24</w:t>
      </w:r>
      <w:r>
        <w:rPr>
          <w:rFonts w:eastAsia="Times New Roman"/>
          <w:color w:val="000000"/>
        </w:rPr>
        <w:t>. Owners covered under the expiring general permit, who wish to continue to discharge under a general permit, must register for coverage under the new general permit.</w:t>
      </w:r>
    </w:p>
    <w:p w14:paraId="4D0E35FF" w14:textId="77777777" w:rsidR="002148F1" w:rsidRDefault="003847C3">
      <w:pPr>
        <w:tabs>
          <w:tab w:val="left" w:pos="2160"/>
        </w:tabs>
        <w:spacing w:before="256" w:line="248" w:lineRule="exact"/>
        <w:textAlignment w:val="baseline"/>
        <w:rPr>
          <w:rFonts w:eastAsia="Times New Roman"/>
          <w:color w:val="000000"/>
        </w:rPr>
      </w:pPr>
      <w:r>
        <w:rPr>
          <w:rFonts w:eastAsia="Times New Roman"/>
          <w:color w:val="000000"/>
        </w:rPr>
        <w:t>Permit Number:</w:t>
      </w:r>
      <w:r>
        <w:rPr>
          <w:rFonts w:eastAsia="Times New Roman"/>
          <w:color w:val="000000"/>
        </w:rPr>
        <w:tab/>
        <w:t>VAG84</w:t>
      </w:r>
    </w:p>
    <w:p w14:paraId="353A566C" w14:textId="06AB4DD5" w:rsidR="002148F1" w:rsidRDefault="003847C3">
      <w:pPr>
        <w:tabs>
          <w:tab w:val="left" w:pos="2160"/>
        </w:tabs>
        <w:spacing w:before="250" w:line="254" w:lineRule="exact"/>
        <w:ind w:left="2160" w:right="144" w:hanging="2160"/>
        <w:jc w:val="both"/>
        <w:textAlignment w:val="baseline"/>
        <w:rPr>
          <w:rFonts w:eastAsia="Times New Roman"/>
          <w:color w:val="000000"/>
        </w:rPr>
      </w:pPr>
      <w:r>
        <w:rPr>
          <w:rFonts w:eastAsia="Times New Roman"/>
          <w:color w:val="000000"/>
        </w:rPr>
        <w:t>Name of Permittee:</w:t>
      </w:r>
      <w:r>
        <w:rPr>
          <w:rFonts w:eastAsia="Times New Roman"/>
          <w:color w:val="000000"/>
        </w:rPr>
        <w:tab/>
        <w:t xml:space="preserve">Any owner of a qualifying nonmetallic mineral mining facility with point source discharges </w:t>
      </w:r>
      <w:r w:rsidR="00E2225C">
        <w:rPr>
          <w:rFonts w:eastAsia="Times New Roman"/>
          <w:color w:val="000000"/>
        </w:rPr>
        <w:t xml:space="preserve">that obtains coverage </w:t>
      </w:r>
      <w:r>
        <w:rPr>
          <w:rFonts w:eastAsia="Times New Roman"/>
          <w:color w:val="000000"/>
        </w:rPr>
        <w:t>under the terms of this general permit.</w:t>
      </w:r>
    </w:p>
    <w:p w14:paraId="1A123E76" w14:textId="77777777" w:rsidR="002148F1" w:rsidRDefault="003847C3">
      <w:pPr>
        <w:tabs>
          <w:tab w:val="left" w:pos="2160"/>
        </w:tabs>
        <w:spacing w:before="261" w:line="248" w:lineRule="exact"/>
        <w:textAlignment w:val="baseline"/>
        <w:rPr>
          <w:rFonts w:eastAsia="Times New Roman"/>
          <w:color w:val="000000"/>
        </w:rPr>
      </w:pPr>
      <w:r>
        <w:rPr>
          <w:rFonts w:eastAsia="Times New Roman"/>
          <w:color w:val="000000"/>
        </w:rPr>
        <w:t>Facility Location:</w:t>
      </w:r>
      <w:r>
        <w:rPr>
          <w:rFonts w:eastAsia="Times New Roman"/>
          <w:color w:val="000000"/>
        </w:rPr>
        <w:tab/>
        <w:t>Commonwealth of Virginia</w:t>
      </w:r>
    </w:p>
    <w:p w14:paraId="48F2E472" w14:textId="77777777" w:rsidR="002148F1" w:rsidRDefault="003847C3">
      <w:pPr>
        <w:tabs>
          <w:tab w:val="left" w:pos="2160"/>
        </w:tabs>
        <w:spacing w:before="256" w:line="248" w:lineRule="exact"/>
        <w:textAlignment w:val="baseline"/>
        <w:rPr>
          <w:rFonts w:eastAsia="Times New Roman"/>
          <w:color w:val="000000"/>
          <w:spacing w:val="1"/>
        </w:rPr>
      </w:pPr>
      <w:r>
        <w:rPr>
          <w:rFonts w:eastAsia="Times New Roman"/>
          <w:color w:val="000000"/>
          <w:spacing w:val="1"/>
        </w:rPr>
        <w:t>Receiving Waters:</w:t>
      </w:r>
      <w:r>
        <w:rPr>
          <w:rFonts w:eastAsia="Times New Roman"/>
          <w:color w:val="000000"/>
          <w:spacing w:val="1"/>
        </w:rPr>
        <w:tab/>
        <w:t>Surface waters within the boundaries of the Commonwealth of Virginia, except those</w:t>
      </w:r>
    </w:p>
    <w:p w14:paraId="2932D05E" w14:textId="05A564A9" w:rsidR="002148F1" w:rsidRDefault="003847C3">
      <w:pPr>
        <w:spacing w:before="7" w:line="248" w:lineRule="exact"/>
        <w:ind w:left="2160"/>
        <w:textAlignment w:val="baseline"/>
        <w:rPr>
          <w:rFonts w:eastAsia="Times New Roman"/>
          <w:color w:val="000000"/>
          <w:spacing w:val="-2"/>
        </w:rPr>
      </w:pPr>
      <w:r>
        <w:rPr>
          <w:rFonts w:eastAsia="Times New Roman"/>
          <w:color w:val="000000"/>
          <w:spacing w:val="-2"/>
        </w:rPr>
        <w:t xml:space="preserve">specifically named in board </w:t>
      </w:r>
      <w:r w:rsidR="00DC6B80">
        <w:rPr>
          <w:rFonts w:eastAsia="Times New Roman"/>
          <w:color w:val="000000"/>
          <w:spacing w:val="-2"/>
        </w:rPr>
        <w:t>regulations that</w:t>
      </w:r>
      <w:r>
        <w:rPr>
          <w:rFonts w:eastAsia="Times New Roman"/>
          <w:color w:val="000000"/>
          <w:spacing w:val="-2"/>
        </w:rPr>
        <w:t xml:space="preserve"> prohibit such discharges.</w:t>
      </w:r>
    </w:p>
    <w:p w14:paraId="1D706FA8" w14:textId="77777777" w:rsidR="002148F1" w:rsidRDefault="003847C3">
      <w:pPr>
        <w:spacing w:before="1" w:line="248" w:lineRule="exact"/>
        <w:ind w:left="2160"/>
        <w:textAlignment w:val="baseline"/>
        <w:rPr>
          <w:rFonts w:eastAsia="Times New Roman"/>
          <w:color w:val="000000"/>
          <w:spacing w:val="-2"/>
        </w:rPr>
      </w:pPr>
      <w:r>
        <w:rPr>
          <w:rFonts w:eastAsia="Times New Roman"/>
          <w:color w:val="000000"/>
          <w:spacing w:val="-2"/>
        </w:rPr>
        <w:t>Discharge to surface waters may be through a municipal separate storm sewer system.</w:t>
      </w:r>
    </w:p>
    <w:p w14:paraId="7D783AC6" w14:textId="245D912F" w:rsidR="002148F1" w:rsidRDefault="00DC6B80">
      <w:pPr>
        <w:spacing w:before="259" w:line="252" w:lineRule="exact"/>
        <w:ind w:right="144"/>
        <w:jc w:val="both"/>
        <w:textAlignment w:val="baseline"/>
        <w:rPr>
          <w:rFonts w:eastAsia="Times New Roman"/>
          <w:color w:val="000000"/>
          <w:spacing w:val="-3"/>
        </w:rPr>
      </w:pPr>
      <w:r>
        <w:rPr>
          <w:rFonts w:eastAsia="Times New Roman"/>
          <w:color w:val="000000"/>
          <w:spacing w:val="-3"/>
        </w:rPr>
        <w:t>Based on</w:t>
      </w:r>
      <w:r w:rsidR="003847C3">
        <w:rPr>
          <w:rFonts w:eastAsia="Times New Roman"/>
          <w:color w:val="000000"/>
          <w:spacing w:val="-3"/>
        </w:rPr>
        <w:t xml:space="preserve"> preliminary review and application of lawful standards and regulations, the board </w:t>
      </w:r>
      <w:r w:rsidR="00B73D46">
        <w:rPr>
          <w:rFonts w:eastAsia="Times New Roman"/>
          <w:color w:val="000000"/>
          <w:spacing w:val="-3"/>
        </w:rPr>
        <w:t xml:space="preserve">has </w:t>
      </w:r>
      <w:r w:rsidR="003847C3" w:rsidRPr="00B73D46">
        <w:rPr>
          <w:rFonts w:eastAsia="Times New Roman"/>
          <w:color w:val="000000"/>
          <w:spacing w:val="-3"/>
        </w:rPr>
        <w:t>propose</w:t>
      </w:r>
      <w:r w:rsidR="00B73D46">
        <w:rPr>
          <w:rFonts w:eastAsia="Times New Roman"/>
          <w:color w:val="000000"/>
          <w:spacing w:val="-3"/>
        </w:rPr>
        <w:t>d</w:t>
      </w:r>
      <w:r w:rsidR="003847C3" w:rsidRPr="00B73D46">
        <w:rPr>
          <w:rFonts w:eastAsia="Times New Roman"/>
          <w:color w:val="000000"/>
          <w:spacing w:val="-3"/>
        </w:rPr>
        <w:t xml:space="preserve"> to</w:t>
      </w:r>
      <w:r w:rsidR="003847C3">
        <w:rPr>
          <w:rFonts w:eastAsia="Times New Roman"/>
          <w:color w:val="000000"/>
          <w:spacing w:val="-3"/>
        </w:rPr>
        <w:t xml:space="preserve"> reissue the general permit subject to certain conditions and has prepared a </w:t>
      </w:r>
      <w:r w:rsidR="003937B3">
        <w:rPr>
          <w:rFonts w:eastAsia="Times New Roman"/>
          <w:color w:val="000000"/>
          <w:spacing w:val="-3"/>
        </w:rPr>
        <w:t xml:space="preserve">general </w:t>
      </w:r>
      <w:r w:rsidR="003847C3">
        <w:rPr>
          <w:rFonts w:eastAsia="Times New Roman"/>
          <w:color w:val="000000"/>
          <w:spacing w:val="-3"/>
        </w:rPr>
        <w:t xml:space="preserve">permit. The board has determined that this category of discharges is appropriately controlled under a general permit as it involves facilities with the same or similar types of operations that discharge the same or similar types of wastes. The general permit requires that all covered facilities meet standardized effluent limitations, </w:t>
      </w:r>
      <w:proofErr w:type="gramStart"/>
      <w:r w:rsidR="003847C3">
        <w:rPr>
          <w:rFonts w:eastAsia="Times New Roman"/>
          <w:color w:val="000000"/>
          <w:spacing w:val="-3"/>
        </w:rPr>
        <w:t>conditions</w:t>
      </w:r>
      <w:proofErr w:type="gramEnd"/>
      <w:r w:rsidR="003847C3">
        <w:rPr>
          <w:rFonts w:eastAsia="Times New Roman"/>
          <w:color w:val="000000"/>
          <w:spacing w:val="-3"/>
        </w:rPr>
        <w:t xml:space="preserve"> and monitoring requirements and that all covered facilities develop a site-specific stormwater pollution prevention plan.</w:t>
      </w:r>
    </w:p>
    <w:p w14:paraId="0873A75C" w14:textId="77777777" w:rsidR="002148F1" w:rsidRDefault="003847C3">
      <w:pPr>
        <w:spacing w:before="261" w:line="248" w:lineRule="exact"/>
        <w:textAlignment w:val="baseline"/>
        <w:rPr>
          <w:rFonts w:eastAsia="Times New Roman"/>
          <w:color w:val="000000"/>
          <w:spacing w:val="-2"/>
        </w:rPr>
      </w:pPr>
      <w:r>
        <w:rPr>
          <w:rFonts w:eastAsia="Times New Roman"/>
          <w:color w:val="000000"/>
          <w:spacing w:val="-2"/>
        </w:rPr>
        <w:t>The staff contact for questions or obtaining information about this general permit may be reached at:</w:t>
      </w:r>
    </w:p>
    <w:p w14:paraId="57E8176A" w14:textId="37929C71" w:rsidR="002148F1" w:rsidRDefault="00E2225C">
      <w:pPr>
        <w:spacing w:before="257" w:line="252" w:lineRule="exact"/>
        <w:jc w:val="center"/>
        <w:textAlignment w:val="baseline"/>
        <w:rPr>
          <w:rFonts w:eastAsia="Times New Roman"/>
          <w:color w:val="000000"/>
        </w:rPr>
      </w:pPr>
      <w:r>
        <w:rPr>
          <w:rFonts w:eastAsia="Times New Roman"/>
          <w:color w:val="000000"/>
        </w:rPr>
        <w:t>Peter Sherman</w:t>
      </w:r>
      <w:r w:rsidR="003847C3">
        <w:rPr>
          <w:rFonts w:eastAsia="Times New Roman"/>
          <w:color w:val="000000"/>
        </w:rPr>
        <w:t xml:space="preserve"> </w:t>
      </w:r>
      <w:r w:rsidR="003847C3">
        <w:rPr>
          <w:rFonts w:eastAsia="Times New Roman"/>
          <w:color w:val="000000"/>
        </w:rPr>
        <w:br/>
        <w:t xml:space="preserve">Virginia Department of Environmental Quality </w:t>
      </w:r>
      <w:r w:rsidR="003847C3">
        <w:rPr>
          <w:rFonts w:eastAsia="Times New Roman"/>
          <w:color w:val="000000"/>
        </w:rPr>
        <w:br/>
        <w:t xml:space="preserve">P.O. Box 1105 </w:t>
      </w:r>
      <w:r w:rsidR="003847C3">
        <w:rPr>
          <w:rFonts w:eastAsia="Times New Roman"/>
          <w:color w:val="000000"/>
        </w:rPr>
        <w:br/>
        <w:t xml:space="preserve">Richmond, Virginia 23218 </w:t>
      </w:r>
      <w:r w:rsidR="003847C3">
        <w:rPr>
          <w:rFonts w:eastAsia="Times New Roman"/>
          <w:color w:val="000000"/>
        </w:rPr>
        <w:br/>
        <w:t xml:space="preserve">TEL: (804) </w:t>
      </w:r>
      <w:r w:rsidR="00C12040">
        <w:rPr>
          <w:rFonts w:eastAsia="Times New Roman"/>
          <w:color w:val="000000"/>
        </w:rPr>
        <w:t>659</w:t>
      </w:r>
      <w:r w:rsidR="003847C3">
        <w:rPr>
          <w:rFonts w:eastAsia="Times New Roman"/>
          <w:color w:val="000000"/>
        </w:rPr>
        <w:t>-</w:t>
      </w:r>
      <w:r w:rsidR="00C12040">
        <w:rPr>
          <w:rFonts w:eastAsia="Times New Roman"/>
          <w:color w:val="000000"/>
        </w:rPr>
        <w:t>2666</w:t>
      </w:r>
      <w:r w:rsidR="003847C3">
        <w:rPr>
          <w:rFonts w:eastAsia="Times New Roman"/>
          <w:color w:val="000000"/>
        </w:rPr>
        <w:t xml:space="preserve"> </w:t>
      </w:r>
      <w:r w:rsidR="003847C3">
        <w:rPr>
          <w:rFonts w:eastAsia="Times New Roman"/>
          <w:color w:val="000000"/>
        </w:rPr>
        <w:br/>
      </w:r>
      <w:hyperlink r:id="rId11">
        <w:r w:rsidR="003847C3">
          <w:rPr>
            <w:rFonts w:eastAsia="Times New Roman"/>
            <w:color w:val="0000FF"/>
            <w:u w:val="single"/>
          </w:rPr>
          <w:t>E-mail:</w:t>
        </w:r>
      </w:hyperlink>
      <w:r w:rsidR="003847C3">
        <w:rPr>
          <w:rFonts w:eastAsia="Times New Roman"/>
          <w:color w:val="0000FF"/>
          <w:u w:val="single"/>
        </w:rPr>
        <w:t xml:space="preserve"> </w:t>
      </w:r>
      <w:r>
        <w:rPr>
          <w:rFonts w:eastAsia="Times New Roman"/>
          <w:color w:val="0000FF"/>
          <w:u w:val="single"/>
        </w:rPr>
        <w:t>peter.sherman</w:t>
      </w:r>
      <w:r w:rsidR="003847C3">
        <w:rPr>
          <w:rFonts w:eastAsia="Times New Roman"/>
          <w:color w:val="0000FF"/>
          <w:u w:val="single"/>
        </w:rPr>
        <w:t>@deq.virginia.gov</w:t>
      </w:r>
      <w:r w:rsidR="003847C3">
        <w:rPr>
          <w:rFonts w:eastAsia="Times New Roman"/>
          <w:color w:val="0000FF"/>
        </w:rPr>
        <w:t xml:space="preserve"> </w:t>
      </w:r>
    </w:p>
    <w:p w14:paraId="5A506B1A" w14:textId="77777777" w:rsidR="008E642E" w:rsidRDefault="008E642E">
      <w:pPr>
        <w:sectPr w:rsidR="008E642E" w:rsidSect="002A7508">
          <w:footerReference w:type="default" r:id="rId12"/>
          <w:pgSz w:w="12240" w:h="15840"/>
          <w:pgMar w:top="1440" w:right="1094" w:bottom="1440" w:left="1066" w:header="720" w:footer="720" w:gutter="0"/>
          <w:cols w:space="720"/>
        </w:sectPr>
      </w:pPr>
    </w:p>
    <w:p w14:paraId="21DEFBEE" w14:textId="3BF91473" w:rsidR="002148F1" w:rsidRPr="00D24ECB" w:rsidRDefault="003847C3" w:rsidP="00990C11">
      <w:pPr>
        <w:pStyle w:val="Heading1"/>
        <w:rPr>
          <w:rFonts w:eastAsia="Times New Roman"/>
        </w:rPr>
      </w:pPr>
      <w:r w:rsidRPr="00D24ECB">
        <w:rPr>
          <w:rFonts w:eastAsia="Times New Roman"/>
        </w:rPr>
        <w:lastRenderedPageBreak/>
        <w:t>I. Activities Covered by This General Permit</w:t>
      </w:r>
    </w:p>
    <w:p w14:paraId="0273A9B7" w14:textId="0772AAAD" w:rsidR="002148F1" w:rsidRDefault="003847C3" w:rsidP="008E642E">
      <w:pPr>
        <w:spacing w:before="256" w:line="254" w:lineRule="exact"/>
        <w:ind w:right="144"/>
        <w:textAlignment w:val="baseline"/>
        <w:rPr>
          <w:rFonts w:eastAsia="Times New Roman"/>
          <w:color w:val="000000"/>
        </w:rPr>
      </w:pPr>
      <w:r>
        <w:rPr>
          <w:rFonts w:eastAsia="Times New Roman"/>
          <w:color w:val="000000"/>
        </w:rPr>
        <w:t xml:space="preserve">The general permit </w:t>
      </w:r>
      <w:r w:rsidR="009C36D7">
        <w:rPr>
          <w:rFonts w:eastAsia="Times New Roman"/>
          <w:color w:val="000000"/>
        </w:rPr>
        <w:t xml:space="preserve">will </w:t>
      </w:r>
      <w:r w:rsidRPr="00B73D46">
        <w:rPr>
          <w:rFonts w:eastAsia="Times New Roman"/>
          <w:color w:val="000000"/>
        </w:rPr>
        <w:t>cover</w:t>
      </w:r>
      <w:r>
        <w:rPr>
          <w:rFonts w:eastAsia="Times New Roman"/>
          <w:color w:val="000000"/>
        </w:rPr>
        <w:t xml:space="preserve"> point source discharges associated with nonmetallic mineral mining operations classified in Standard Industrial Classification Major Group 14. The general permit </w:t>
      </w:r>
      <w:r w:rsidR="009C36D7">
        <w:rPr>
          <w:rFonts w:eastAsia="Times New Roman"/>
          <w:color w:val="000000"/>
        </w:rPr>
        <w:t xml:space="preserve">will </w:t>
      </w:r>
      <w:r w:rsidRPr="00B73D46">
        <w:rPr>
          <w:rFonts w:eastAsia="Times New Roman"/>
          <w:color w:val="000000"/>
        </w:rPr>
        <w:t>cover</w:t>
      </w:r>
      <w:r>
        <w:rPr>
          <w:rFonts w:eastAsia="Times New Roman"/>
          <w:color w:val="000000"/>
        </w:rPr>
        <w:t xml:space="preserve"> stormwater discharges for all qualifying facilities within this major group that have stormwater discharges only and</w:t>
      </w:r>
      <w:r w:rsidR="009C36D7">
        <w:rPr>
          <w:rFonts w:eastAsia="Times New Roman"/>
          <w:color w:val="000000"/>
        </w:rPr>
        <w:t>,</w:t>
      </w:r>
      <w:r>
        <w:rPr>
          <w:rFonts w:eastAsia="Times New Roman"/>
          <w:color w:val="000000"/>
        </w:rPr>
        <w:t xml:space="preserve"> for specific SIC Codes</w:t>
      </w:r>
      <w:r w:rsidR="009C36D7">
        <w:rPr>
          <w:rFonts w:eastAsia="Times New Roman"/>
          <w:color w:val="000000"/>
        </w:rPr>
        <w:t>,</w:t>
      </w:r>
      <w:r>
        <w:rPr>
          <w:rFonts w:eastAsia="Times New Roman"/>
          <w:color w:val="000000"/>
        </w:rPr>
        <w:t xml:space="preserve"> it </w:t>
      </w:r>
      <w:r w:rsidR="009C36D7">
        <w:rPr>
          <w:rFonts w:eastAsia="Times New Roman"/>
          <w:color w:val="000000"/>
        </w:rPr>
        <w:t xml:space="preserve">will </w:t>
      </w:r>
      <w:r w:rsidRPr="00B73D46">
        <w:rPr>
          <w:rFonts w:eastAsia="Times New Roman"/>
          <w:color w:val="000000"/>
        </w:rPr>
        <w:t>also provide coverage</w:t>
      </w:r>
      <w:r>
        <w:rPr>
          <w:rFonts w:eastAsia="Times New Roman"/>
          <w:color w:val="000000"/>
        </w:rPr>
        <w:t xml:space="preserve"> for process wastewater. Some of the Major Group 14 SIC codes or specific mining activities are excluded from the process wastewater coverage because the mining activities are subject to more stringent effluent limits under EPA effluent guidelines at 40 CFR Part 436. These facilities </w:t>
      </w:r>
      <w:r w:rsidR="009C36D7">
        <w:rPr>
          <w:rFonts w:eastAsia="Times New Roman"/>
          <w:color w:val="000000"/>
        </w:rPr>
        <w:t xml:space="preserve">will </w:t>
      </w:r>
      <w:r>
        <w:rPr>
          <w:rFonts w:eastAsia="Times New Roman"/>
          <w:color w:val="000000"/>
        </w:rPr>
        <w:t>require a separate, individual VPDES permit to discharge process wastewater.</w:t>
      </w:r>
    </w:p>
    <w:p w14:paraId="2A427333" w14:textId="57B10429" w:rsidR="002148F1" w:rsidRDefault="003847C3" w:rsidP="008E642E">
      <w:pPr>
        <w:spacing w:before="251" w:line="254" w:lineRule="exact"/>
        <w:ind w:right="216"/>
        <w:textAlignment w:val="baseline"/>
        <w:rPr>
          <w:rFonts w:eastAsia="Times New Roman"/>
          <w:color w:val="000000"/>
          <w:spacing w:val="-2"/>
        </w:rPr>
      </w:pPr>
      <w:r>
        <w:rPr>
          <w:rFonts w:eastAsia="Times New Roman"/>
          <w:color w:val="000000"/>
          <w:spacing w:val="-2"/>
        </w:rPr>
        <w:t xml:space="preserve">Facilities for which the discharge of process wastewater is covered are those classified under SIC Codes 1411, 1422, 1423, 1429, 1442, 1455, 1459 except bentonite and magnesite mines, 1475 and 1499 except gypsum, graphite, asbestos, diatomite, jade, novaculite, wollastonite, </w:t>
      </w:r>
      <w:proofErr w:type="spellStart"/>
      <w:r>
        <w:rPr>
          <w:rFonts w:eastAsia="Times New Roman"/>
          <w:color w:val="000000"/>
          <w:spacing w:val="-2"/>
        </w:rPr>
        <w:t>tripoli</w:t>
      </w:r>
      <w:proofErr w:type="spellEnd"/>
      <w:r>
        <w:rPr>
          <w:rFonts w:eastAsia="Times New Roman"/>
          <w:color w:val="000000"/>
          <w:spacing w:val="-2"/>
        </w:rPr>
        <w:t xml:space="preserve"> and asphaltic mineral mining operations.</w:t>
      </w:r>
      <w:r w:rsidR="008D123A">
        <w:rPr>
          <w:rFonts w:eastAsia="Times New Roman"/>
          <w:color w:val="000000"/>
          <w:spacing w:val="-2"/>
        </w:rPr>
        <w:t xml:space="preserve"> </w:t>
      </w:r>
      <w:r w:rsidR="009143DC">
        <w:rPr>
          <w:rFonts w:eastAsia="Times New Roman"/>
          <w:color w:val="000000"/>
          <w:spacing w:val="-2"/>
        </w:rPr>
        <w:t xml:space="preserve">As of the </w:t>
      </w:r>
      <w:r w:rsidR="008D123A">
        <w:rPr>
          <w:rFonts w:eastAsia="Times New Roman"/>
          <w:color w:val="000000"/>
          <w:spacing w:val="-2"/>
        </w:rPr>
        <w:t>2019</w:t>
      </w:r>
      <w:r w:rsidR="009143DC">
        <w:rPr>
          <w:rFonts w:eastAsia="Times New Roman"/>
          <w:color w:val="000000"/>
          <w:spacing w:val="-2"/>
        </w:rPr>
        <w:t xml:space="preserve"> reissuance</w:t>
      </w:r>
      <w:r w:rsidR="009C36D7">
        <w:rPr>
          <w:rFonts w:eastAsia="Times New Roman"/>
          <w:color w:val="000000"/>
          <w:spacing w:val="-2"/>
        </w:rPr>
        <w:t>,</w:t>
      </w:r>
      <w:r w:rsidR="008D123A">
        <w:rPr>
          <w:rFonts w:eastAsia="Times New Roman"/>
          <w:color w:val="000000"/>
          <w:spacing w:val="-2"/>
        </w:rPr>
        <w:t xml:space="preserve"> DEQ includ</w:t>
      </w:r>
      <w:r w:rsidR="009143DC">
        <w:rPr>
          <w:rFonts w:eastAsia="Times New Roman"/>
          <w:color w:val="000000"/>
          <w:spacing w:val="-2"/>
        </w:rPr>
        <w:t>ed</w:t>
      </w:r>
      <w:r w:rsidR="008D123A">
        <w:rPr>
          <w:rFonts w:eastAsia="Times New Roman"/>
          <w:color w:val="000000"/>
          <w:spacing w:val="-2"/>
        </w:rPr>
        <w:t xml:space="preserve"> </w:t>
      </w:r>
      <w:r w:rsidR="00D353C3">
        <w:rPr>
          <w:rFonts w:eastAsia="Times New Roman"/>
          <w:color w:val="000000"/>
          <w:spacing w:val="-2"/>
        </w:rPr>
        <w:t xml:space="preserve">in the regulation </w:t>
      </w:r>
      <w:r w:rsidR="008D123A">
        <w:rPr>
          <w:rFonts w:eastAsia="Times New Roman"/>
          <w:color w:val="000000"/>
          <w:spacing w:val="-2"/>
        </w:rPr>
        <w:t>North American Industry Classification Codes (NAICS) since these reflect the current classification system maintained by the federal government.</w:t>
      </w:r>
    </w:p>
    <w:p w14:paraId="524A3B54" w14:textId="1141CA68" w:rsidR="002148F1" w:rsidRDefault="003847C3" w:rsidP="008E642E">
      <w:pPr>
        <w:spacing w:before="250" w:line="254" w:lineRule="exact"/>
        <w:textAlignment w:val="baseline"/>
        <w:rPr>
          <w:rFonts w:eastAsia="Times New Roman"/>
          <w:color w:val="000000"/>
        </w:rPr>
      </w:pPr>
      <w:r>
        <w:rPr>
          <w:rFonts w:eastAsia="Times New Roman"/>
          <w:color w:val="000000"/>
        </w:rPr>
        <w:t>This general permit does not cover coal mining, metal mining</w:t>
      </w:r>
      <w:r w:rsidR="00D760FB">
        <w:rPr>
          <w:rFonts w:eastAsia="Times New Roman"/>
          <w:color w:val="000000"/>
        </w:rPr>
        <w:t>, or</w:t>
      </w:r>
      <w:r>
        <w:rPr>
          <w:rFonts w:eastAsia="Times New Roman"/>
          <w:color w:val="000000"/>
        </w:rPr>
        <w:t xml:space="preserve"> oil and gas extraction.</w:t>
      </w:r>
    </w:p>
    <w:p w14:paraId="04D2E128" w14:textId="77777777" w:rsidR="002148F1" w:rsidRDefault="003847C3" w:rsidP="008E642E">
      <w:pPr>
        <w:spacing w:before="247" w:line="254" w:lineRule="exact"/>
        <w:ind w:right="144"/>
        <w:textAlignment w:val="baseline"/>
        <w:rPr>
          <w:rFonts w:eastAsia="Times New Roman"/>
          <w:color w:val="000000"/>
        </w:rPr>
      </w:pPr>
      <w:r>
        <w:rPr>
          <w:rFonts w:eastAsia="Times New Roman"/>
          <w:color w:val="000000"/>
        </w:rPr>
        <w:t xml:space="preserve">Nonmetallic mineral mines may have other industrial activities co-located within the mine permit area. These activities may involve further processing of the mined material and discharges associated with them have characteristics </w:t>
      </w:r>
      <w:proofErr w:type="gramStart"/>
      <w:r>
        <w:rPr>
          <w:rFonts w:eastAsia="Times New Roman"/>
          <w:color w:val="000000"/>
        </w:rPr>
        <w:t>similar to</w:t>
      </w:r>
      <w:proofErr w:type="gramEnd"/>
      <w:r>
        <w:rPr>
          <w:rFonts w:eastAsia="Times New Roman"/>
          <w:color w:val="000000"/>
        </w:rPr>
        <w:t xml:space="preserve"> those of the mining operation. If the mineral mine is the primary industrial activity on the site and the characteristics of the wastewater from co-located industrial activities are </w:t>
      </w:r>
      <w:proofErr w:type="gramStart"/>
      <w:r>
        <w:rPr>
          <w:rFonts w:eastAsia="Times New Roman"/>
          <w:color w:val="000000"/>
        </w:rPr>
        <w:t>similar to</w:t>
      </w:r>
      <w:proofErr w:type="gramEnd"/>
      <w:r>
        <w:rPr>
          <w:rFonts w:eastAsia="Times New Roman"/>
          <w:color w:val="000000"/>
        </w:rPr>
        <w:t xml:space="preserve"> those of the mineral mine, the co-located activity discharges are also regulated under the general permit.</w:t>
      </w:r>
    </w:p>
    <w:p w14:paraId="291474A1" w14:textId="0F9E4287" w:rsidR="002148F1" w:rsidRDefault="003847C3" w:rsidP="008E642E">
      <w:pPr>
        <w:spacing w:before="251" w:line="254" w:lineRule="exact"/>
        <w:ind w:right="144"/>
        <w:jc w:val="both"/>
        <w:textAlignment w:val="baseline"/>
        <w:rPr>
          <w:rFonts w:eastAsia="Times New Roman"/>
          <w:color w:val="000000"/>
          <w:spacing w:val="-2"/>
        </w:rPr>
      </w:pPr>
      <w:r>
        <w:rPr>
          <w:rFonts w:eastAsia="Times New Roman"/>
          <w:color w:val="000000"/>
          <w:spacing w:val="-2"/>
        </w:rPr>
        <w:t>This permit does not allow discharge of process wastewater pollutants from co</w:t>
      </w:r>
      <w:r w:rsidR="005B3BAF">
        <w:rPr>
          <w:rFonts w:eastAsia="Times New Roman"/>
          <w:color w:val="000000"/>
          <w:spacing w:val="-2"/>
        </w:rPr>
        <w:t>-</w:t>
      </w:r>
      <w:r>
        <w:rPr>
          <w:rFonts w:eastAsia="Times New Roman"/>
          <w:color w:val="000000"/>
          <w:spacing w:val="-2"/>
        </w:rPr>
        <w:t xml:space="preserve">located asphalt paving materials operations. For the purposes of this special condition, process wastewater pollutants are any pollutants present in water used in asphalt paving materials manufacturing which come into direct contact with any raw materials, intermediate product, </w:t>
      </w:r>
      <w:proofErr w:type="gramStart"/>
      <w:r>
        <w:rPr>
          <w:rFonts w:eastAsia="Times New Roman"/>
          <w:color w:val="000000"/>
          <w:spacing w:val="-2"/>
        </w:rPr>
        <w:t>by-product</w:t>
      </w:r>
      <w:proofErr w:type="gramEnd"/>
      <w:r>
        <w:rPr>
          <w:rFonts w:eastAsia="Times New Roman"/>
          <w:color w:val="000000"/>
          <w:spacing w:val="-2"/>
        </w:rPr>
        <w:t xml:space="preserve"> or product related to the asphalt paving materials manufacturing process.</w:t>
      </w:r>
    </w:p>
    <w:p w14:paraId="284E75D9" w14:textId="6F6334D6" w:rsidR="008D123A" w:rsidRDefault="003847C3" w:rsidP="008E642E">
      <w:pPr>
        <w:spacing w:before="237" w:line="254" w:lineRule="exact"/>
        <w:ind w:right="72"/>
        <w:textAlignment w:val="baseline"/>
        <w:rPr>
          <w:rFonts w:eastAsia="Times New Roman"/>
          <w:color w:val="000000"/>
        </w:rPr>
      </w:pPr>
      <w:r>
        <w:rPr>
          <w:rFonts w:eastAsia="Times New Roman"/>
          <w:color w:val="000000"/>
        </w:rPr>
        <w:t xml:space="preserve">No owner or operator of a mineral mine will be covered under the general permit until a mineral mining permit has been issued </w:t>
      </w:r>
      <w:r w:rsidR="008D123A">
        <w:rPr>
          <w:rFonts w:eastAsia="Times New Roman"/>
          <w:color w:val="000000"/>
        </w:rPr>
        <w:t xml:space="preserve">to the relevant facility </w:t>
      </w:r>
      <w:r>
        <w:rPr>
          <w:rFonts w:eastAsia="Times New Roman"/>
          <w:color w:val="000000"/>
        </w:rPr>
        <w:t xml:space="preserve">by Virginia </w:t>
      </w:r>
      <w:r w:rsidR="009143DC">
        <w:rPr>
          <w:rFonts w:eastAsia="Times New Roman"/>
          <w:color w:val="000000"/>
        </w:rPr>
        <w:t>Energy, Division of Mineral Mining</w:t>
      </w:r>
      <w:r>
        <w:rPr>
          <w:rFonts w:eastAsia="Times New Roman"/>
          <w:color w:val="000000"/>
        </w:rPr>
        <w:t xml:space="preserve"> (DMM). In Virginia, mining </w:t>
      </w:r>
      <w:r w:rsidR="007F106C">
        <w:rPr>
          <w:rFonts w:eastAsia="Times New Roman"/>
          <w:color w:val="000000"/>
        </w:rPr>
        <w:t>activities that</w:t>
      </w:r>
      <w:r>
        <w:rPr>
          <w:rFonts w:eastAsia="Times New Roman"/>
          <w:color w:val="000000"/>
        </w:rPr>
        <w:t xml:space="preserve"> disturb the land surface and remove minerals at any site are required to have a mineral mining permit under the requirements of the Minerals Other Than Coal (MOTC) Surface Mining Law, Chapter 16, Title 45.1 of the Code of Virginia. The mineral mining permits are administered by DMM. The Surface Mining Law requires that no operator shall engage in mining without having first obtained from DMM an operating </w:t>
      </w:r>
      <w:r w:rsidR="007F106C">
        <w:rPr>
          <w:rFonts w:eastAsia="Times New Roman"/>
          <w:color w:val="000000"/>
        </w:rPr>
        <w:t>permit that</w:t>
      </w:r>
      <w:r>
        <w:rPr>
          <w:rFonts w:eastAsia="Times New Roman"/>
          <w:color w:val="000000"/>
        </w:rPr>
        <w:t xml:space="preserve"> covers the affected land. The exception to this requirement is for mineral mines owned and operated by governmental bodies, which are not required to have a mining permit, but will be eligible for coverage under </w:t>
      </w:r>
      <w:r w:rsidR="004E271D">
        <w:rPr>
          <w:rFonts w:eastAsia="Times New Roman"/>
          <w:color w:val="000000"/>
        </w:rPr>
        <w:t>VAG84</w:t>
      </w:r>
      <w:r>
        <w:rPr>
          <w:rFonts w:eastAsia="Times New Roman"/>
          <w:color w:val="000000"/>
        </w:rPr>
        <w:t>. Mineral mining permits require the implementation of an erosion and sedimentation control plan as an enforceable part of the permit. The mineral mining permit application also requires the applicant to provide an acceptable mine reclamation plan that provides for adequate measures to prevent erosion and sedimentation from the reclaimed site. The mining permit and its requirements for erosion and sedimentation control are administered and enforced in such a manner as to provide protection of water quality and beneficial uses in the receiving waters from pollution caused by eroding material from mining activities. These requirements in the mineral mining permit satisfy many of the stormwater pollution prevention plan requirements of the general permit.</w:t>
      </w:r>
    </w:p>
    <w:p w14:paraId="4BEEDE31" w14:textId="235F7511" w:rsidR="00F711C2" w:rsidRPr="00F711C2" w:rsidRDefault="00F711C2" w:rsidP="008E642E">
      <w:pPr>
        <w:spacing w:before="237" w:line="254" w:lineRule="exact"/>
        <w:ind w:right="72"/>
        <w:textAlignment w:val="baseline"/>
        <w:rPr>
          <w:rFonts w:eastAsia="Times New Roman"/>
          <w:color w:val="000000"/>
          <w:spacing w:val="-2"/>
        </w:rPr>
      </w:pPr>
      <w:r w:rsidRPr="00F711C2">
        <w:rPr>
          <w:rFonts w:eastAsia="Times New Roman"/>
          <w:color w:val="000000"/>
          <w:spacing w:val="-2"/>
        </w:rPr>
        <w:t xml:space="preserve">The reissued VPDES general permit will become effective on July 1, </w:t>
      </w:r>
      <w:r w:rsidR="009D3C8A" w:rsidRPr="00F711C2">
        <w:rPr>
          <w:rFonts w:eastAsia="Times New Roman"/>
          <w:color w:val="000000"/>
          <w:spacing w:val="-2"/>
        </w:rPr>
        <w:t>2024,</w:t>
      </w:r>
      <w:r w:rsidRPr="00F711C2">
        <w:rPr>
          <w:rFonts w:eastAsia="Times New Roman"/>
          <w:color w:val="000000"/>
          <w:spacing w:val="-2"/>
        </w:rPr>
        <w:t xml:space="preserve"> and expire on June 30, 2029</w:t>
      </w:r>
      <w:r>
        <w:rPr>
          <w:rFonts w:eastAsia="Times New Roman"/>
          <w:color w:val="000000"/>
          <w:spacing w:val="-2"/>
        </w:rPr>
        <w:t>.</w:t>
      </w:r>
    </w:p>
    <w:p w14:paraId="58FCA04F" w14:textId="05262F41" w:rsidR="002148F1" w:rsidRPr="00990C11" w:rsidRDefault="003847C3" w:rsidP="00990C11">
      <w:pPr>
        <w:pStyle w:val="Heading1"/>
      </w:pPr>
      <w:r w:rsidRPr="00990C11">
        <w:lastRenderedPageBreak/>
        <w:t>II.</w:t>
      </w:r>
      <w:r w:rsidR="008E642E" w:rsidRPr="00990C11">
        <w:t xml:space="preserve"> </w:t>
      </w:r>
      <w:r w:rsidR="00154993">
        <w:t>E</w:t>
      </w:r>
      <w:r w:rsidRPr="00990C11">
        <w:t xml:space="preserve">ffluent Limitations and Monitoring Requirements </w:t>
      </w:r>
    </w:p>
    <w:p w14:paraId="0FB21886" w14:textId="0F0EBEFB" w:rsidR="00154993" w:rsidRDefault="00154993" w:rsidP="008E642E">
      <w:pPr>
        <w:spacing w:before="255" w:line="253" w:lineRule="exact"/>
        <w:textAlignment w:val="baseline"/>
        <w:rPr>
          <w:rFonts w:eastAsia="Times New Roman"/>
          <w:color w:val="000000"/>
        </w:rPr>
      </w:pPr>
      <w:r>
        <w:rPr>
          <w:rFonts w:eastAsia="Times New Roman"/>
          <w:color w:val="000000"/>
        </w:rPr>
        <w:t>The effluent limitations and monitoring requirements specified in the general permit are depicted in items A and B below.</w:t>
      </w:r>
    </w:p>
    <w:p w14:paraId="6E9ECC31" w14:textId="2437E753" w:rsidR="002148F1" w:rsidRDefault="003847C3" w:rsidP="008E642E">
      <w:pPr>
        <w:spacing w:before="255" w:line="253" w:lineRule="exact"/>
        <w:textAlignment w:val="baseline"/>
        <w:rPr>
          <w:rFonts w:eastAsia="Times New Roman"/>
          <w:color w:val="000000"/>
        </w:rPr>
      </w:pPr>
      <w:r>
        <w:rPr>
          <w:rFonts w:eastAsia="Times New Roman"/>
          <w:color w:val="000000"/>
        </w:rPr>
        <w:t xml:space="preserve">A. Discharge of </w:t>
      </w:r>
      <w:r w:rsidR="00D24ECB">
        <w:rPr>
          <w:rFonts w:eastAsia="Times New Roman"/>
          <w:color w:val="000000"/>
        </w:rPr>
        <w:t xml:space="preserve">process wastewater and </w:t>
      </w:r>
      <w:r>
        <w:rPr>
          <w:rFonts w:eastAsia="Times New Roman"/>
          <w:color w:val="000000"/>
        </w:rPr>
        <w:t>commingled stormwater runoff:</w:t>
      </w:r>
    </w:p>
    <w:p w14:paraId="5D0C574E" w14:textId="77777777" w:rsidR="002148F1" w:rsidRDefault="003847C3" w:rsidP="0008266D">
      <w:pPr>
        <w:tabs>
          <w:tab w:val="left" w:pos="3528"/>
        </w:tabs>
        <w:spacing w:before="256" w:line="249" w:lineRule="exact"/>
        <w:ind w:left="360"/>
        <w:textAlignment w:val="baseline"/>
        <w:rPr>
          <w:rFonts w:eastAsia="Times New Roman"/>
          <w:color w:val="000000"/>
          <w:u w:val="single"/>
        </w:rPr>
      </w:pPr>
      <w:r>
        <w:rPr>
          <w:rFonts w:eastAsia="Times New Roman"/>
          <w:color w:val="000000"/>
          <w:u w:val="single"/>
        </w:rPr>
        <w:t>Parameter</w:t>
      </w:r>
      <w:r>
        <w:rPr>
          <w:rFonts w:eastAsia="Times New Roman"/>
          <w:color w:val="000000"/>
          <w:u w:val="single"/>
        </w:rPr>
        <w:tab/>
        <w:t>Limitation</w:t>
      </w:r>
    </w:p>
    <w:p w14:paraId="3D7E2D91" w14:textId="77777777" w:rsidR="002148F1" w:rsidRDefault="003847C3" w:rsidP="0008266D">
      <w:pPr>
        <w:tabs>
          <w:tab w:val="left" w:pos="3528"/>
        </w:tabs>
        <w:spacing w:before="1" w:line="253" w:lineRule="exact"/>
        <w:ind w:left="360"/>
        <w:textAlignment w:val="baseline"/>
        <w:rPr>
          <w:rFonts w:eastAsia="Times New Roman"/>
          <w:color w:val="000000"/>
        </w:rPr>
      </w:pPr>
      <w:r>
        <w:rPr>
          <w:rFonts w:eastAsia="Times New Roman"/>
          <w:color w:val="000000"/>
        </w:rPr>
        <w:t>Flow</w:t>
      </w:r>
      <w:r>
        <w:rPr>
          <w:rFonts w:eastAsia="Times New Roman"/>
          <w:color w:val="000000"/>
        </w:rPr>
        <w:tab/>
        <w:t>Report average and maximum</w:t>
      </w:r>
    </w:p>
    <w:p w14:paraId="2CA6F289" w14:textId="36B9124C" w:rsidR="002148F1" w:rsidRDefault="003847C3" w:rsidP="0008266D">
      <w:pPr>
        <w:tabs>
          <w:tab w:val="left" w:pos="3528"/>
        </w:tabs>
        <w:spacing w:before="1" w:line="253" w:lineRule="exact"/>
        <w:ind w:left="360"/>
        <w:textAlignment w:val="baseline"/>
        <w:rPr>
          <w:rFonts w:eastAsia="Times New Roman"/>
          <w:color w:val="000000"/>
        </w:rPr>
      </w:pPr>
      <w:r>
        <w:rPr>
          <w:rFonts w:eastAsia="Times New Roman"/>
          <w:color w:val="000000"/>
        </w:rPr>
        <w:t>Total Suspended Solids</w:t>
      </w:r>
      <w:r>
        <w:rPr>
          <w:rFonts w:eastAsia="Times New Roman"/>
          <w:color w:val="000000"/>
        </w:rPr>
        <w:tab/>
        <w:t>30 mg/</w:t>
      </w:r>
      <w:r w:rsidR="00D760FB">
        <w:rPr>
          <w:rFonts w:eastAsia="Times New Roman"/>
          <w:color w:val="000000"/>
        </w:rPr>
        <w:t>L</w:t>
      </w:r>
      <w:r>
        <w:rPr>
          <w:rFonts w:eastAsia="Times New Roman"/>
          <w:color w:val="000000"/>
        </w:rPr>
        <w:t xml:space="preserve"> </w:t>
      </w:r>
      <w:r w:rsidR="00803FDF">
        <w:rPr>
          <w:rFonts w:eastAsia="Times New Roman"/>
          <w:color w:val="000000"/>
        </w:rPr>
        <w:t xml:space="preserve">monthly </w:t>
      </w:r>
      <w:r>
        <w:rPr>
          <w:rFonts w:eastAsia="Times New Roman"/>
          <w:color w:val="000000"/>
        </w:rPr>
        <w:t>average, 60 mg/</w:t>
      </w:r>
      <w:r w:rsidR="00D760FB">
        <w:rPr>
          <w:rFonts w:eastAsia="Times New Roman"/>
          <w:color w:val="000000"/>
        </w:rPr>
        <w:t>L</w:t>
      </w:r>
      <w:r>
        <w:rPr>
          <w:rFonts w:eastAsia="Times New Roman"/>
          <w:color w:val="000000"/>
        </w:rPr>
        <w:t xml:space="preserve"> </w:t>
      </w:r>
      <w:r w:rsidR="00803FDF">
        <w:rPr>
          <w:rFonts w:eastAsia="Times New Roman"/>
          <w:color w:val="000000"/>
        </w:rPr>
        <w:t xml:space="preserve">daily </w:t>
      </w:r>
      <w:r>
        <w:rPr>
          <w:rFonts w:eastAsia="Times New Roman"/>
          <w:color w:val="000000"/>
        </w:rPr>
        <w:t>maximum</w:t>
      </w:r>
    </w:p>
    <w:p w14:paraId="1BB349F6" w14:textId="726C61C3" w:rsidR="002148F1" w:rsidRDefault="003847C3" w:rsidP="0008266D">
      <w:pPr>
        <w:tabs>
          <w:tab w:val="left" w:pos="3528"/>
        </w:tabs>
        <w:spacing w:line="242" w:lineRule="exact"/>
        <w:ind w:left="360"/>
        <w:textAlignment w:val="baseline"/>
        <w:rPr>
          <w:rFonts w:eastAsia="Times New Roman"/>
          <w:color w:val="000000"/>
          <w:spacing w:val="-3"/>
        </w:rPr>
      </w:pPr>
      <w:r>
        <w:rPr>
          <w:rFonts w:eastAsia="Times New Roman"/>
          <w:color w:val="000000"/>
          <w:spacing w:val="-3"/>
        </w:rPr>
        <w:t>pH</w:t>
      </w:r>
      <w:r>
        <w:rPr>
          <w:rFonts w:eastAsia="Times New Roman"/>
          <w:color w:val="000000"/>
          <w:spacing w:val="-3"/>
        </w:rPr>
        <w:tab/>
        <w:t>6.0 minimum, 9.0 maximum</w:t>
      </w:r>
      <w:r w:rsidR="004500C9">
        <w:rPr>
          <w:rStyle w:val="FootnoteReference"/>
          <w:rFonts w:eastAsia="Times New Roman"/>
          <w:color w:val="000000"/>
          <w:spacing w:val="-3"/>
        </w:rPr>
        <w:footnoteReference w:id="1"/>
      </w:r>
      <w:r>
        <w:rPr>
          <w:rFonts w:eastAsia="Times New Roman"/>
          <w:color w:val="000000"/>
          <w:spacing w:val="-3"/>
          <w:sz w:val="14"/>
        </w:rPr>
        <w:t xml:space="preserve"> </w:t>
      </w:r>
    </w:p>
    <w:p w14:paraId="48293430" w14:textId="232DCE6C" w:rsidR="002148F1" w:rsidRDefault="002148F1" w:rsidP="0008266D">
      <w:pPr>
        <w:tabs>
          <w:tab w:val="left" w:pos="3528"/>
        </w:tabs>
        <w:spacing w:line="253" w:lineRule="exact"/>
        <w:textAlignment w:val="baseline"/>
        <w:rPr>
          <w:rFonts w:eastAsia="Times New Roman"/>
          <w:color w:val="000000"/>
        </w:rPr>
      </w:pPr>
    </w:p>
    <w:p w14:paraId="5C6EBB6D" w14:textId="1FA96FF5" w:rsidR="0008266D" w:rsidRPr="004500C9" w:rsidRDefault="004500C9" w:rsidP="004500C9">
      <w:pPr>
        <w:tabs>
          <w:tab w:val="left" w:pos="216"/>
          <w:tab w:val="left" w:pos="864"/>
        </w:tabs>
        <w:spacing w:line="253" w:lineRule="exact"/>
        <w:ind w:right="360"/>
        <w:textAlignment w:val="baseline"/>
        <w:rPr>
          <w:rFonts w:eastAsia="Times New Roman"/>
          <w:color w:val="000000"/>
        </w:rPr>
      </w:pPr>
      <w:r w:rsidRPr="004500C9">
        <w:rPr>
          <w:rFonts w:eastAsia="Times New Roman"/>
          <w:color w:val="000000"/>
        </w:rPr>
        <w:t xml:space="preserve">Discharge Monitoring Reports (DMRs) of quarterly monitoring shall be submitted to the </w:t>
      </w:r>
      <w:r w:rsidR="00803FDF">
        <w:rPr>
          <w:rFonts w:eastAsia="Times New Roman"/>
          <w:color w:val="000000"/>
        </w:rPr>
        <w:t xml:space="preserve">applicable </w:t>
      </w:r>
      <w:r w:rsidRPr="004500C9">
        <w:rPr>
          <w:rFonts w:eastAsia="Times New Roman"/>
          <w:color w:val="000000"/>
        </w:rPr>
        <w:t xml:space="preserve">DEQ </w:t>
      </w:r>
      <w:r w:rsidR="00803FDF">
        <w:rPr>
          <w:rFonts w:eastAsia="Times New Roman"/>
          <w:color w:val="000000"/>
        </w:rPr>
        <w:t>r</w:t>
      </w:r>
      <w:r w:rsidRPr="004500C9">
        <w:rPr>
          <w:rFonts w:eastAsia="Times New Roman"/>
          <w:color w:val="000000"/>
        </w:rPr>
        <w:t xml:space="preserve">egional </w:t>
      </w:r>
      <w:r w:rsidR="00803FDF">
        <w:rPr>
          <w:rFonts w:eastAsia="Times New Roman"/>
          <w:color w:val="000000"/>
        </w:rPr>
        <w:t>o</w:t>
      </w:r>
      <w:r w:rsidRPr="004500C9">
        <w:rPr>
          <w:rFonts w:eastAsia="Times New Roman"/>
          <w:color w:val="000000"/>
        </w:rPr>
        <w:t xml:space="preserve">ffice no later than the 10th day of April, July, </w:t>
      </w:r>
      <w:proofErr w:type="gramStart"/>
      <w:r w:rsidRPr="004500C9">
        <w:rPr>
          <w:rFonts w:eastAsia="Times New Roman"/>
          <w:color w:val="000000"/>
        </w:rPr>
        <w:t>October</w:t>
      </w:r>
      <w:proofErr w:type="gramEnd"/>
      <w:r w:rsidRPr="004500C9">
        <w:rPr>
          <w:rFonts w:eastAsia="Times New Roman"/>
          <w:color w:val="000000"/>
        </w:rPr>
        <w:t xml:space="preserve"> and January. </w:t>
      </w:r>
      <w:r w:rsidR="00154993">
        <w:rPr>
          <w:rFonts w:eastAsia="Times New Roman"/>
          <w:color w:val="000000"/>
        </w:rPr>
        <w:t>Monitoring frequency of o</w:t>
      </w:r>
      <w:r w:rsidR="00803FDF">
        <w:rPr>
          <w:rFonts w:eastAsia="Times New Roman"/>
          <w:color w:val="000000"/>
        </w:rPr>
        <w:t>nce per every three months (</w:t>
      </w:r>
      <w:r w:rsidRPr="004500C9">
        <w:rPr>
          <w:rFonts w:eastAsia="Times New Roman"/>
          <w:color w:val="000000"/>
        </w:rPr>
        <w:t>1/3 Months</w:t>
      </w:r>
      <w:r w:rsidR="00803FDF">
        <w:rPr>
          <w:rFonts w:eastAsia="Times New Roman"/>
          <w:color w:val="000000"/>
        </w:rPr>
        <w:t>)</w:t>
      </w:r>
      <w:r w:rsidRPr="004500C9">
        <w:rPr>
          <w:rFonts w:eastAsia="Times New Roman"/>
          <w:color w:val="000000"/>
        </w:rPr>
        <w:t xml:space="preserve"> equals the following three-month periods each year of permit coverage: January through March, April through June, July through September, and October through December. </w:t>
      </w:r>
    </w:p>
    <w:p w14:paraId="75238439" w14:textId="46B01620" w:rsidR="002148F1" w:rsidRDefault="003847C3" w:rsidP="008E642E">
      <w:pPr>
        <w:spacing w:before="256" w:line="253" w:lineRule="exact"/>
        <w:textAlignment w:val="baseline"/>
        <w:rPr>
          <w:rFonts w:eastAsia="Times New Roman"/>
          <w:color w:val="000000"/>
        </w:rPr>
      </w:pPr>
      <w:r>
        <w:rPr>
          <w:rFonts w:eastAsia="Times New Roman"/>
          <w:color w:val="000000"/>
        </w:rPr>
        <w:t xml:space="preserve">B. Discharge of stormwater </w:t>
      </w:r>
      <w:r w:rsidR="00D24ECB">
        <w:rPr>
          <w:rFonts w:eastAsia="Times New Roman"/>
          <w:color w:val="000000"/>
        </w:rPr>
        <w:t xml:space="preserve">associated with industrial </w:t>
      </w:r>
      <w:r w:rsidR="007F106C">
        <w:rPr>
          <w:rFonts w:eastAsia="Times New Roman"/>
          <w:color w:val="000000"/>
        </w:rPr>
        <w:t>activity that</w:t>
      </w:r>
      <w:r>
        <w:rPr>
          <w:rFonts w:eastAsia="Times New Roman"/>
          <w:color w:val="000000"/>
        </w:rPr>
        <w:t xml:space="preserve"> does not combine with </w:t>
      </w:r>
      <w:proofErr w:type="gramStart"/>
      <w:r>
        <w:rPr>
          <w:rFonts w:eastAsia="Times New Roman"/>
          <w:color w:val="000000"/>
        </w:rPr>
        <w:t>other</w:t>
      </w:r>
      <w:proofErr w:type="gramEnd"/>
      <w:r>
        <w:rPr>
          <w:rFonts w:eastAsia="Times New Roman"/>
          <w:color w:val="000000"/>
        </w:rPr>
        <w:t xml:space="preserve"> wastewater:</w:t>
      </w:r>
    </w:p>
    <w:p w14:paraId="6E947ADC" w14:textId="77777777" w:rsidR="002148F1" w:rsidRDefault="003847C3" w:rsidP="004500C9">
      <w:pPr>
        <w:tabs>
          <w:tab w:val="left" w:pos="3528"/>
        </w:tabs>
        <w:spacing w:before="256" w:line="249" w:lineRule="exact"/>
        <w:ind w:left="360"/>
        <w:textAlignment w:val="baseline"/>
        <w:rPr>
          <w:rFonts w:eastAsia="Times New Roman"/>
          <w:color w:val="000000"/>
          <w:u w:val="single"/>
        </w:rPr>
      </w:pPr>
      <w:r>
        <w:rPr>
          <w:rFonts w:eastAsia="Times New Roman"/>
          <w:color w:val="000000"/>
          <w:u w:val="single"/>
        </w:rPr>
        <w:t>Parameter</w:t>
      </w:r>
      <w:r>
        <w:rPr>
          <w:rFonts w:eastAsia="Times New Roman"/>
          <w:color w:val="000000"/>
          <w:u w:val="single"/>
        </w:rPr>
        <w:tab/>
        <w:t xml:space="preserve">Monitoring Requirement </w:t>
      </w:r>
    </w:p>
    <w:p w14:paraId="513A4960" w14:textId="77777777" w:rsidR="002148F1" w:rsidRDefault="003847C3" w:rsidP="004500C9">
      <w:pPr>
        <w:tabs>
          <w:tab w:val="left" w:pos="3528"/>
        </w:tabs>
        <w:spacing w:line="253" w:lineRule="exact"/>
        <w:ind w:left="360"/>
        <w:textAlignment w:val="baseline"/>
        <w:rPr>
          <w:rFonts w:eastAsia="Times New Roman"/>
          <w:color w:val="000000"/>
        </w:rPr>
      </w:pPr>
      <w:r>
        <w:rPr>
          <w:rFonts w:eastAsia="Times New Roman"/>
          <w:color w:val="000000"/>
        </w:rPr>
        <w:t>Flow</w:t>
      </w:r>
      <w:r>
        <w:rPr>
          <w:rFonts w:eastAsia="Times New Roman"/>
          <w:color w:val="000000"/>
        </w:rPr>
        <w:tab/>
        <w:t xml:space="preserve">Report volume discharged during monitored storm </w:t>
      </w:r>
      <w:proofErr w:type="gramStart"/>
      <w:r>
        <w:rPr>
          <w:rFonts w:eastAsia="Times New Roman"/>
          <w:color w:val="000000"/>
        </w:rPr>
        <w:t>event</w:t>
      </w:r>
      <w:proofErr w:type="gramEnd"/>
    </w:p>
    <w:p w14:paraId="441DC0AA" w14:textId="77777777" w:rsidR="002148F1" w:rsidRDefault="003847C3" w:rsidP="004500C9">
      <w:pPr>
        <w:tabs>
          <w:tab w:val="left" w:pos="3528"/>
        </w:tabs>
        <w:spacing w:before="2" w:line="253" w:lineRule="exact"/>
        <w:ind w:left="360"/>
        <w:textAlignment w:val="baseline"/>
        <w:rPr>
          <w:rFonts w:eastAsia="Times New Roman"/>
          <w:color w:val="000000"/>
        </w:rPr>
      </w:pPr>
      <w:r>
        <w:rPr>
          <w:rFonts w:eastAsia="Times New Roman"/>
          <w:color w:val="000000"/>
        </w:rPr>
        <w:t>Total Suspended Solids</w:t>
      </w:r>
      <w:r>
        <w:rPr>
          <w:rFonts w:eastAsia="Times New Roman"/>
          <w:color w:val="000000"/>
        </w:rPr>
        <w:tab/>
        <w:t>Report maximum</w:t>
      </w:r>
    </w:p>
    <w:p w14:paraId="44751CF7" w14:textId="77777777" w:rsidR="002148F1" w:rsidRDefault="003847C3" w:rsidP="004500C9">
      <w:pPr>
        <w:tabs>
          <w:tab w:val="left" w:pos="3528"/>
        </w:tabs>
        <w:spacing w:line="249" w:lineRule="exact"/>
        <w:ind w:left="360"/>
        <w:textAlignment w:val="baseline"/>
        <w:rPr>
          <w:rFonts w:eastAsia="Times New Roman"/>
          <w:color w:val="000000"/>
        </w:rPr>
      </w:pPr>
      <w:r>
        <w:rPr>
          <w:rFonts w:eastAsia="Times New Roman"/>
          <w:color w:val="000000"/>
        </w:rPr>
        <w:t>pH</w:t>
      </w:r>
      <w:r>
        <w:rPr>
          <w:rFonts w:eastAsia="Times New Roman"/>
          <w:color w:val="000000"/>
        </w:rPr>
        <w:tab/>
        <w:t>Report minimum and maximum</w:t>
      </w:r>
    </w:p>
    <w:p w14:paraId="5BE4F616" w14:textId="24CCF136" w:rsidR="002148F1" w:rsidRDefault="003847C3" w:rsidP="008E642E">
      <w:pPr>
        <w:spacing w:before="254" w:line="253" w:lineRule="exact"/>
        <w:ind w:right="72"/>
        <w:textAlignment w:val="baseline"/>
        <w:rPr>
          <w:rFonts w:eastAsia="Times New Roman"/>
          <w:color w:val="000000"/>
        </w:rPr>
      </w:pPr>
      <w:r>
        <w:rPr>
          <w:rFonts w:eastAsia="Times New Roman"/>
          <w:color w:val="000000"/>
        </w:rPr>
        <w:t xml:space="preserve">Monitoring and reporting of grab sample analysis results are required once per year for a </w:t>
      </w:r>
      <w:r w:rsidRPr="00B73D46">
        <w:rPr>
          <w:rFonts w:eastAsia="Times New Roman"/>
          <w:color w:val="000000"/>
        </w:rPr>
        <w:t>storm event that produces a discharge from the site</w:t>
      </w:r>
      <w:r>
        <w:rPr>
          <w:rFonts w:eastAsia="Times New Roman"/>
          <w:color w:val="000000"/>
        </w:rPr>
        <w:t xml:space="preserve">. </w:t>
      </w:r>
      <w:r w:rsidR="00243440">
        <w:rPr>
          <w:rFonts w:eastAsia="Times New Roman"/>
          <w:color w:val="000000"/>
        </w:rPr>
        <w:t>A d</w:t>
      </w:r>
      <w:r>
        <w:rPr>
          <w:rFonts w:eastAsia="Times New Roman"/>
          <w:color w:val="000000"/>
        </w:rPr>
        <w:t xml:space="preserve">ischarge from a stormwater management </w:t>
      </w:r>
      <w:r w:rsidR="007F106C">
        <w:rPr>
          <w:rFonts w:eastAsia="Times New Roman"/>
          <w:color w:val="000000"/>
        </w:rPr>
        <w:t>structure must</w:t>
      </w:r>
      <w:r>
        <w:rPr>
          <w:rFonts w:eastAsia="Times New Roman"/>
          <w:color w:val="000000"/>
        </w:rPr>
        <w:t xml:space="preserve"> be </w:t>
      </w:r>
      <w:r w:rsidR="00243440">
        <w:rPr>
          <w:rFonts w:eastAsia="Times New Roman"/>
          <w:color w:val="000000"/>
        </w:rPr>
        <w:t xml:space="preserve">sampled at the time the discharge occurs and must be </w:t>
      </w:r>
      <w:r>
        <w:rPr>
          <w:rFonts w:eastAsia="Times New Roman"/>
          <w:color w:val="000000"/>
        </w:rPr>
        <w:t>representative. All other stormwater discharges must be taken when the discharge occurs, provided the interval from the preceding measurable storm event is at least 72 hours. The sample must also be taken during the first 30 minutes of the discharge. There are some exemptions to these timing requirements.</w:t>
      </w:r>
    </w:p>
    <w:p w14:paraId="79C19955" w14:textId="6DC1D569" w:rsidR="002148F1" w:rsidRDefault="003847C3" w:rsidP="008E642E">
      <w:pPr>
        <w:spacing w:before="256" w:line="247" w:lineRule="exact"/>
        <w:ind w:right="144"/>
        <w:textAlignment w:val="baseline"/>
        <w:rPr>
          <w:rFonts w:eastAsia="Times New Roman"/>
          <w:color w:val="000000"/>
        </w:rPr>
      </w:pPr>
      <w:r>
        <w:rPr>
          <w:rFonts w:eastAsia="Times New Roman"/>
          <w:color w:val="000000"/>
        </w:rPr>
        <w:t xml:space="preserve">DMRs of yearly </w:t>
      </w:r>
      <w:r w:rsidR="00154993">
        <w:rPr>
          <w:rFonts w:eastAsia="Times New Roman"/>
          <w:color w:val="000000"/>
        </w:rPr>
        <w:t xml:space="preserve">stormwater </w:t>
      </w:r>
      <w:r>
        <w:rPr>
          <w:rFonts w:eastAsia="Times New Roman"/>
          <w:color w:val="000000"/>
        </w:rPr>
        <w:t>monitoring (January 1</w:t>
      </w:r>
      <w:r>
        <w:rPr>
          <w:rFonts w:eastAsia="Times New Roman"/>
          <w:color w:val="000000"/>
          <w:vertAlign w:val="superscript"/>
        </w:rPr>
        <w:t>st</w:t>
      </w:r>
      <w:r>
        <w:rPr>
          <w:rFonts w:eastAsia="Times New Roman"/>
          <w:color w:val="000000"/>
        </w:rPr>
        <w:t xml:space="preserve"> to December 31</w:t>
      </w:r>
      <w:r>
        <w:rPr>
          <w:rFonts w:eastAsia="Times New Roman"/>
          <w:color w:val="000000"/>
          <w:vertAlign w:val="superscript"/>
        </w:rPr>
        <w:t>st</w:t>
      </w:r>
      <w:r>
        <w:rPr>
          <w:rFonts w:eastAsia="Times New Roman"/>
          <w:color w:val="000000"/>
        </w:rPr>
        <w:t xml:space="preserve">) must be submitted to the </w:t>
      </w:r>
      <w:r w:rsidR="00A67FC2">
        <w:rPr>
          <w:rFonts w:eastAsia="Times New Roman"/>
          <w:color w:val="000000"/>
        </w:rPr>
        <w:t xml:space="preserve">applicable </w:t>
      </w:r>
      <w:r>
        <w:rPr>
          <w:rFonts w:eastAsia="Times New Roman"/>
          <w:color w:val="000000"/>
        </w:rPr>
        <w:t xml:space="preserve">DEQ </w:t>
      </w:r>
      <w:r w:rsidR="00A67FC2">
        <w:rPr>
          <w:rFonts w:eastAsia="Times New Roman"/>
          <w:color w:val="000000"/>
        </w:rPr>
        <w:t>r</w:t>
      </w:r>
      <w:r>
        <w:rPr>
          <w:rFonts w:eastAsia="Times New Roman"/>
          <w:color w:val="000000"/>
        </w:rPr>
        <w:t xml:space="preserve">egional </w:t>
      </w:r>
      <w:r w:rsidR="00A67FC2">
        <w:rPr>
          <w:rFonts w:eastAsia="Times New Roman"/>
          <w:color w:val="000000"/>
        </w:rPr>
        <w:t>o</w:t>
      </w:r>
      <w:r>
        <w:rPr>
          <w:rFonts w:eastAsia="Times New Roman"/>
          <w:color w:val="000000"/>
        </w:rPr>
        <w:t>ffice no later than the 10</w:t>
      </w:r>
      <w:r>
        <w:rPr>
          <w:rFonts w:eastAsia="Times New Roman"/>
          <w:color w:val="000000"/>
          <w:vertAlign w:val="superscript"/>
        </w:rPr>
        <w:t>th</w:t>
      </w:r>
      <w:r>
        <w:rPr>
          <w:rFonts w:eastAsia="Times New Roman"/>
          <w:color w:val="000000"/>
        </w:rPr>
        <w:t xml:space="preserve"> day January.</w:t>
      </w:r>
    </w:p>
    <w:p w14:paraId="13244EF0" w14:textId="1459F34B" w:rsidR="002148F1" w:rsidRDefault="00D24ECB" w:rsidP="008E642E">
      <w:pPr>
        <w:spacing w:before="262" w:line="253" w:lineRule="exact"/>
        <w:ind w:right="648"/>
        <w:textAlignment w:val="baseline"/>
        <w:rPr>
          <w:rFonts w:eastAsia="Times New Roman"/>
          <w:color w:val="000000"/>
          <w:spacing w:val="-3"/>
        </w:rPr>
      </w:pPr>
      <w:r>
        <w:rPr>
          <w:rFonts w:eastAsia="Times New Roman"/>
          <w:color w:val="000000"/>
          <w:spacing w:val="-3"/>
        </w:rPr>
        <w:t>For stormwater that is not combined with other wastewater, i</w:t>
      </w:r>
      <w:r w:rsidR="003847C3">
        <w:rPr>
          <w:rFonts w:eastAsia="Times New Roman"/>
          <w:color w:val="000000"/>
          <w:spacing w:val="-3"/>
        </w:rPr>
        <w:t xml:space="preserve">f </w:t>
      </w:r>
      <w:r w:rsidR="00154993">
        <w:rPr>
          <w:rFonts w:eastAsia="Times New Roman"/>
          <w:color w:val="000000"/>
          <w:spacing w:val="-3"/>
        </w:rPr>
        <w:t>t</w:t>
      </w:r>
      <w:r w:rsidR="003847C3">
        <w:rPr>
          <w:rFonts w:eastAsia="Times New Roman"/>
          <w:color w:val="000000"/>
          <w:spacing w:val="-3"/>
        </w:rPr>
        <w:t xml:space="preserve">otal </w:t>
      </w:r>
      <w:r w:rsidR="00154993">
        <w:rPr>
          <w:rFonts w:eastAsia="Times New Roman"/>
          <w:color w:val="000000"/>
          <w:spacing w:val="-3"/>
        </w:rPr>
        <w:t>s</w:t>
      </w:r>
      <w:r w:rsidR="003847C3">
        <w:rPr>
          <w:rFonts w:eastAsia="Times New Roman"/>
          <w:color w:val="000000"/>
          <w:spacing w:val="-3"/>
        </w:rPr>
        <w:t xml:space="preserve">uspended </w:t>
      </w:r>
      <w:r w:rsidR="00154993">
        <w:rPr>
          <w:rFonts w:eastAsia="Times New Roman"/>
          <w:color w:val="000000"/>
          <w:spacing w:val="-3"/>
        </w:rPr>
        <w:t>s</w:t>
      </w:r>
      <w:r w:rsidR="003847C3">
        <w:rPr>
          <w:rFonts w:eastAsia="Times New Roman"/>
          <w:color w:val="000000"/>
          <w:spacing w:val="-3"/>
        </w:rPr>
        <w:t>olids (TSS) monitoring results exceed 100 mg/L daily maximum, the stormwater pollution prevention plan (SWPPP) must be reviewed for necessary changes</w:t>
      </w:r>
      <w:r w:rsidR="00154993">
        <w:rPr>
          <w:rFonts w:eastAsia="Times New Roman"/>
          <w:color w:val="000000"/>
          <w:spacing w:val="-3"/>
        </w:rPr>
        <w:t xml:space="preserve">, </w:t>
      </w:r>
      <w:r w:rsidR="003847C3">
        <w:rPr>
          <w:rFonts w:eastAsia="Times New Roman"/>
          <w:color w:val="000000"/>
          <w:spacing w:val="-3"/>
        </w:rPr>
        <w:t xml:space="preserve">a </w:t>
      </w:r>
      <w:r w:rsidR="002A1539">
        <w:rPr>
          <w:rFonts w:eastAsia="Times New Roman"/>
          <w:color w:val="000000"/>
          <w:spacing w:val="-3"/>
        </w:rPr>
        <w:t xml:space="preserve">routine facility </w:t>
      </w:r>
      <w:r w:rsidR="003847C3">
        <w:rPr>
          <w:rFonts w:eastAsia="Times New Roman"/>
          <w:color w:val="000000"/>
          <w:spacing w:val="-3"/>
        </w:rPr>
        <w:t xml:space="preserve">inspection must be performed </w:t>
      </w:r>
      <w:r w:rsidR="002A1539">
        <w:rPr>
          <w:rFonts w:eastAsia="Times New Roman"/>
          <w:color w:val="000000"/>
          <w:spacing w:val="-3"/>
        </w:rPr>
        <w:t>within five days of becoming aware of the exceedance</w:t>
      </w:r>
      <w:r w:rsidR="00154993">
        <w:rPr>
          <w:rFonts w:eastAsia="Times New Roman"/>
          <w:color w:val="000000"/>
          <w:spacing w:val="-3"/>
        </w:rPr>
        <w:t>, d</w:t>
      </w:r>
      <w:r w:rsidR="002A1539">
        <w:rPr>
          <w:rFonts w:eastAsia="Times New Roman"/>
          <w:color w:val="000000"/>
          <w:spacing w:val="-3"/>
        </w:rPr>
        <w:t xml:space="preserve">ocumentation must be maintained as specified, </w:t>
      </w:r>
      <w:r w:rsidR="003847C3">
        <w:rPr>
          <w:rFonts w:eastAsia="Times New Roman"/>
          <w:color w:val="000000"/>
          <w:spacing w:val="-3"/>
        </w:rPr>
        <w:t xml:space="preserve">and </w:t>
      </w:r>
      <w:r w:rsidR="00A67FC2">
        <w:rPr>
          <w:rFonts w:eastAsia="Times New Roman"/>
          <w:color w:val="000000"/>
          <w:spacing w:val="-3"/>
        </w:rPr>
        <w:t xml:space="preserve">any </w:t>
      </w:r>
      <w:r w:rsidR="003847C3">
        <w:rPr>
          <w:rFonts w:eastAsia="Times New Roman"/>
          <w:color w:val="000000"/>
          <w:spacing w:val="-3"/>
        </w:rPr>
        <w:t xml:space="preserve">deficiencies </w:t>
      </w:r>
      <w:r w:rsidR="00154993">
        <w:rPr>
          <w:rFonts w:eastAsia="Times New Roman"/>
          <w:color w:val="000000"/>
          <w:spacing w:val="-3"/>
        </w:rPr>
        <w:t xml:space="preserve">must be </w:t>
      </w:r>
      <w:r w:rsidR="003847C3">
        <w:rPr>
          <w:rFonts w:eastAsia="Times New Roman"/>
          <w:color w:val="000000"/>
          <w:spacing w:val="-3"/>
        </w:rPr>
        <w:t>corrected.</w:t>
      </w:r>
    </w:p>
    <w:p w14:paraId="72F506CE" w14:textId="5EBB0650" w:rsidR="00CA75B6" w:rsidRDefault="00CA75B6" w:rsidP="008E642E">
      <w:pPr>
        <w:spacing w:before="262" w:line="253" w:lineRule="exact"/>
        <w:ind w:right="648"/>
        <w:textAlignment w:val="baseline"/>
        <w:rPr>
          <w:rFonts w:eastAsia="Times New Roman"/>
          <w:color w:val="000000"/>
          <w:spacing w:val="-3"/>
        </w:rPr>
      </w:pPr>
      <w:r>
        <w:rPr>
          <w:rFonts w:eastAsia="Times New Roman"/>
          <w:color w:val="000000"/>
          <w:spacing w:val="-3"/>
        </w:rPr>
        <w:t xml:space="preserve">Permittees also must conduct calendar quarterly </w:t>
      </w:r>
      <w:r w:rsidRPr="00217E76">
        <w:rPr>
          <w:rFonts w:eastAsia="Times New Roman"/>
          <w:color w:val="000000"/>
          <w:spacing w:val="-3"/>
        </w:rPr>
        <w:t>visual monitoring</w:t>
      </w:r>
      <w:r>
        <w:rPr>
          <w:rFonts w:eastAsia="Times New Roman"/>
          <w:color w:val="000000"/>
          <w:spacing w:val="-3"/>
        </w:rPr>
        <w:t xml:space="preserve"> of discharges of stormwater associated with industrial activity. This monitoring must include examination of representative storm event discharges from the facility including observations regarding color, odor, </w:t>
      </w:r>
      <w:r w:rsidR="00D040C8">
        <w:rPr>
          <w:rFonts w:eastAsia="Times New Roman"/>
          <w:color w:val="000000"/>
          <w:spacing w:val="-3"/>
        </w:rPr>
        <w:t xml:space="preserve">clarity, </w:t>
      </w:r>
      <w:r>
        <w:rPr>
          <w:rFonts w:eastAsia="Times New Roman"/>
          <w:color w:val="000000"/>
          <w:spacing w:val="-3"/>
        </w:rPr>
        <w:t xml:space="preserve">floating solids, settled solids, suspended solids, foam, oil sheen, and other obvious indicators of stormwater pollution. </w:t>
      </w:r>
    </w:p>
    <w:p w14:paraId="3D1300D3" w14:textId="58536A84" w:rsidR="002148F1" w:rsidRPr="00D24ECB" w:rsidRDefault="003847C3" w:rsidP="00990C11">
      <w:pPr>
        <w:pStyle w:val="Heading1"/>
        <w:rPr>
          <w:rFonts w:eastAsia="Times New Roman"/>
        </w:rPr>
      </w:pPr>
      <w:r w:rsidRPr="00D24ECB">
        <w:rPr>
          <w:rFonts w:eastAsia="Times New Roman"/>
        </w:rPr>
        <w:t xml:space="preserve">III. Basis for Part I Effluent Limits and Monitoring </w:t>
      </w:r>
      <w:r w:rsidR="00D24ECB" w:rsidRPr="00D24ECB">
        <w:rPr>
          <w:rFonts w:eastAsia="Times New Roman"/>
        </w:rPr>
        <w:t>Requirements</w:t>
      </w:r>
      <w:r w:rsidRPr="00D24ECB">
        <w:rPr>
          <w:rFonts w:eastAsia="Times New Roman"/>
        </w:rPr>
        <w:t xml:space="preserve"> </w:t>
      </w:r>
      <w:r w:rsidR="00D24ECB">
        <w:rPr>
          <w:rFonts w:eastAsia="Times New Roman"/>
        </w:rPr>
        <w:t xml:space="preserve">for </w:t>
      </w:r>
      <w:r w:rsidRPr="00D24ECB">
        <w:rPr>
          <w:rFonts w:eastAsia="Times New Roman"/>
        </w:rPr>
        <w:t xml:space="preserve">Commingled Wastewater </w:t>
      </w:r>
    </w:p>
    <w:p w14:paraId="255A16BF" w14:textId="6CA3779C" w:rsidR="002148F1" w:rsidRDefault="003847C3" w:rsidP="00D24ECB">
      <w:pPr>
        <w:spacing w:before="248" w:line="251" w:lineRule="exact"/>
        <w:ind w:right="216"/>
        <w:textAlignment w:val="baseline"/>
        <w:rPr>
          <w:rFonts w:eastAsia="Times New Roman"/>
          <w:color w:val="000000"/>
          <w:spacing w:val="-1"/>
        </w:rPr>
      </w:pPr>
      <w:r>
        <w:rPr>
          <w:rFonts w:eastAsia="Times New Roman"/>
          <w:color w:val="000000"/>
        </w:rPr>
        <w:t xml:space="preserve">Mining area wastewaters are recycled as a source of processing water, lost by </w:t>
      </w:r>
      <w:proofErr w:type="gramStart"/>
      <w:r>
        <w:rPr>
          <w:rFonts w:eastAsia="Times New Roman"/>
          <w:color w:val="000000"/>
        </w:rPr>
        <w:t>evaporation</w:t>
      </w:r>
      <w:proofErr w:type="gramEnd"/>
      <w:r>
        <w:rPr>
          <w:rFonts w:eastAsia="Times New Roman"/>
          <w:color w:val="000000"/>
        </w:rPr>
        <w:t xml:space="preserve"> or discharged. The discharges that are not recycled are controlled by limitations in this </w:t>
      </w:r>
      <w:r w:rsidR="003937B3">
        <w:rPr>
          <w:rFonts w:eastAsia="Times New Roman"/>
          <w:color w:val="000000"/>
        </w:rPr>
        <w:t xml:space="preserve">general </w:t>
      </w:r>
      <w:r>
        <w:rPr>
          <w:rFonts w:eastAsia="Times New Roman"/>
          <w:color w:val="000000"/>
        </w:rPr>
        <w:t xml:space="preserve">permit. These discharges may </w:t>
      </w:r>
      <w:r>
        <w:rPr>
          <w:rFonts w:eastAsia="Times New Roman"/>
          <w:color w:val="000000"/>
        </w:rPr>
        <w:lastRenderedPageBreak/>
        <w:t xml:space="preserve">consist of stormwater associated with industrial activity which has come in contact with overburden, raw material, intermediate product, finished product, byproduct or waste product; process wastewater which may include water used in the process of washing mined materials, vehicle or equipment degreasing wastewater, miscellaneous plant cleanup wastewater and mine pit </w:t>
      </w:r>
      <w:r w:rsidRPr="00A67FC2">
        <w:rPr>
          <w:rFonts w:eastAsia="Times New Roman"/>
          <w:color w:val="000000"/>
        </w:rPr>
        <w:t>dewatering</w:t>
      </w:r>
      <w:r w:rsidR="001674DE">
        <w:rPr>
          <w:rFonts w:eastAsia="Times New Roman"/>
          <w:color w:val="000000"/>
        </w:rPr>
        <w:t>,</w:t>
      </w:r>
      <w:r>
        <w:rPr>
          <w:rFonts w:eastAsia="Times New Roman"/>
          <w:color w:val="000000"/>
        </w:rPr>
        <w:t xml:space="preserve"> which may include the above collected discharges along with accumulated groundwater that enters the mine. Treatment usually consists of</w:t>
      </w:r>
      <w:r w:rsidR="0002419A">
        <w:rPr>
          <w:rFonts w:eastAsia="Times New Roman"/>
          <w:color w:val="000000"/>
        </w:rPr>
        <w:t xml:space="preserve"> </w:t>
      </w:r>
      <w:r>
        <w:rPr>
          <w:rFonts w:eastAsia="Times New Roman"/>
          <w:color w:val="000000"/>
          <w:spacing w:val="-1"/>
        </w:rPr>
        <w:t>sedimentation.</w:t>
      </w:r>
    </w:p>
    <w:p w14:paraId="0C2750F1" w14:textId="069E3DFD" w:rsidR="002148F1" w:rsidRDefault="003847C3" w:rsidP="00D24ECB">
      <w:pPr>
        <w:spacing w:before="251" w:line="254" w:lineRule="exact"/>
        <w:ind w:right="216"/>
        <w:textAlignment w:val="baseline"/>
        <w:rPr>
          <w:rFonts w:eastAsia="Times New Roman"/>
          <w:color w:val="000000"/>
        </w:rPr>
      </w:pPr>
      <w:r>
        <w:rPr>
          <w:rFonts w:eastAsia="Times New Roman"/>
          <w:color w:val="000000"/>
        </w:rPr>
        <w:t>The discharge parameters to be limited are pH</w:t>
      </w:r>
      <w:r w:rsidR="00242F7D">
        <w:rPr>
          <w:rFonts w:eastAsia="Times New Roman"/>
          <w:color w:val="000000"/>
        </w:rPr>
        <w:t xml:space="preserve"> and</w:t>
      </w:r>
      <w:r>
        <w:rPr>
          <w:rFonts w:eastAsia="Times New Roman"/>
          <w:color w:val="000000"/>
        </w:rPr>
        <w:t xml:space="preserve"> T</w:t>
      </w:r>
      <w:r w:rsidR="00D31285">
        <w:rPr>
          <w:rFonts w:eastAsia="Times New Roman"/>
          <w:color w:val="000000"/>
        </w:rPr>
        <w:t>otal Suspended Solids (TSS)</w:t>
      </w:r>
      <w:r w:rsidR="00242F7D">
        <w:rPr>
          <w:rFonts w:eastAsia="Times New Roman"/>
          <w:color w:val="000000"/>
        </w:rPr>
        <w:t>.</w:t>
      </w:r>
    </w:p>
    <w:p w14:paraId="5B58DFD4" w14:textId="1437E2F9" w:rsidR="002148F1" w:rsidRDefault="003847C3" w:rsidP="00D24ECB">
      <w:pPr>
        <w:spacing w:before="254" w:line="254" w:lineRule="exact"/>
        <w:ind w:right="216"/>
        <w:textAlignment w:val="baseline"/>
        <w:rPr>
          <w:rFonts w:eastAsia="Times New Roman"/>
          <w:color w:val="000000"/>
        </w:rPr>
      </w:pPr>
      <w:r w:rsidRPr="00250F35">
        <w:rPr>
          <w:rFonts w:eastAsia="Times New Roman"/>
          <w:color w:val="000000"/>
        </w:rPr>
        <w:t>The pH limitation is based upon Virginia's water quality standards and federal effluent guidelines</w:t>
      </w:r>
      <w:r>
        <w:rPr>
          <w:rFonts w:eastAsia="Times New Roman"/>
          <w:color w:val="000000"/>
        </w:rPr>
        <w:t xml:space="preserve"> (40 CFR Part 436). Effluent guidelines (40 CFR Part 436) require pH limits of 6.0 </w:t>
      </w:r>
      <w:r>
        <w:rPr>
          <w:rFonts w:eastAsia="Times New Roman"/>
          <w:color w:val="000000"/>
          <w:sz w:val="24"/>
        </w:rPr>
        <w:t xml:space="preserve">– </w:t>
      </w:r>
      <w:r>
        <w:rPr>
          <w:rFonts w:eastAsia="Times New Roman"/>
          <w:color w:val="000000"/>
        </w:rPr>
        <w:t xml:space="preserve">9.0 Standard Units (SU). Stream standards for pH are in most cases in the range of 6 to 9 SU; however, there are special standards in effect in some areas (e.g., 6.5 </w:t>
      </w:r>
      <w:r>
        <w:rPr>
          <w:rFonts w:eastAsia="Times New Roman"/>
          <w:color w:val="000000"/>
          <w:sz w:val="24"/>
        </w:rPr>
        <w:t xml:space="preserve">– </w:t>
      </w:r>
      <w:r>
        <w:rPr>
          <w:rFonts w:eastAsia="Times New Roman"/>
          <w:color w:val="000000"/>
        </w:rPr>
        <w:t xml:space="preserve">9.5 in some valley streams or 3.7 </w:t>
      </w:r>
      <w:r>
        <w:rPr>
          <w:rFonts w:eastAsia="Times New Roman"/>
          <w:color w:val="000000"/>
          <w:sz w:val="24"/>
        </w:rPr>
        <w:t xml:space="preserve">– </w:t>
      </w:r>
      <w:r>
        <w:rPr>
          <w:rFonts w:eastAsia="Times New Roman"/>
          <w:color w:val="000000"/>
        </w:rPr>
        <w:t xml:space="preserve">8.0 in some swamp waters). However, because DEQ comports with federal effluent guidelines for its general permits, pH limits cannot go below 6.0 or above 9.0. For example, a 6.5 to 9.5 special stream standard will necessitate a 6.5 to 9.0 effluent limit and a 3.7 </w:t>
      </w:r>
      <w:r>
        <w:rPr>
          <w:rFonts w:eastAsia="Times New Roman"/>
          <w:color w:val="000000"/>
          <w:sz w:val="24"/>
        </w:rPr>
        <w:t xml:space="preserve">– </w:t>
      </w:r>
      <w:r>
        <w:rPr>
          <w:rFonts w:eastAsia="Times New Roman"/>
          <w:color w:val="000000"/>
        </w:rPr>
        <w:t xml:space="preserve">8.0 special stream standard will necessitate a 6.0 </w:t>
      </w:r>
      <w:r>
        <w:rPr>
          <w:rFonts w:eastAsia="Times New Roman"/>
          <w:color w:val="000000"/>
          <w:sz w:val="24"/>
        </w:rPr>
        <w:t xml:space="preserve">– </w:t>
      </w:r>
      <w:r>
        <w:rPr>
          <w:rFonts w:eastAsia="Times New Roman"/>
          <w:color w:val="000000"/>
        </w:rPr>
        <w:t>8.0 effluent limit.</w:t>
      </w:r>
    </w:p>
    <w:p w14:paraId="7B8F9D48" w14:textId="67F26308" w:rsidR="002148F1" w:rsidRDefault="003847C3" w:rsidP="00D24ECB">
      <w:pPr>
        <w:spacing w:before="245" w:line="254" w:lineRule="exact"/>
        <w:ind w:right="144"/>
        <w:textAlignment w:val="baseline"/>
        <w:rPr>
          <w:rFonts w:eastAsia="Times New Roman"/>
          <w:color w:val="000000"/>
        </w:rPr>
      </w:pPr>
      <w:r w:rsidRPr="00250F35">
        <w:rPr>
          <w:rFonts w:eastAsia="Times New Roman"/>
          <w:color w:val="000000"/>
        </w:rPr>
        <w:t xml:space="preserve">TSS limitations are based on federal effluent guidelines for some of the industrial categories covered by the general permit and at </w:t>
      </w:r>
      <w:r w:rsidR="007F106C" w:rsidRPr="00250F35">
        <w:rPr>
          <w:rFonts w:eastAsia="Times New Roman"/>
          <w:color w:val="000000"/>
        </w:rPr>
        <w:t>levels that</w:t>
      </w:r>
      <w:r w:rsidRPr="00250F35">
        <w:rPr>
          <w:rFonts w:eastAsia="Times New Roman"/>
          <w:color w:val="000000"/>
        </w:rPr>
        <w:t xml:space="preserve">, based on the Department's experience with individual VPDES permits, </w:t>
      </w:r>
      <w:r w:rsidR="00ED12A6">
        <w:rPr>
          <w:rFonts w:eastAsia="Times New Roman"/>
          <w:color w:val="000000"/>
        </w:rPr>
        <w:t xml:space="preserve">are achievable and will prevent the buildup of solids on the bottoms of </w:t>
      </w:r>
      <w:r w:rsidRPr="00250F35">
        <w:rPr>
          <w:rFonts w:eastAsia="Times New Roman"/>
          <w:color w:val="000000"/>
        </w:rPr>
        <w:t>receiving waters</w:t>
      </w:r>
      <w:r>
        <w:rPr>
          <w:rFonts w:eastAsia="Times New Roman"/>
          <w:color w:val="000000"/>
        </w:rPr>
        <w:t>.</w:t>
      </w:r>
      <w:r w:rsidR="0006382F">
        <w:rPr>
          <w:rFonts w:eastAsia="Times New Roman"/>
          <w:color w:val="000000"/>
        </w:rPr>
        <w:t xml:space="preserve"> </w:t>
      </w:r>
    </w:p>
    <w:p w14:paraId="321D5BF4" w14:textId="15C66A78" w:rsidR="00C953A2" w:rsidRDefault="003847C3" w:rsidP="00B64CA9">
      <w:pPr>
        <w:spacing w:before="250" w:line="254" w:lineRule="exact"/>
        <w:ind w:right="72"/>
        <w:textAlignment w:val="baseline"/>
        <w:rPr>
          <w:rFonts w:eastAsia="Times New Roman"/>
          <w:color w:val="000000"/>
        </w:rPr>
      </w:pPr>
      <w:r>
        <w:rPr>
          <w:rFonts w:eastAsia="Times New Roman"/>
          <w:color w:val="000000"/>
        </w:rPr>
        <w:t>The monitoring frequency and sample type have been established after considering the consistency and nature of these operations, the existing analytical data and the potential environmental risk and consequences of the discharges. Reporting of monitoring data is required quarterly.</w:t>
      </w:r>
    </w:p>
    <w:p w14:paraId="58C34061" w14:textId="39BB7020" w:rsidR="002148F1" w:rsidRPr="00B64CA9" w:rsidRDefault="00B64CA9" w:rsidP="00990C11">
      <w:pPr>
        <w:pStyle w:val="Heading1"/>
        <w:rPr>
          <w:rFonts w:eastAsia="Times New Roman"/>
        </w:rPr>
      </w:pPr>
      <w:r w:rsidRPr="00B64CA9">
        <w:rPr>
          <w:rFonts w:eastAsia="Times New Roman"/>
        </w:rPr>
        <w:t xml:space="preserve">IV. </w:t>
      </w:r>
      <w:r w:rsidR="003847C3" w:rsidRPr="00B64CA9">
        <w:rPr>
          <w:rFonts w:eastAsia="Times New Roman"/>
        </w:rPr>
        <w:t>Basis for Part I Storm Event Monitoring Requirement</w:t>
      </w:r>
    </w:p>
    <w:p w14:paraId="36A5FD65" w14:textId="008F4C90" w:rsidR="00EB2196" w:rsidRDefault="003847C3" w:rsidP="00D24ECB">
      <w:pPr>
        <w:spacing w:before="248" w:line="254" w:lineRule="exact"/>
        <w:ind w:right="144"/>
        <w:textAlignment w:val="baseline"/>
        <w:rPr>
          <w:rFonts w:eastAsia="Times New Roman"/>
          <w:color w:val="000000"/>
          <w:spacing w:val="-1"/>
        </w:rPr>
      </w:pPr>
      <w:r>
        <w:rPr>
          <w:rFonts w:eastAsia="Times New Roman"/>
          <w:color w:val="000000"/>
          <w:spacing w:val="-1"/>
        </w:rPr>
        <w:t>Stormwater associated with industrial activity that is not combined with process wastewater may be discharged from mining activities covered by this permit</w:t>
      </w:r>
      <w:r w:rsidR="003937B3">
        <w:rPr>
          <w:rFonts w:eastAsia="Times New Roman"/>
          <w:color w:val="000000"/>
          <w:spacing w:val="-1"/>
        </w:rPr>
        <w:t xml:space="preserve"> subject to the applicable conditions of the permit</w:t>
      </w:r>
      <w:r w:rsidR="001F2296">
        <w:rPr>
          <w:rFonts w:eastAsia="Times New Roman"/>
          <w:color w:val="000000"/>
          <w:spacing w:val="-1"/>
        </w:rPr>
        <w:t>, including annual monitoring</w:t>
      </w:r>
      <w:r w:rsidR="00EB2196">
        <w:rPr>
          <w:rFonts w:eastAsia="Times New Roman"/>
          <w:color w:val="000000"/>
          <w:spacing w:val="-1"/>
        </w:rPr>
        <w:t xml:space="preserve"> for TSS and </w:t>
      </w:r>
      <w:proofErr w:type="spellStart"/>
      <w:r w:rsidR="00EB2196">
        <w:rPr>
          <w:rFonts w:eastAsia="Times New Roman"/>
          <w:color w:val="000000"/>
          <w:spacing w:val="-1"/>
        </w:rPr>
        <w:t>pH</w:t>
      </w:r>
      <w:r>
        <w:rPr>
          <w:rFonts w:eastAsia="Times New Roman"/>
          <w:color w:val="000000"/>
          <w:spacing w:val="-1"/>
        </w:rPr>
        <w:t>.</w:t>
      </w:r>
      <w:proofErr w:type="spellEnd"/>
      <w:r>
        <w:rPr>
          <w:rFonts w:eastAsia="Times New Roman"/>
          <w:color w:val="000000"/>
          <w:spacing w:val="-1"/>
        </w:rPr>
        <w:t xml:space="preserve"> This stormwater may have </w:t>
      </w:r>
      <w:proofErr w:type="gramStart"/>
      <w:r>
        <w:rPr>
          <w:rFonts w:eastAsia="Times New Roman"/>
          <w:color w:val="000000"/>
          <w:spacing w:val="-1"/>
        </w:rPr>
        <w:t>come in contact with</w:t>
      </w:r>
      <w:proofErr w:type="gramEnd"/>
      <w:r>
        <w:rPr>
          <w:rFonts w:eastAsia="Times New Roman"/>
          <w:color w:val="000000"/>
          <w:spacing w:val="-1"/>
        </w:rPr>
        <w:t xml:space="preserve"> or been exposed to overburden, raw material, intermediate product, finished product or byproduct and it may contain sediments eroded from the exposed surfaces of the mine, stockpiles, overburden storage, processing areas, or overburden disposal areas. It is necessary for the protection of water quality in the streams receiving the stormwater runoff from a mining operation that appropriate erosion and sedimentation controls and practices be designed and implemented at these facilities. The erosion and sedimentation </w:t>
      </w:r>
      <w:r w:rsidRPr="00513910">
        <w:rPr>
          <w:rFonts w:eastAsia="Times New Roman"/>
          <w:color w:val="000000"/>
          <w:spacing w:val="-1"/>
        </w:rPr>
        <w:t xml:space="preserve">control practices mandated by the </w:t>
      </w:r>
      <w:r w:rsidR="00D31285">
        <w:rPr>
          <w:rFonts w:eastAsia="Times New Roman"/>
          <w:color w:val="000000"/>
          <w:spacing w:val="-1"/>
        </w:rPr>
        <w:t xml:space="preserve">Virginia Department of Energy (DOE - formerly the Virginia Department of Mines, Minerals and Energy) </w:t>
      </w:r>
      <w:r w:rsidRPr="00513910">
        <w:rPr>
          <w:rFonts w:eastAsia="Times New Roman"/>
          <w:color w:val="000000"/>
          <w:spacing w:val="-1"/>
        </w:rPr>
        <w:t>regulations and imposed on the owners or operators of a mineral mine through their mining permit include</w:t>
      </w:r>
      <w:r>
        <w:rPr>
          <w:rFonts w:eastAsia="Times New Roman"/>
          <w:color w:val="000000"/>
          <w:spacing w:val="-1"/>
        </w:rPr>
        <w:t xml:space="preserve"> </w:t>
      </w:r>
      <w:r w:rsidR="00217E76">
        <w:rPr>
          <w:rFonts w:eastAsia="Times New Roman"/>
          <w:color w:val="000000"/>
          <w:spacing w:val="-1"/>
        </w:rPr>
        <w:t xml:space="preserve">adequate drainage, erosion and sediment control measures installed and maintained in accordance with a mandated and approved drainage plan, as well as </w:t>
      </w:r>
      <w:r>
        <w:rPr>
          <w:rFonts w:eastAsia="Times New Roman"/>
          <w:color w:val="000000"/>
          <w:spacing w:val="-1"/>
        </w:rPr>
        <w:t xml:space="preserve">requirements that temporary and permanent control facilities for mining operations be designed </w:t>
      </w:r>
      <w:r w:rsidR="00E82F46">
        <w:rPr>
          <w:rFonts w:eastAsia="Times New Roman"/>
          <w:color w:val="000000"/>
          <w:spacing w:val="-1"/>
        </w:rPr>
        <w:t xml:space="preserve">with outlets that can </w:t>
      </w:r>
      <w:r>
        <w:rPr>
          <w:rFonts w:eastAsia="Times New Roman"/>
          <w:color w:val="000000"/>
          <w:spacing w:val="-1"/>
        </w:rPr>
        <w:t xml:space="preserve">accommodate the rainfall from at least the </w:t>
      </w:r>
      <w:r w:rsidRPr="00E82F46">
        <w:rPr>
          <w:rFonts w:eastAsia="Times New Roman"/>
          <w:color w:val="000000"/>
          <w:spacing w:val="-1"/>
        </w:rPr>
        <w:t>50-year and 100-year storm event, respectively</w:t>
      </w:r>
      <w:r w:rsidR="001F2296">
        <w:rPr>
          <w:rFonts w:eastAsia="Times New Roman"/>
          <w:color w:val="000000"/>
          <w:spacing w:val="-1"/>
        </w:rPr>
        <w:t xml:space="preserve">. </w:t>
      </w:r>
      <w:r w:rsidR="00C32262">
        <w:rPr>
          <w:rFonts w:eastAsia="Times New Roman"/>
          <w:color w:val="000000"/>
          <w:spacing w:val="-1"/>
        </w:rPr>
        <w:t xml:space="preserve">In addition, </w:t>
      </w:r>
      <w:r w:rsidR="00D31285">
        <w:rPr>
          <w:rFonts w:eastAsia="Times New Roman"/>
          <w:color w:val="000000"/>
          <w:spacing w:val="-1"/>
        </w:rPr>
        <w:t xml:space="preserve">DOE </w:t>
      </w:r>
      <w:r w:rsidR="001F2296">
        <w:rPr>
          <w:rFonts w:eastAsia="Times New Roman"/>
          <w:color w:val="000000"/>
          <w:spacing w:val="-1"/>
        </w:rPr>
        <w:t xml:space="preserve">regulations require </w:t>
      </w:r>
      <w:r>
        <w:rPr>
          <w:rFonts w:eastAsia="Times New Roman"/>
          <w:color w:val="000000"/>
          <w:spacing w:val="-1"/>
        </w:rPr>
        <w:t xml:space="preserve">that </w:t>
      </w:r>
      <w:r w:rsidR="001F2296">
        <w:rPr>
          <w:rFonts w:eastAsia="Times New Roman"/>
          <w:color w:val="000000"/>
          <w:spacing w:val="-1"/>
        </w:rPr>
        <w:t xml:space="preserve">mineral mining sediment basins </w:t>
      </w:r>
      <w:r>
        <w:rPr>
          <w:rFonts w:eastAsia="Times New Roman"/>
          <w:color w:val="000000"/>
          <w:spacing w:val="-1"/>
        </w:rPr>
        <w:t>provide for 0.125 acre-feet per disturbed acre</w:t>
      </w:r>
      <w:r w:rsidR="002825B4">
        <w:rPr>
          <w:rFonts w:eastAsia="Times New Roman"/>
          <w:color w:val="000000"/>
          <w:spacing w:val="-1"/>
        </w:rPr>
        <w:t xml:space="preserve"> of storage capacity</w:t>
      </w:r>
      <w:r>
        <w:rPr>
          <w:rFonts w:eastAsia="Times New Roman"/>
          <w:color w:val="000000"/>
          <w:spacing w:val="-1"/>
        </w:rPr>
        <w:t xml:space="preserve">. </w:t>
      </w:r>
      <w:r w:rsidR="001620E5">
        <w:rPr>
          <w:rFonts w:eastAsia="Times New Roman"/>
          <w:color w:val="000000"/>
          <w:spacing w:val="-1"/>
        </w:rPr>
        <w:t xml:space="preserve">Additional mining permit </w:t>
      </w:r>
      <w:r w:rsidR="00513910">
        <w:rPr>
          <w:rFonts w:eastAsia="Times New Roman"/>
          <w:color w:val="000000"/>
          <w:spacing w:val="-1"/>
        </w:rPr>
        <w:t xml:space="preserve">regulation </w:t>
      </w:r>
      <w:r w:rsidR="001620E5">
        <w:rPr>
          <w:rFonts w:eastAsia="Times New Roman"/>
          <w:color w:val="000000"/>
          <w:spacing w:val="-1"/>
        </w:rPr>
        <w:t xml:space="preserve">requirements include provisions </w:t>
      </w:r>
      <w:r w:rsidR="00513910">
        <w:rPr>
          <w:rFonts w:eastAsia="Times New Roman"/>
          <w:color w:val="000000"/>
          <w:spacing w:val="-1"/>
        </w:rPr>
        <w:t xml:space="preserve">to </w:t>
      </w:r>
      <w:r w:rsidR="00513910" w:rsidRPr="00513910">
        <w:rPr>
          <w:rFonts w:eastAsia="Times New Roman"/>
          <w:color w:val="000000"/>
          <w:spacing w:val="-1"/>
        </w:rPr>
        <w:t>protect intermittent or perennial streams, protection of natural drainage ways, diversions to address erosion and water pollution, and compliance with applicable water quality standards</w:t>
      </w:r>
      <w:r w:rsidR="00513910">
        <w:rPr>
          <w:rFonts w:eastAsia="Times New Roman"/>
          <w:color w:val="000000"/>
          <w:spacing w:val="-1"/>
        </w:rPr>
        <w:t>.</w:t>
      </w:r>
      <w:r w:rsidR="00513910" w:rsidRPr="00513910">
        <w:rPr>
          <w:rFonts w:eastAsia="Times New Roman"/>
          <w:color w:val="000000"/>
          <w:spacing w:val="-1"/>
        </w:rPr>
        <w:t xml:space="preserve"> </w:t>
      </w:r>
      <w:r w:rsidR="00354B6B">
        <w:rPr>
          <w:rFonts w:eastAsia="Times New Roman"/>
          <w:color w:val="000000"/>
          <w:spacing w:val="-1"/>
        </w:rPr>
        <w:t>This general permit also includes stormwater management requirements (see Section VI).</w:t>
      </w:r>
    </w:p>
    <w:p w14:paraId="68C6E10E" w14:textId="20D4ECB8" w:rsidR="00EB2196" w:rsidRDefault="00C32262" w:rsidP="00D24ECB">
      <w:pPr>
        <w:spacing w:before="248" w:line="254" w:lineRule="exact"/>
        <w:ind w:right="144"/>
        <w:textAlignment w:val="baseline"/>
        <w:rPr>
          <w:rFonts w:eastAsia="Times New Roman"/>
          <w:color w:val="000000"/>
          <w:spacing w:val="-1"/>
        </w:rPr>
      </w:pPr>
      <w:r>
        <w:rPr>
          <w:rFonts w:eastAsia="Times New Roman"/>
          <w:color w:val="000000"/>
        </w:rPr>
        <w:t>Under this general permit</w:t>
      </w:r>
      <w:r w:rsidR="002825B4">
        <w:rPr>
          <w:rFonts w:eastAsia="Times New Roman"/>
          <w:color w:val="000000"/>
        </w:rPr>
        <w:t>,</w:t>
      </w:r>
      <w:r>
        <w:rPr>
          <w:rFonts w:eastAsia="Times New Roman"/>
          <w:color w:val="000000"/>
        </w:rPr>
        <w:t xml:space="preserve"> p</w:t>
      </w:r>
      <w:r w:rsidR="00EB2196">
        <w:rPr>
          <w:rFonts w:eastAsia="Times New Roman"/>
          <w:color w:val="000000"/>
        </w:rPr>
        <w:t xml:space="preserve">ermittees are required to monitor </w:t>
      </w:r>
      <w:r>
        <w:rPr>
          <w:rFonts w:eastAsia="Times New Roman"/>
          <w:color w:val="000000"/>
        </w:rPr>
        <w:t>stormwater</w:t>
      </w:r>
      <w:r w:rsidR="00EB2196">
        <w:rPr>
          <w:rFonts w:eastAsia="Times New Roman"/>
          <w:color w:val="000000"/>
        </w:rPr>
        <w:t xml:space="preserve"> discharges for pH and TSS once per year over the term of the general permit and report the results to the Department. </w:t>
      </w:r>
      <w:r w:rsidR="00354B6B">
        <w:rPr>
          <w:rFonts w:eastAsia="Times New Roman"/>
          <w:color w:val="000000"/>
        </w:rPr>
        <w:t>If TSS levels exceed an evaluation value</w:t>
      </w:r>
      <w:r w:rsidR="002825B4">
        <w:rPr>
          <w:rFonts w:eastAsia="Times New Roman"/>
          <w:color w:val="000000"/>
        </w:rPr>
        <w:t>,</w:t>
      </w:r>
      <w:r w:rsidR="00354B6B">
        <w:rPr>
          <w:rFonts w:eastAsia="Times New Roman"/>
          <w:color w:val="000000"/>
        </w:rPr>
        <w:t xml:space="preserve"> follow-up actions are specified. </w:t>
      </w:r>
      <w:r w:rsidR="00EB2196">
        <w:rPr>
          <w:rFonts w:eastAsia="Times New Roman"/>
          <w:color w:val="000000"/>
        </w:rPr>
        <w:t xml:space="preserve">These stormwater monitoring requirements are comparable to </w:t>
      </w:r>
      <w:r>
        <w:rPr>
          <w:rFonts w:eastAsia="Times New Roman"/>
          <w:color w:val="000000"/>
        </w:rPr>
        <w:t xml:space="preserve">benchmark provisions under the </w:t>
      </w:r>
      <w:r w:rsidR="000F03CE">
        <w:rPr>
          <w:rFonts w:eastAsia="Times New Roman"/>
          <w:color w:val="000000"/>
        </w:rPr>
        <w:t>U.S. EPA</w:t>
      </w:r>
      <w:r w:rsidR="00ED12A6">
        <w:rPr>
          <w:rFonts w:eastAsia="Times New Roman"/>
          <w:color w:val="000000"/>
        </w:rPr>
        <w:t>’s</w:t>
      </w:r>
      <w:r w:rsidR="000F03CE">
        <w:rPr>
          <w:rFonts w:eastAsia="Times New Roman"/>
          <w:color w:val="000000"/>
        </w:rPr>
        <w:t xml:space="preserve"> Multi-sector General Permit (</w:t>
      </w:r>
      <w:r w:rsidR="00EB2196">
        <w:rPr>
          <w:rFonts w:eastAsia="Times New Roman"/>
          <w:color w:val="000000"/>
        </w:rPr>
        <w:t>MSGP</w:t>
      </w:r>
      <w:r w:rsidR="000F03CE">
        <w:rPr>
          <w:rFonts w:eastAsia="Times New Roman"/>
          <w:color w:val="000000"/>
        </w:rPr>
        <w:t>)</w:t>
      </w:r>
      <w:r w:rsidR="00EB2196">
        <w:rPr>
          <w:rFonts w:eastAsia="Times New Roman"/>
          <w:color w:val="000000"/>
        </w:rPr>
        <w:t xml:space="preserve">. </w:t>
      </w:r>
      <w:r w:rsidR="006C236E">
        <w:rPr>
          <w:rFonts w:eastAsia="Times New Roman"/>
          <w:color w:val="000000"/>
        </w:rPr>
        <w:t xml:space="preserve">Stormwater samples must be </w:t>
      </w:r>
      <w:r w:rsidR="006C236E">
        <w:rPr>
          <w:rFonts w:eastAsia="Times New Roman"/>
          <w:color w:val="000000"/>
        </w:rPr>
        <w:lastRenderedPageBreak/>
        <w:t>representative of the stormwater discharge.</w:t>
      </w:r>
      <w:r w:rsidR="009D6BCD">
        <w:rPr>
          <w:rStyle w:val="FootnoteReference"/>
          <w:rFonts w:eastAsia="Times New Roman"/>
          <w:color w:val="000000"/>
        </w:rPr>
        <w:footnoteReference w:id="2"/>
      </w:r>
      <w:r w:rsidR="006C236E">
        <w:rPr>
          <w:rFonts w:eastAsia="Times New Roman"/>
          <w:color w:val="000000"/>
        </w:rPr>
        <w:t xml:space="preserve"> Provisions in the general permit that promote representative sampling include the requirement that </w:t>
      </w:r>
      <w:r w:rsidR="003060D9">
        <w:rPr>
          <w:rFonts w:eastAsia="Times New Roman"/>
          <w:color w:val="000000"/>
        </w:rPr>
        <w:t xml:space="preserve">such samples be taken at the time of the discharge (for discharges from stormwater management structures) or within 30 minutes for other stormwater discharges. In addition, for such other stormwater discharges, the interval between the preceding storm event discharge and the monitored discharges must be at least 72 hours </w:t>
      </w:r>
      <w:r w:rsidR="00F00DE9">
        <w:rPr>
          <w:rFonts w:eastAsia="Times New Roman"/>
          <w:color w:val="000000"/>
        </w:rPr>
        <w:t xml:space="preserve">so that conditions reflect </w:t>
      </w:r>
      <w:r w:rsidR="00721AF8">
        <w:rPr>
          <w:rFonts w:eastAsia="Times New Roman"/>
          <w:color w:val="000000"/>
        </w:rPr>
        <w:t xml:space="preserve">normal </w:t>
      </w:r>
      <w:r w:rsidR="00F00DE9">
        <w:rPr>
          <w:rFonts w:eastAsia="Times New Roman"/>
          <w:color w:val="000000"/>
        </w:rPr>
        <w:t xml:space="preserve">industrial activity </w:t>
      </w:r>
      <w:r w:rsidR="003060D9">
        <w:rPr>
          <w:rFonts w:eastAsia="Times New Roman"/>
          <w:color w:val="000000"/>
        </w:rPr>
        <w:t xml:space="preserve">unless the permittee documents that less than 72 hours is representative of local storm events during the sampling period. </w:t>
      </w:r>
      <w:r w:rsidR="00F2049A">
        <w:rPr>
          <w:rFonts w:eastAsia="Times New Roman"/>
          <w:color w:val="000000"/>
        </w:rPr>
        <w:t>Required q</w:t>
      </w:r>
      <w:r w:rsidR="005665BB">
        <w:rPr>
          <w:rFonts w:eastAsia="Times New Roman"/>
          <w:color w:val="000000"/>
        </w:rPr>
        <w:t xml:space="preserve">uarterly visual monitoring and </w:t>
      </w:r>
      <w:r w:rsidR="00F2049A">
        <w:rPr>
          <w:rFonts w:eastAsia="Times New Roman"/>
          <w:color w:val="000000"/>
        </w:rPr>
        <w:t>quarterly</w:t>
      </w:r>
      <w:r w:rsidR="00F2049A">
        <w:rPr>
          <w:rStyle w:val="FootnoteReference"/>
          <w:rFonts w:eastAsia="Times New Roman"/>
          <w:color w:val="000000"/>
        </w:rPr>
        <w:footnoteReference w:id="3"/>
      </w:r>
      <w:r w:rsidR="00F2049A">
        <w:rPr>
          <w:rFonts w:eastAsia="Times New Roman"/>
          <w:color w:val="000000"/>
        </w:rPr>
        <w:t xml:space="preserve"> </w:t>
      </w:r>
      <w:r w:rsidR="005665BB">
        <w:rPr>
          <w:rFonts w:eastAsia="Times New Roman"/>
          <w:color w:val="000000"/>
        </w:rPr>
        <w:t>routine inspections</w:t>
      </w:r>
      <w:r w:rsidR="00F2049A">
        <w:rPr>
          <w:rFonts w:eastAsia="Times New Roman"/>
          <w:color w:val="000000"/>
        </w:rPr>
        <w:t xml:space="preserve"> supplement stormwater monitoring. Under the permit, </w:t>
      </w:r>
      <w:r w:rsidR="00F00DE9">
        <w:rPr>
          <w:rFonts w:eastAsia="Times New Roman"/>
          <w:color w:val="000000"/>
        </w:rPr>
        <w:t xml:space="preserve">the SWPPP must be amended when </w:t>
      </w:r>
      <w:r w:rsidR="00F2049A">
        <w:rPr>
          <w:rFonts w:eastAsia="Times New Roman"/>
          <w:color w:val="000000"/>
        </w:rPr>
        <w:t xml:space="preserve">quarterly visual </w:t>
      </w:r>
      <w:r w:rsidR="00F00DE9">
        <w:rPr>
          <w:rFonts w:eastAsia="Times New Roman"/>
          <w:color w:val="000000"/>
        </w:rPr>
        <w:t xml:space="preserve">monitoring </w:t>
      </w:r>
      <w:r w:rsidR="005665BB">
        <w:rPr>
          <w:rFonts w:eastAsia="Times New Roman"/>
          <w:color w:val="000000"/>
        </w:rPr>
        <w:t>results in a determination that modification is necessary</w:t>
      </w:r>
      <w:r w:rsidR="00F2049A">
        <w:rPr>
          <w:rFonts w:eastAsia="Times New Roman"/>
          <w:color w:val="000000"/>
        </w:rPr>
        <w:t xml:space="preserve"> or when a routine inspection indicates deficiencies in the BMPs.</w:t>
      </w:r>
      <w:r w:rsidR="005665BB">
        <w:rPr>
          <w:rFonts w:eastAsia="Times New Roman"/>
          <w:color w:val="000000"/>
        </w:rPr>
        <w:t xml:space="preserve"> </w:t>
      </w:r>
      <w:r w:rsidR="00F00DE9">
        <w:rPr>
          <w:rFonts w:eastAsia="Times New Roman"/>
          <w:color w:val="000000"/>
        </w:rPr>
        <w:t xml:space="preserve"> </w:t>
      </w:r>
    </w:p>
    <w:p w14:paraId="35D517F8" w14:textId="35C59434" w:rsidR="002148F1" w:rsidRPr="00B64CA9" w:rsidRDefault="00B64CA9" w:rsidP="00990C11">
      <w:pPr>
        <w:pStyle w:val="Heading1"/>
        <w:rPr>
          <w:rFonts w:eastAsia="Times New Roman"/>
        </w:rPr>
      </w:pPr>
      <w:r w:rsidRPr="00B64CA9">
        <w:rPr>
          <w:rFonts w:eastAsia="Times New Roman"/>
        </w:rPr>
        <w:t xml:space="preserve">V. </w:t>
      </w:r>
      <w:r w:rsidR="003847C3" w:rsidRPr="00B64CA9">
        <w:rPr>
          <w:rFonts w:eastAsia="Times New Roman"/>
        </w:rPr>
        <w:t xml:space="preserve">Basis for Special Conditions </w:t>
      </w:r>
    </w:p>
    <w:p w14:paraId="1060A711" w14:textId="32FCE316" w:rsidR="002148F1" w:rsidRDefault="003847C3">
      <w:pPr>
        <w:spacing w:before="243" w:line="254" w:lineRule="exact"/>
        <w:ind w:left="72" w:right="216"/>
        <w:textAlignment w:val="baseline"/>
        <w:rPr>
          <w:rFonts w:eastAsia="Times New Roman"/>
          <w:color w:val="000000"/>
        </w:rPr>
      </w:pPr>
      <w:r>
        <w:rPr>
          <w:rFonts w:eastAsia="Times New Roman"/>
          <w:color w:val="000000"/>
        </w:rPr>
        <w:t xml:space="preserve">The VPDES permit regulation (9VAC25-260-31) delineates the procedures and requirements </w:t>
      </w:r>
      <w:r w:rsidR="00B64CA9">
        <w:rPr>
          <w:rFonts w:eastAsia="Times New Roman"/>
          <w:color w:val="000000"/>
        </w:rPr>
        <w:t>applicable</w:t>
      </w:r>
      <w:r>
        <w:rPr>
          <w:rFonts w:eastAsia="Times New Roman"/>
          <w:color w:val="000000"/>
        </w:rPr>
        <w:t xml:space="preserve"> in VPDES permits pursuant to the Clean Water Act and the State Water Control Law. All special conditions protect water quality as required by the VPDES permit regulation. Additional explanations and citations are below.</w:t>
      </w:r>
    </w:p>
    <w:p w14:paraId="0C94F58D" w14:textId="0B6B61A0" w:rsidR="002148F1" w:rsidRPr="003A7CDD" w:rsidRDefault="003847C3" w:rsidP="003A7CDD">
      <w:pPr>
        <w:pStyle w:val="ListParagraph"/>
        <w:numPr>
          <w:ilvl w:val="0"/>
          <w:numId w:val="4"/>
        </w:numPr>
        <w:tabs>
          <w:tab w:val="left" w:pos="360"/>
        </w:tabs>
        <w:spacing w:before="254" w:line="252" w:lineRule="exact"/>
        <w:ind w:left="0" w:right="72"/>
        <w:textAlignment w:val="baseline"/>
        <w:rPr>
          <w:rFonts w:eastAsia="Times New Roman"/>
          <w:color w:val="000000"/>
        </w:rPr>
      </w:pPr>
      <w:r w:rsidRPr="003A7CDD">
        <w:rPr>
          <w:rFonts w:eastAsia="Times New Roman"/>
          <w:color w:val="000000"/>
        </w:rPr>
        <w:t>Special Condition No. 1 requires that vehicles and equipment used in the industrial activity are to be operated and maintained in a manner that prevents pollution of surface or ground water. Petroleum products and other fluids are to be stored and handled in such a manner that the discharge of pollutants to state waters is prevented. The basis for th</w:t>
      </w:r>
      <w:r w:rsidR="00352C39" w:rsidRPr="003A7CDD">
        <w:rPr>
          <w:rFonts w:eastAsia="Times New Roman"/>
          <w:color w:val="000000"/>
        </w:rPr>
        <w:t>is</w:t>
      </w:r>
      <w:r w:rsidRPr="003A7CDD">
        <w:rPr>
          <w:rFonts w:eastAsia="Times New Roman"/>
          <w:color w:val="000000"/>
        </w:rPr>
        <w:t xml:space="preserve"> condition is the </w:t>
      </w:r>
      <w:r w:rsidR="00352C39" w:rsidRPr="003A7CDD">
        <w:rPr>
          <w:rFonts w:eastAsia="Times New Roman"/>
          <w:color w:val="000000"/>
        </w:rPr>
        <w:t xml:space="preserve">state </w:t>
      </w:r>
      <w:r w:rsidRPr="003A7CDD">
        <w:rPr>
          <w:rFonts w:eastAsia="Times New Roman"/>
          <w:color w:val="000000"/>
        </w:rPr>
        <w:t>water quality standards</w:t>
      </w:r>
      <w:r w:rsidR="00352C39" w:rsidRPr="003A7CDD">
        <w:rPr>
          <w:rFonts w:eastAsia="Times New Roman"/>
          <w:color w:val="000000"/>
        </w:rPr>
        <w:t xml:space="preserve"> (9VAC25-260)</w:t>
      </w:r>
      <w:r w:rsidRPr="003A7CDD">
        <w:rPr>
          <w:rFonts w:eastAsia="Times New Roman"/>
          <w:color w:val="000000"/>
        </w:rPr>
        <w:t>.</w:t>
      </w:r>
    </w:p>
    <w:p w14:paraId="499CD1CD" w14:textId="2BA21562" w:rsidR="002148F1" w:rsidRDefault="003847C3" w:rsidP="008E642E">
      <w:pPr>
        <w:numPr>
          <w:ilvl w:val="0"/>
          <w:numId w:val="4"/>
        </w:numPr>
        <w:tabs>
          <w:tab w:val="clear" w:pos="576"/>
          <w:tab w:val="left" w:pos="360"/>
        </w:tabs>
        <w:spacing w:before="251" w:line="254" w:lineRule="exact"/>
        <w:ind w:right="360"/>
        <w:textAlignment w:val="baseline"/>
        <w:rPr>
          <w:rFonts w:eastAsia="Times New Roman"/>
          <w:color w:val="000000"/>
        </w:rPr>
      </w:pPr>
      <w:r>
        <w:rPr>
          <w:rFonts w:eastAsia="Times New Roman"/>
          <w:color w:val="000000"/>
        </w:rPr>
        <w:t>Special Condition No. 2 prohibits sewage discharges to surface waters under this general permit. Any sewage discharges would require coverage by a separate, individual permit. This condition is b</w:t>
      </w:r>
      <w:r w:rsidR="0051760E">
        <w:rPr>
          <w:rFonts w:eastAsia="Times New Roman"/>
          <w:color w:val="000000"/>
        </w:rPr>
        <w:t xml:space="preserve">ased on the typical characteristics of discharges from nonmetallic mineral mines and the </w:t>
      </w:r>
      <w:r w:rsidR="0017322B">
        <w:rPr>
          <w:rFonts w:eastAsia="Times New Roman"/>
          <w:color w:val="000000"/>
        </w:rPr>
        <w:t xml:space="preserve">corresponding </w:t>
      </w:r>
      <w:r w:rsidR="0051760E">
        <w:rPr>
          <w:rFonts w:eastAsia="Times New Roman"/>
          <w:color w:val="000000"/>
        </w:rPr>
        <w:t xml:space="preserve">absence of </w:t>
      </w:r>
      <w:r>
        <w:rPr>
          <w:rFonts w:eastAsia="Times New Roman"/>
          <w:color w:val="000000"/>
        </w:rPr>
        <w:t>federal secondary sewage treatment standards in this permit.</w:t>
      </w:r>
    </w:p>
    <w:p w14:paraId="20298C6D" w14:textId="27500873" w:rsidR="002148F1" w:rsidRDefault="003847C3" w:rsidP="008E642E">
      <w:pPr>
        <w:numPr>
          <w:ilvl w:val="0"/>
          <w:numId w:val="4"/>
        </w:numPr>
        <w:tabs>
          <w:tab w:val="clear" w:pos="576"/>
          <w:tab w:val="left" w:pos="360"/>
        </w:tabs>
        <w:spacing w:before="251" w:line="254" w:lineRule="exact"/>
        <w:ind w:right="216"/>
        <w:textAlignment w:val="baseline"/>
        <w:rPr>
          <w:rFonts w:eastAsia="Times New Roman"/>
          <w:color w:val="000000"/>
        </w:rPr>
      </w:pPr>
      <w:r>
        <w:rPr>
          <w:rFonts w:eastAsia="Times New Roman"/>
          <w:color w:val="000000"/>
        </w:rPr>
        <w:t xml:space="preserve">Special Condition No. 3 prohibits the discharge of chemical additives other than those identified in the registration statement </w:t>
      </w:r>
      <w:r w:rsidR="0017322B">
        <w:rPr>
          <w:rFonts w:eastAsia="Times New Roman"/>
          <w:color w:val="000000"/>
        </w:rPr>
        <w:t xml:space="preserve">unless prior approval is granted by the </w:t>
      </w:r>
      <w:r w:rsidR="001233C5">
        <w:rPr>
          <w:rFonts w:eastAsia="Times New Roman"/>
          <w:color w:val="000000"/>
        </w:rPr>
        <w:t>department</w:t>
      </w:r>
      <w:r>
        <w:rPr>
          <w:rFonts w:eastAsia="Times New Roman"/>
          <w:color w:val="000000"/>
        </w:rPr>
        <w:t xml:space="preserve">. </w:t>
      </w:r>
    </w:p>
    <w:p w14:paraId="74FCFB19" w14:textId="302D22B5" w:rsidR="002148F1" w:rsidRDefault="003847C3" w:rsidP="008E642E">
      <w:pPr>
        <w:numPr>
          <w:ilvl w:val="0"/>
          <w:numId w:val="4"/>
        </w:numPr>
        <w:tabs>
          <w:tab w:val="clear" w:pos="576"/>
          <w:tab w:val="left" w:pos="360"/>
        </w:tabs>
        <w:spacing w:before="251" w:line="253" w:lineRule="exact"/>
        <w:ind w:right="144"/>
        <w:textAlignment w:val="baseline"/>
        <w:rPr>
          <w:rFonts w:eastAsia="Times New Roman"/>
          <w:color w:val="000000"/>
        </w:rPr>
      </w:pPr>
      <w:r>
        <w:rPr>
          <w:rFonts w:eastAsia="Times New Roman"/>
          <w:color w:val="000000"/>
        </w:rPr>
        <w:t>Special Condition No. 4 requires that the permittee submit a new registration statement if the DMM mining permit is modified or renewed in a</w:t>
      </w:r>
      <w:r w:rsidR="00BC58D0">
        <w:rPr>
          <w:rFonts w:eastAsia="Times New Roman"/>
          <w:color w:val="000000"/>
        </w:rPr>
        <w:t>ny</w:t>
      </w:r>
      <w:r>
        <w:rPr>
          <w:rFonts w:eastAsia="Times New Roman"/>
          <w:color w:val="000000"/>
        </w:rPr>
        <w:t xml:space="preserve"> way that would affect the location or characteristics of any discharge covered by the general permit. Any change to the mining facility that could impact discharge quality require</w:t>
      </w:r>
      <w:r w:rsidR="0081279A">
        <w:rPr>
          <w:rFonts w:eastAsia="Times New Roman"/>
          <w:color w:val="000000"/>
        </w:rPr>
        <w:t>s</w:t>
      </w:r>
      <w:r>
        <w:rPr>
          <w:rFonts w:eastAsia="Times New Roman"/>
          <w:color w:val="000000"/>
        </w:rPr>
        <w:t xml:space="preserve"> additional review before coverage under the general permit is continued. The basis for the condition is </w:t>
      </w:r>
      <w:r w:rsidR="000F03CE">
        <w:rPr>
          <w:rFonts w:eastAsia="Times New Roman"/>
          <w:color w:val="000000"/>
        </w:rPr>
        <w:t xml:space="preserve">state </w:t>
      </w:r>
      <w:r>
        <w:rPr>
          <w:rFonts w:eastAsia="Times New Roman"/>
          <w:color w:val="000000"/>
        </w:rPr>
        <w:t>water quality standards.</w:t>
      </w:r>
    </w:p>
    <w:p w14:paraId="2839F58E" w14:textId="77777777" w:rsidR="002148F1" w:rsidRDefault="003847C3" w:rsidP="008E642E">
      <w:pPr>
        <w:numPr>
          <w:ilvl w:val="0"/>
          <w:numId w:val="4"/>
        </w:numPr>
        <w:tabs>
          <w:tab w:val="clear" w:pos="576"/>
          <w:tab w:val="left" w:pos="360"/>
        </w:tabs>
        <w:spacing w:before="249" w:line="255" w:lineRule="exact"/>
        <w:ind w:right="216"/>
        <w:textAlignment w:val="baseline"/>
        <w:rPr>
          <w:rFonts w:eastAsia="Times New Roman"/>
          <w:color w:val="000000"/>
        </w:rPr>
      </w:pPr>
      <w:r>
        <w:rPr>
          <w:rFonts w:eastAsia="Times New Roman"/>
          <w:color w:val="000000"/>
        </w:rPr>
        <w:t>Special Condition No. 5 is a requirement for notification of discharges of any toxic pollutants not limited by the permit. The basis for the condition is 40 CFR 122.42(a) and 9VAC25-31-200 A.</w:t>
      </w:r>
    </w:p>
    <w:p w14:paraId="528E0BA5" w14:textId="3A1A9454" w:rsidR="002148F1" w:rsidRDefault="003847C3" w:rsidP="008E642E">
      <w:pPr>
        <w:numPr>
          <w:ilvl w:val="0"/>
          <w:numId w:val="4"/>
        </w:numPr>
        <w:tabs>
          <w:tab w:val="clear" w:pos="576"/>
          <w:tab w:val="left" w:pos="360"/>
        </w:tabs>
        <w:spacing w:before="251" w:line="254" w:lineRule="exact"/>
        <w:ind w:right="72"/>
        <w:textAlignment w:val="baseline"/>
        <w:rPr>
          <w:rFonts w:eastAsia="Times New Roman"/>
          <w:color w:val="000000"/>
        </w:rPr>
      </w:pPr>
      <w:r>
        <w:rPr>
          <w:rFonts w:eastAsia="Times New Roman"/>
          <w:color w:val="000000"/>
        </w:rPr>
        <w:t xml:space="preserve">Special Condition No. 6 requires that all materials, products and wastes </w:t>
      </w:r>
      <w:r w:rsidR="00C00A5E">
        <w:rPr>
          <w:rFonts w:eastAsia="Times New Roman"/>
          <w:color w:val="000000"/>
        </w:rPr>
        <w:t xml:space="preserve">resulting from the purchase, sale, mining, traction, transport, preparation, or storage of raw or intermediate materials, final product, by-product, or wastes, </w:t>
      </w:r>
      <w:r>
        <w:rPr>
          <w:rFonts w:eastAsia="Times New Roman"/>
          <w:color w:val="000000"/>
        </w:rPr>
        <w:t xml:space="preserve">be handled and stored or disposed of </w:t>
      </w:r>
      <w:r w:rsidR="00C00A5E">
        <w:rPr>
          <w:rFonts w:eastAsia="Times New Roman"/>
          <w:color w:val="000000"/>
        </w:rPr>
        <w:t>consistent with best management practices and so as to not permit a discharge of such product, materials industrial wastes, or other wastes to state waters, except as expressly authorized.</w:t>
      </w:r>
      <w:r>
        <w:rPr>
          <w:rFonts w:eastAsia="Times New Roman"/>
          <w:color w:val="000000"/>
        </w:rPr>
        <w:t xml:space="preserve"> Th</w:t>
      </w:r>
      <w:r w:rsidR="00BC58D0">
        <w:rPr>
          <w:rFonts w:eastAsia="Times New Roman"/>
          <w:color w:val="000000"/>
        </w:rPr>
        <w:t>e basis for the condition is state</w:t>
      </w:r>
      <w:r>
        <w:rPr>
          <w:rFonts w:eastAsia="Times New Roman"/>
          <w:color w:val="000000"/>
        </w:rPr>
        <w:t xml:space="preserve"> water quality standards.</w:t>
      </w:r>
    </w:p>
    <w:p w14:paraId="2E61A896" w14:textId="77777777" w:rsidR="002148F1" w:rsidRDefault="003847C3" w:rsidP="008E642E">
      <w:pPr>
        <w:numPr>
          <w:ilvl w:val="0"/>
          <w:numId w:val="4"/>
        </w:numPr>
        <w:tabs>
          <w:tab w:val="clear" w:pos="576"/>
          <w:tab w:val="left" w:pos="360"/>
        </w:tabs>
        <w:spacing w:before="250" w:line="254" w:lineRule="exact"/>
        <w:ind w:right="216"/>
        <w:textAlignment w:val="baseline"/>
        <w:rPr>
          <w:rFonts w:eastAsia="Times New Roman"/>
          <w:color w:val="000000"/>
        </w:rPr>
      </w:pPr>
      <w:r>
        <w:rPr>
          <w:rFonts w:eastAsia="Times New Roman"/>
          <w:color w:val="000000"/>
        </w:rPr>
        <w:lastRenderedPageBreak/>
        <w:t>Special Condition No. 7 prohibits the discharge of process wastewater pollutants from co-located asphalt operations. The basis is 40 CFR Part 443.</w:t>
      </w:r>
    </w:p>
    <w:p w14:paraId="738D4EB1" w14:textId="77777777" w:rsidR="002148F1" w:rsidRDefault="003847C3" w:rsidP="008E642E">
      <w:pPr>
        <w:numPr>
          <w:ilvl w:val="0"/>
          <w:numId w:val="4"/>
        </w:numPr>
        <w:tabs>
          <w:tab w:val="clear" w:pos="576"/>
          <w:tab w:val="left" w:pos="360"/>
        </w:tabs>
        <w:spacing w:before="251" w:line="254" w:lineRule="exact"/>
        <w:ind w:right="360"/>
        <w:textAlignment w:val="baseline"/>
        <w:rPr>
          <w:rFonts w:eastAsia="Times New Roman"/>
          <w:color w:val="000000"/>
        </w:rPr>
      </w:pPr>
      <w:r>
        <w:rPr>
          <w:rFonts w:eastAsia="Times New Roman"/>
          <w:color w:val="000000"/>
        </w:rPr>
        <w:t>Special Condition No. 8 allows process water to be used for dust suppression on site. The basis for the condition is that, when implemented as a BMP, the use of process water as a dust suppressant can control or abate the discharge of pollutants.</w:t>
      </w:r>
      <w:r w:rsidR="00894315">
        <w:rPr>
          <w:rFonts w:eastAsia="Times New Roman"/>
          <w:color w:val="000000"/>
        </w:rPr>
        <w:t xml:space="preserve"> This condition also prohibits dust suppression during a storm event that results in an actual discharge from the site.</w:t>
      </w:r>
    </w:p>
    <w:p w14:paraId="0F10D217" w14:textId="1478CE23" w:rsidR="002148F1" w:rsidRDefault="003847C3" w:rsidP="008E642E">
      <w:pPr>
        <w:numPr>
          <w:ilvl w:val="0"/>
          <w:numId w:val="4"/>
        </w:numPr>
        <w:tabs>
          <w:tab w:val="clear" w:pos="576"/>
          <w:tab w:val="left" w:pos="360"/>
        </w:tabs>
        <w:spacing w:before="250" w:line="254" w:lineRule="exact"/>
        <w:ind w:right="648"/>
        <w:textAlignment w:val="baseline"/>
        <w:rPr>
          <w:rFonts w:eastAsia="Times New Roman"/>
          <w:color w:val="000000"/>
          <w:spacing w:val="-2"/>
        </w:rPr>
      </w:pPr>
      <w:r>
        <w:rPr>
          <w:rFonts w:eastAsia="Times New Roman"/>
          <w:color w:val="000000"/>
          <w:spacing w:val="-2"/>
        </w:rPr>
        <w:t xml:space="preserve">Special Condition No. 9 allows process water </w:t>
      </w:r>
      <w:r w:rsidR="00065AD9">
        <w:rPr>
          <w:rFonts w:eastAsia="Times New Roman"/>
          <w:color w:val="000000"/>
          <w:spacing w:val="-2"/>
        </w:rPr>
        <w:t xml:space="preserve">from mine dewatering </w:t>
      </w:r>
      <w:r>
        <w:rPr>
          <w:rFonts w:eastAsia="Times New Roman"/>
          <w:color w:val="000000"/>
          <w:spacing w:val="-2"/>
        </w:rPr>
        <w:t>to be provided to local property owners for beneficial agricultural use</w:t>
      </w:r>
      <w:r w:rsidR="00002922">
        <w:rPr>
          <w:rFonts w:eastAsia="Times New Roman"/>
          <w:color w:val="000000"/>
          <w:spacing w:val="-2"/>
        </w:rPr>
        <w:t>.</w:t>
      </w:r>
      <w:r>
        <w:rPr>
          <w:rFonts w:eastAsia="Times New Roman"/>
          <w:color w:val="000000"/>
          <w:spacing w:val="-2"/>
        </w:rPr>
        <w:t xml:space="preserve"> This language is included in keeping with DEQ’s pollution prevention philosophy.</w:t>
      </w:r>
    </w:p>
    <w:p w14:paraId="725B2EAD" w14:textId="6B05E6CA" w:rsidR="002148F1" w:rsidRPr="0002419A" w:rsidRDefault="003847C3" w:rsidP="008E642E">
      <w:pPr>
        <w:numPr>
          <w:ilvl w:val="0"/>
          <w:numId w:val="4"/>
        </w:numPr>
        <w:tabs>
          <w:tab w:val="clear" w:pos="576"/>
          <w:tab w:val="left" w:pos="360"/>
        </w:tabs>
        <w:spacing w:before="246" w:line="248" w:lineRule="exact"/>
        <w:ind w:right="72"/>
        <w:textAlignment w:val="baseline"/>
        <w:rPr>
          <w:rFonts w:eastAsia="Times New Roman"/>
          <w:color w:val="000000"/>
        </w:rPr>
      </w:pPr>
      <w:r w:rsidRPr="0002419A">
        <w:rPr>
          <w:rFonts w:eastAsia="Times New Roman"/>
          <w:color w:val="000000"/>
        </w:rPr>
        <w:t xml:space="preserve">Special Condition No. 10 prohibits the discharge of floating solids or visible foam in other than trace amount from process water discharges. This condition also prohibits solids deposition </w:t>
      </w:r>
      <w:r w:rsidR="00BB57EC" w:rsidRPr="0002419A">
        <w:rPr>
          <w:rFonts w:eastAsia="Times New Roman"/>
          <w:color w:val="000000"/>
        </w:rPr>
        <w:t xml:space="preserve">to surface water </w:t>
      </w:r>
      <w:proofErr w:type="gramStart"/>
      <w:r w:rsidR="00BB57EC" w:rsidRPr="0002419A">
        <w:rPr>
          <w:rFonts w:eastAsia="Times New Roman"/>
          <w:color w:val="000000"/>
        </w:rPr>
        <w:t>as a result of</w:t>
      </w:r>
      <w:proofErr w:type="gramEnd"/>
      <w:r w:rsidR="00BB57EC" w:rsidRPr="0002419A">
        <w:rPr>
          <w:rFonts w:eastAsia="Times New Roman"/>
          <w:color w:val="000000"/>
        </w:rPr>
        <w:t xml:space="preserve"> </w:t>
      </w:r>
      <w:r w:rsidR="00806DC2">
        <w:rPr>
          <w:rFonts w:eastAsia="Times New Roman"/>
          <w:color w:val="000000"/>
        </w:rPr>
        <w:t xml:space="preserve">discharges associated with </w:t>
      </w:r>
      <w:r w:rsidR="00BB57EC" w:rsidRPr="0002419A">
        <w:rPr>
          <w:rFonts w:eastAsia="Times New Roman"/>
          <w:color w:val="000000"/>
        </w:rPr>
        <w:t>industrial activity. It further prohibits an</w:t>
      </w:r>
      <w:r w:rsidRPr="0002419A">
        <w:rPr>
          <w:rFonts w:eastAsia="Times New Roman"/>
          <w:color w:val="000000"/>
        </w:rPr>
        <w:t xml:space="preserve"> oil sheen </w:t>
      </w:r>
      <w:r w:rsidR="00BB57EC" w:rsidRPr="0002419A">
        <w:rPr>
          <w:rFonts w:eastAsia="Times New Roman"/>
          <w:color w:val="000000"/>
        </w:rPr>
        <w:t xml:space="preserve">resulting from petroleum products </w:t>
      </w:r>
      <w:r w:rsidRPr="0002419A">
        <w:rPr>
          <w:rFonts w:eastAsia="Times New Roman"/>
          <w:color w:val="000000"/>
        </w:rPr>
        <w:t xml:space="preserve">discharged to surface water </w:t>
      </w:r>
      <w:proofErr w:type="gramStart"/>
      <w:r w:rsidRPr="0002419A">
        <w:rPr>
          <w:rFonts w:eastAsia="Times New Roman"/>
          <w:color w:val="000000"/>
        </w:rPr>
        <w:t>as a result of</w:t>
      </w:r>
      <w:proofErr w:type="gramEnd"/>
      <w:r w:rsidRPr="0002419A">
        <w:rPr>
          <w:rFonts w:eastAsia="Times New Roman"/>
          <w:color w:val="000000"/>
        </w:rPr>
        <w:t xml:space="preserve"> the industrial activity. Housekeeping and onsite BMPs should maintain this requirement. The prohibition of oil sheen </w:t>
      </w:r>
      <w:r w:rsidR="003A3CCB">
        <w:rPr>
          <w:rFonts w:eastAsia="Times New Roman"/>
          <w:color w:val="000000"/>
        </w:rPr>
        <w:t xml:space="preserve">reflects </w:t>
      </w:r>
      <w:r w:rsidRPr="0002419A">
        <w:rPr>
          <w:rFonts w:eastAsia="Times New Roman"/>
          <w:color w:val="000000"/>
        </w:rPr>
        <w:t xml:space="preserve">concerns that petroleum products are on the site and could lead to an oil discharge. Accidental spills of petroleum products are cleaned up immediately so as not to enter surface waters as per special condition </w:t>
      </w:r>
      <w:r w:rsidR="00BB57EC" w:rsidRPr="0002419A">
        <w:rPr>
          <w:rFonts w:eastAsia="Times New Roman"/>
          <w:color w:val="000000"/>
        </w:rPr>
        <w:t>No. 1</w:t>
      </w:r>
      <w:r w:rsidRPr="0002419A">
        <w:rPr>
          <w:rFonts w:eastAsia="Times New Roman"/>
          <w:color w:val="000000"/>
        </w:rPr>
        <w:t xml:space="preserve">. This special condition is an added measure of protection </w:t>
      </w:r>
      <w:r w:rsidRPr="00051A03">
        <w:rPr>
          <w:rFonts w:eastAsia="Times New Roman"/>
          <w:color w:val="000000"/>
        </w:rPr>
        <w:t>and something the inspector can look for to ensure proper BMPs,</w:t>
      </w:r>
      <w:r w:rsidR="0002419A" w:rsidRPr="00051A03">
        <w:rPr>
          <w:rFonts w:eastAsia="Times New Roman"/>
          <w:color w:val="000000"/>
        </w:rPr>
        <w:t xml:space="preserve"> </w:t>
      </w:r>
      <w:r w:rsidRPr="00051A03">
        <w:rPr>
          <w:rFonts w:eastAsia="Times New Roman"/>
          <w:color w:val="000000"/>
        </w:rPr>
        <w:t>clean up measures or treatment is occurring</w:t>
      </w:r>
      <w:r w:rsidRPr="0002419A">
        <w:rPr>
          <w:rFonts w:eastAsia="Times New Roman"/>
          <w:color w:val="000000"/>
        </w:rPr>
        <w:t>. The citation in the water quality standards is 9VAC25-260-20.</w:t>
      </w:r>
    </w:p>
    <w:p w14:paraId="2F1A9AA9" w14:textId="16380147" w:rsidR="002148F1" w:rsidRDefault="003847C3" w:rsidP="003A7CDD">
      <w:pPr>
        <w:numPr>
          <w:ilvl w:val="0"/>
          <w:numId w:val="5"/>
        </w:numPr>
        <w:tabs>
          <w:tab w:val="clear" w:pos="720"/>
          <w:tab w:val="left" w:pos="360"/>
        </w:tabs>
        <w:spacing w:before="257" w:line="252" w:lineRule="exact"/>
        <w:ind w:right="432"/>
        <w:textAlignment w:val="baseline"/>
        <w:rPr>
          <w:rFonts w:eastAsia="Times New Roman"/>
          <w:color w:val="000000"/>
        </w:rPr>
      </w:pPr>
      <w:r>
        <w:rPr>
          <w:rFonts w:eastAsia="Times New Roman"/>
          <w:color w:val="000000"/>
        </w:rPr>
        <w:t>Special Condition No. 11 requires all effluent limitations to be written using two significant figures. The basis for this condition is Guidance Memo No. 06-2016, Significant Figures for Discharge Monitoring Reports.</w:t>
      </w:r>
    </w:p>
    <w:p w14:paraId="085A392C" w14:textId="10A327CC" w:rsidR="00CF0553" w:rsidRDefault="003847C3" w:rsidP="008E642E">
      <w:pPr>
        <w:numPr>
          <w:ilvl w:val="0"/>
          <w:numId w:val="5"/>
        </w:numPr>
        <w:tabs>
          <w:tab w:val="clear" w:pos="720"/>
          <w:tab w:val="left" w:pos="360"/>
        </w:tabs>
        <w:spacing w:before="257" w:line="252" w:lineRule="exact"/>
        <w:ind w:right="432"/>
        <w:textAlignment w:val="baseline"/>
        <w:rPr>
          <w:rFonts w:eastAsia="Times New Roman"/>
          <w:color w:val="000000"/>
        </w:rPr>
      </w:pPr>
      <w:r w:rsidRPr="008E642E">
        <w:rPr>
          <w:rFonts w:eastAsia="Times New Roman"/>
          <w:color w:val="000000"/>
        </w:rPr>
        <w:t>Special Condition No. 1</w:t>
      </w:r>
      <w:r w:rsidR="00E77AE3" w:rsidRPr="008E642E">
        <w:rPr>
          <w:rFonts w:eastAsia="Times New Roman"/>
          <w:color w:val="000000"/>
        </w:rPr>
        <w:t>2</w:t>
      </w:r>
      <w:r w:rsidRPr="008E642E">
        <w:rPr>
          <w:rFonts w:eastAsia="Times New Roman"/>
          <w:color w:val="000000"/>
        </w:rPr>
        <w:t xml:space="preserve"> requires permittees subject to total maximum daily load (TMDL) waste load allocations established prior to this permit issuance to </w:t>
      </w:r>
      <w:r w:rsidR="00CF0553">
        <w:rPr>
          <w:rFonts w:eastAsia="Times New Roman"/>
          <w:color w:val="000000"/>
        </w:rPr>
        <w:t xml:space="preserve">implement measures and controls that are consistent with the requirements and assumptions of the TMDL. </w:t>
      </w:r>
      <w:r w:rsidR="00CF0553" w:rsidRPr="00CF0553">
        <w:rPr>
          <w:rFonts w:eastAsia="Times New Roman"/>
          <w:color w:val="000000"/>
        </w:rPr>
        <w:t>The department will provide written notification to the owner that a facility is subject to the TMDL requirements</w:t>
      </w:r>
      <w:r w:rsidR="00CF0553">
        <w:rPr>
          <w:rFonts w:eastAsia="Times New Roman"/>
          <w:color w:val="000000"/>
        </w:rPr>
        <w:t xml:space="preserve">. </w:t>
      </w:r>
      <w:r w:rsidR="00CF0553" w:rsidRPr="0042331E">
        <w:rPr>
          <w:rFonts w:eastAsia="Times New Roman"/>
          <w:color w:val="000000"/>
        </w:rPr>
        <w:t>I</w:t>
      </w:r>
      <w:r w:rsidR="00CF0553">
        <w:rPr>
          <w:rFonts w:eastAsia="Times New Roman"/>
          <w:color w:val="000000"/>
        </w:rPr>
        <w:t xml:space="preserve">f the TMDL establishes a numeric </w:t>
      </w:r>
      <w:proofErr w:type="spellStart"/>
      <w:r w:rsidR="00CF0553">
        <w:rPr>
          <w:rFonts w:eastAsia="Times New Roman"/>
          <w:color w:val="000000"/>
        </w:rPr>
        <w:t>wasteload</w:t>
      </w:r>
      <w:proofErr w:type="spellEnd"/>
      <w:r w:rsidR="00CF0553">
        <w:rPr>
          <w:rFonts w:eastAsia="Times New Roman"/>
          <w:color w:val="000000"/>
        </w:rPr>
        <w:t xml:space="preserve"> allocation that is applicable to discharges from the facility, the owner must conduct monitoring in accordance with Part I </w:t>
      </w:r>
      <w:proofErr w:type="gramStart"/>
      <w:r w:rsidR="00CF0553">
        <w:rPr>
          <w:rFonts w:eastAsia="Times New Roman"/>
          <w:color w:val="000000"/>
        </w:rPr>
        <w:t>A</w:t>
      </w:r>
      <w:proofErr w:type="gramEnd"/>
      <w:r w:rsidR="00CF0553">
        <w:rPr>
          <w:rFonts w:eastAsia="Times New Roman"/>
          <w:color w:val="000000"/>
        </w:rPr>
        <w:t xml:space="preserve"> and implement measures necessary to meet the allocation. </w:t>
      </w:r>
      <w:r w:rsidR="00CF0553" w:rsidRPr="00CF0553">
        <w:rPr>
          <w:rFonts w:eastAsia="Times New Roman"/>
          <w:color w:val="000000"/>
        </w:rPr>
        <w:t xml:space="preserve">At permit reissuance, the permittee shall submit a demonstration with the registration statement to show the </w:t>
      </w:r>
      <w:proofErr w:type="spellStart"/>
      <w:r w:rsidR="00CF0553" w:rsidRPr="00CF0553">
        <w:rPr>
          <w:rFonts w:eastAsia="Times New Roman"/>
          <w:color w:val="000000"/>
        </w:rPr>
        <w:t>wasteload</w:t>
      </w:r>
      <w:proofErr w:type="spellEnd"/>
      <w:r w:rsidR="00CF0553" w:rsidRPr="00CF0553">
        <w:rPr>
          <w:rFonts w:eastAsia="Times New Roman"/>
          <w:color w:val="000000"/>
        </w:rPr>
        <w:t xml:space="preserve"> allocation is being met.</w:t>
      </w:r>
      <w:r w:rsidR="00CF0553">
        <w:rPr>
          <w:rFonts w:eastAsia="Times New Roman"/>
          <w:color w:val="000000"/>
        </w:rPr>
        <w:t xml:space="preserve"> </w:t>
      </w:r>
      <w:r w:rsidR="002F579B" w:rsidRPr="008E642E">
        <w:rPr>
          <w:rFonts w:eastAsia="Times New Roman"/>
          <w:color w:val="000000"/>
        </w:rPr>
        <w:t>The basis for this condition is Section 303(d) of the Clean Water Act</w:t>
      </w:r>
      <w:r w:rsidR="002F579B">
        <w:rPr>
          <w:rFonts w:eastAsia="Times New Roman"/>
          <w:color w:val="000000"/>
        </w:rPr>
        <w:t xml:space="preserve">, which </w:t>
      </w:r>
      <w:r w:rsidR="002F579B" w:rsidRPr="008E642E">
        <w:rPr>
          <w:rFonts w:eastAsia="Times New Roman"/>
          <w:color w:val="000000"/>
        </w:rPr>
        <w:t>requires that TMDLs be developed for streams listed as impaired</w:t>
      </w:r>
      <w:r w:rsidR="002F579B">
        <w:rPr>
          <w:rFonts w:eastAsia="Times New Roman"/>
          <w:color w:val="000000"/>
        </w:rPr>
        <w:t xml:space="preserve">, and 9VAC25-31-220 D. </w:t>
      </w:r>
      <w:r w:rsidR="00CF0553">
        <w:rPr>
          <w:rFonts w:eastAsia="Times New Roman"/>
          <w:color w:val="000000"/>
        </w:rPr>
        <w:t xml:space="preserve">This provision has been revised </w:t>
      </w:r>
      <w:r w:rsidR="002F579B">
        <w:rPr>
          <w:rFonts w:eastAsia="Times New Roman"/>
          <w:color w:val="000000"/>
        </w:rPr>
        <w:t xml:space="preserve">so that implementation measures are not limited to the SWPPP, which makes it consistent with VPDES program requirements are other VPDES general permits. The demonstration documents compliance with any applicable </w:t>
      </w:r>
      <w:proofErr w:type="spellStart"/>
      <w:r w:rsidR="002F579B">
        <w:rPr>
          <w:rFonts w:eastAsia="Times New Roman"/>
          <w:color w:val="000000"/>
        </w:rPr>
        <w:t>wasteload</w:t>
      </w:r>
      <w:proofErr w:type="spellEnd"/>
      <w:r w:rsidR="002F579B">
        <w:rPr>
          <w:rFonts w:eastAsia="Times New Roman"/>
          <w:color w:val="000000"/>
        </w:rPr>
        <w:t xml:space="preserve"> allocation.</w:t>
      </w:r>
    </w:p>
    <w:p w14:paraId="09BBBE31" w14:textId="4FD8980A" w:rsidR="002148F1" w:rsidRDefault="003847C3" w:rsidP="008E642E">
      <w:pPr>
        <w:numPr>
          <w:ilvl w:val="0"/>
          <w:numId w:val="5"/>
        </w:numPr>
        <w:tabs>
          <w:tab w:val="clear" w:pos="720"/>
          <w:tab w:val="left" w:pos="360"/>
        </w:tabs>
        <w:spacing w:before="257" w:line="252" w:lineRule="exact"/>
        <w:ind w:right="432"/>
        <w:textAlignment w:val="baseline"/>
        <w:rPr>
          <w:rFonts w:eastAsia="Times New Roman"/>
          <w:color w:val="000000"/>
        </w:rPr>
      </w:pPr>
      <w:r w:rsidRPr="008E642E">
        <w:rPr>
          <w:rFonts w:eastAsia="Times New Roman"/>
          <w:color w:val="000000"/>
        </w:rPr>
        <w:t>Special Condition No. 1</w:t>
      </w:r>
      <w:r w:rsidR="009151D7" w:rsidRPr="008E642E">
        <w:rPr>
          <w:rFonts w:eastAsia="Times New Roman"/>
          <w:color w:val="000000"/>
        </w:rPr>
        <w:t>3</w:t>
      </w:r>
      <w:r w:rsidRPr="008E642E">
        <w:rPr>
          <w:rFonts w:eastAsia="Times New Roman"/>
          <w:color w:val="000000"/>
        </w:rPr>
        <w:t xml:space="preserve"> requires discharges to be controlled as necessary to meet applicable water quality standards. This condition is </w:t>
      </w:r>
      <w:r w:rsidR="00BB47C0" w:rsidRPr="008E642E">
        <w:rPr>
          <w:rFonts w:eastAsia="Times New Roman"/>
          <w:color w:val="000000"/>
        </w:rPr>
        <w:t>consistent with VPDES regulations (9VAC25-22</w:t>
      </w:r>
      <w:r w:rsidR="002A19EB">
        <w:rPr>
          <w:rFonts w:eastAsia="Times New Roman"/>
          <w:color w:val="000000"/>
        </w:rPr>
        <w:t>0</w:t>
      </w:r>
      <w:r w:rsidR="00BB47C0" w:rsidRPr="008E642E">
        <w:rPr>
          <w:rFonts w:eastAsia="Times New Roman"/>
          <w:color w:val="000000"/>
        </w:rPr>
        <w:t xml:space="preserve">) and </w:t>
      </w:r>
      <w:r w:rsidRPr="008E642E">
        <w:rPr>
          <w:rFonts w:eastAsia="Times New Roman"/>
          <w:color w:val="000000"/>
        </w:rPr>
        <w:t>EPA recommendations.</w:t>
      </w:r>
    </w:p>
    <w:p w14:paraId="027C05E4" w14:textId="70257042" w:rsidR="002148F1" w:rsidRPr="008E642E" w:rsidRDefault="003847C3" w:rsidP="008E642E">
      <w:pPr>
        <w:numPr>
          <w:ilvl w:val="0"/>
          <w:numId w:val="5"/>
        </w:numPr>
        <w:tabs>
          <w:tab w:val="clear" w:pos="720"/>
          <w:tab w:val="left" w:pos="360"/>
        </w:tabs>
        <w:spacing w:before="257" w:line="252" w:lineRule="exact"/>
        <w:ind w:right="432"/>
        <w:textAlignment w:val="baseline"/>
        <w:rPr>
          <w:rFonts w:eastAsia="Times New Roman"/>
          <w:color w:val="000000"/>
        </w:rPr>
      </w:pPr>
      <w:r w:rsidRPr="008E642E">
        <w:rPr>
          <w:rFonts w:eastAsia="Times New Roman"/>
          <w:color w:val="000000"/>
          <w:spacing w:val="-1"/>
        </w:rPr>
        <w:t>Special Condition No. 1</w:t>
      </w:r>
      <w:r w:rsidR="00644920" w:rsidRPr="008E642E">
        <w:rPr>
          <w:rFonts w:eastAsia="Times New Roman"/>
          <w:color w:val="000000"/>
          <w:spacing w:val="-1"/>
        </w:rPr>
        <w:t>4</w:t>
      </w:r>
      <w:r w:rsidRPr="008E642E">
        <w:rPr>
          <w:rFonts w:eastAsia="Times New Roman"/>
          <w:color w:val="000000"/>
          <w:spacing w:val="-1"/>
        </w:rPr>
        <w:t xml:space="preserve"> provides a waiver for monitoring and routine quarterly inspections at sites that are inactive and unstaffed (temporarily closed). </w:t>
      </w:r>
      <w:r w:rsidR="00D60DF2">
        <w:rPr>
          <w:rFonts w:eastAsia="Times New Roman"/>
          <w:color w:val="000000"/>
          <w:spacing w:val="-1"/>
        </w:rPr>
        <w:t>An a</w:t>
      </w:r>
      <w:r w:rsidRPr="008E642E">
        <w:rPr>
          <w:rFonts w:eastAsia="Times New Roman"/>
          <w:color w:val="000000"/>
          <w:spacing w:val="-1"/>
        </w:rPr>
        <w:t xml:space="preserve">nnual site inspection </w:t>
      </w:r>
      <w:r w:rsidR="00D60DF2">
        <w:rPr>
          <w:rFonts w:eastAsia="Times New Roman"/>
          <w:color w:val="000000"/>
          <w:spacing w:val="-1"/>
        </w:rPr>
        <w:t xml:space="preserve">is </w:t>
      </w:r>
      <w:r w:rsidRPr="008E642E">
        <w:rPr>
          <w:rFonts w:eastAsia="Times New Roman"/>
          <w:color w:val="000000"/>
          <w:spacing w:val="-1"/>
        </w:rPr>
        <w:t xml:space="preserve">still required. The waiver request must be submitted to the </w:t>
      </w:r>
      <w:r w:rsidR="007771F6">
        <w:rPr>
          <w:rFonts w:eastAsia="Times New Roman"/>
          <w:color w:val="000000"/>
          <w:spacing w:val="-1"/>
        </w:rPr>
        <w:t xml:space="preserve">department </w:t>
      </w:r>
      <w:r w:rsidRPr="008E642E">
        <w:rPr>
          <w:rFonts w:eastAsia="Times New Roman"/>
          <w:color w:val="000000"/>
          <w:spacing w:val="-1"/>
        </w:rPr>
        <w:t xml:space="preserve">for approval. Reactivation of the site also requires </w:t>
      </w:r>
      <w:proofErr w:type="gramStart"/>
      <w:r w:rsidR="007771F6">
        <w:rPr>
          <w:rFonts w:eastAsia="Times New Roman"/>
          <w:color w:val="000000"/>
          <w:spacing w:val="-1"/>
        </w:rPr>
        <w:t>department</w:t>
      </w:r>
      <w:r w:rsidRPr="008E642E">
        <w:rPr>
          <w:rFonts w:eastAsia="Times New Roman"/>
          <w:color w:val="000000"/>
          <w:spacing w:val="-1"/>
        </w:rPr>
        <w:t xml:space="preserve"> </w:t>
      </w:r>
      <w:r w:rsidR="007771F6">
        <w:rPr>
          <w:rFonts w:eastAsia="Times New Roman"/>
          <w:color w:val="000000"/>
          <w:spacing w:val="-1"/>
        </w:rPr>
        <w:t xml:space="preserve"> </w:t>
      </w:r>
      <w:r w:rsidRPr="008E642E">
        <w:rPr>
          <w:rFonts w:eastAsia="Times New Roman"/>
          <w:color w:val="000000"/>
          <w:spacing w:val="-1"/>
        </w:rPr>
        <w:t>notification</w:t>
      </w:r>
      <w:proofErr w:type="gramEnd"/>
      <w:r w:rsidRPr="008E642E">
        <w:rPr>
          <w:rFonts w:eastAsia="Times New Roman"/>
          <w:color w:val="000000"/>
          <w:spacing w:val="-1"/>
        </w:rPr>
        <w:t xml:space="preserve"> within 30 days unless approval for an alternate timeframe is received in advance from the </w:t>
      </w:r>
      <w:r w:rsidR="007771F6">
        <w:rPr>
          <w:rFonts w:eastAsia="Times New Roman"/>
          <w:color w:val="000000"/>
          <w:spacing w:val="-1"/>
        </w:rPr>
        <w:t>department</w:t>
      </w:r>
      <w:r w:rsidRPr="008E642E">
        <w:rPr>
          <w:rFonts w:eastAsia="Times New Roman"/>
          <w:color w:val="000000"/>
          <w:spacing w:val="-1"/>
        </w:rPr>
        <w:t>. Inactive and unstaffed facilities covered under are not required to meet the "no industrial materials or activities exposed to stormwater" standard to be eligible for this waiver, consistent with the conditional exemption requirements established in Part 8 Sector J (Non</w:t>
      </w:r>
      <w:r w:rsidR="00AB35CF">
        <w:rPr>
          <w:rFonts w:eastAsia="Times New Roman"/>
          <w:color w:val="000000"/>
          <w:spacing w:val="-1"/>
        </w:rPr>
        <w:t>-M</w:t>
      </w:r>
      <w:r w:rsidRPr="008E642E">
        <w:rPr>
          <w:rFonts w:eastAsia="Times New Roman"/>
          <w:color w:val="000000"/>
          <w:spacing w:val="-1"/>
        </w:rPr>
        <w:t xml:space="preserve">etallic </w:t>
      </w:r>
      <w:r w:rsidR="00D60DF2">
        <w:rPr>
          <w:rFonts w:eastAsia="Times New Roman"/>
          <w:color w:val="000000"/>
          <w:spacing w:val="-1"/>
        </w:rPr>
        <w:t>M</w:t>
      </w:r>
      <w:r w:rsidRPr="008E642E">
        <w:rPr>
          <w:rFonts w:eastAsia="Times New Roman"/>
          <w:color w:val="000000"/>
          <w:spacing w:val="-1"/>
        </w:rPr>
        <w:t xml:space="preserve">ineral </w:t>
      </w:r>
      <w:r w:rsidR="00D60DF2">
        <w:rPr>
          <w:rFonts w:eastAsia="Times New Roman"/>
          <w:color w:val="000000"/>
          <w:spacing w:val="-1"/>
        </w:rPr>
        <w:t>M</w:t>
      </w:r>
      <w:r w:rsidRPr="008E642E">
        <w:rPr>
          <w:rFonts w:eastAsia="Times New Roman"/>
          <w:color w:val="000000"/>
          <w:spacing w:val="-1"/>
        </w:rPr>
        <w:t xml:space="preserve">ining and </w:t>
      </w:r>
      <w:r w:rsidR="00AB35CF">
        <w:rPr>
          <w:rFonts w:eastAsia="Times New Roman"/>
          <w:color w:val="000000"/>
          <w:spacing w:val="-1"/>
        </w:rPr>
        <w:t>D</w:t>
      </w:r>
      <w:r w:rsidRPr="008E642E">
        <w:rPr>
          <w:rFonts w:eastAsia="Times New Roman"/>
          <w:color w:val="000000"/>
          <w:spacing w:val="-1"/>
        </w:rPr>
        <w:t xml:space="preserve">ressing) of the EPA </w:t>
      </w:r>
      <w:r w:rsidR="005F2BAA">
        <w:rPr>
          <w:rFonts w:eastAsia="Times New Roman"/>
          <w:color w:val="000000"/>
          <w:spacing w:val="-1"/>
        </w:rPr>
        <w:t>2021</w:t>
      </w:r>
      <w:r w:rsidRPr="008E642E">
        <w:rPr>
          <w:rFonts w:eastAsia="Times New Roman"/>
          <w:color w:val="000000"/>
          <w:spacing w:val="-1"/>
        </w:rPr>
        <w:t xml:space="preserve"> MSGP.</w:t>
      </w:r>
    </w:p>
    <w:p w14:paraId="6AFAB61F" w14:textId="77865A79" w:rsidR="002148F1" w:rsidRDefault="003847C3" w:rsidP="008E642E">
      <w:pPr>
        <w:numPr>
          <w:ilvl w:val="0"/>
          <w:numId w:val="5"/>
        </w:numPr>
        <w:tabs>
          <w:tab w:val="clear" w:pos="720"/>
          <w:tab w:val="left" w:pos="360"/>
        </w:tabs>
        <w:spacing w:before="257" w:line="252" w:lineRule="exact"/>
        <w:ind w:right="432"/>
        <w:textAlignment w:val="baseline"/>
        <w:rPr>
          <w:rFonts w:eastAsia="Times New Roman"/>
          <w:color w:val="000000"/>
        </w:rPr>
      </w:pPr>
      <w:r w:rsidRPr="008E642E">
        <w:rPr>
          <w:rFonts w:eastAsia="Times New Roman"/>
          <w:color w:val="000000"/>
        </w:rPr>
        <w:lastRenderedPageBreak/>
        <w:t>Special Condition No. 1</w:t>
      </w:r>
      <w:r w:rsidR="00BB47C0" w:rsidRPr="008E642E">
        <w:rPr>
          <w:rFonts w:eastAsia="Times New Roman"/>
          <w:color w:val="000000"/>
        </w:rPr>
        <w:t>5</w:t>
      </w:r>
      <w:r w:rsidRPr="008E642E">
        <w:rPr>
          <w:rFonts w:eastAsia="Times New Roman"/>
          <w:color w:val="000000"/>
        </w:rPr>
        <w:t xml:space="preserve"> describes how process water system</w:t>
      </w:r>
      <w:r w:rsidR="0081279A">
        <w:rPr>
          <w:rFonts w:eastAsia="Times New Roman"/>
          <w:color w:val="000000"/>
        </w:rPr>
        <w:t>s</w:t>
      </w:r>
      <w:r w:rsidRPr="008E642E">
        <w:rPr>
          <w:rFonts w:eastAsia="Times New Roman"/>
          <w:color w:val="000000"/>
        </w:rPr>
        <w:t xml:space="preserve"> designed to operate as “no discharge” must be implemented. These systems may not discharge except in storm events greater than a twenty-five-year, 24-hour storm event. In the event of such a discharge, the permittee must report an unusual or extraordinary discharge per Part III H of the permit. No sampling or DMR is required for these discharges as they </w:t>
      </w:r>
      <w:proofErr w:type="gramStart"/>
      <w:r w:rsidRPr="008E642E">
        <w:rPr>
          <w:rFonts w:eastAsia="Times New Roman"/>
          <w:color w:val="000000"/>
        </w:rPr>
        <w:t>are considered to be</w:t>
      </w:r>
      <w:proofErr w:type="gramEnd"/>
      <w:r w:rsidRPr="008E642E">
        <w:rPr>
          <w:rFonts w:eastAsia="Times New Roman"/>
          <w:color w:val="000000"/>
        </w:rPr>
        <w:t xml:space="preserve"> discharging in emergency discharge conditions. These discharges may not contravene the water quality standards, or any provision of the State Water Control Law. Any other discharge from this type of system is </w:t>
      </w:r>
      <w:r w:rsidR="007771F6" w:rsidRPr="008E642E">
        <w:rPr>
          <w:rFonts w:eastAsia="Times New Roman"/>
          <w:color w:val="000000"/>
        </w:rPr>
        <w:t>prohibited and</w:t>
      </w:r>
      <w:r w:rsidRPr="008E642E">
        <w:rPr>
          <w:rFonts w:eastAsia="Times New Roman"/>
          <w:color w:val="000000"/>
        </w:rPr>
        <w:t xml:space="preserve"> shall be reported as an unauthorized discharge per Part III G of this permit. This special condition</w:t>
      </w:r>
      <w:r w:rsidR="00C953A2">
        <w:rPr>
          <w:rFonts w:eastAsia="Times New Roman"/>
          <w:color w:val="000000"/>
        </w:rPr>
        <w:t xml:space="preserve">, which </w:t>
      </w:r>
      <w:r w:rsidR="00214D30">
        <w:rPr>
          <w:rFonts w:eastAsia="Times New Roman"/>
          <w:color w:val="000000"/>
        </w:rPr>
        <w:t xml:space="preserve">is a different design standard than </w:t>
      </w:r>
      <w:r w:rsidR="00C953A2">
        <w:rPr>
          <w:rFonts w:eastAsia="Times New Roman"/>
          <w:color w:val="000000"/>
        </w:rPr>
        <w:t xml:space="preserve">the overflow provision in the </w:t>
      </w:r>
      <w:r w:rsidR="00806DC2">
        <w:rPr>
          <w:rFonts w:eastAsia="Times New Roman"/>
          <w:color w:val="000000"/>
        </w:rPr>
        <w:t>pertinent</w:t>
      </w:r>
      <w:r w:rsidR="00C953A2">
        <w:rPr>
          <w:rFonts w:eastAsia="Times New Roman"/>
          <w:color w:val="000000"/>
        </w:rPr>
        <w:t xml:space="preserve"> ELGs,</w:t>
      </w:r>
      <w:r w:rsidRPr="008E642E">
        <w:rPr>
          <w:rFonts w:eastAsia="Times New Roman"/>
          <w:color w:val="000000"/>
        </w:rPr>
        <w:t xml:space="preserve"> is based on </w:t>
      </w:r>
      <w:r w:rsidRPr="00C953A2">
        <w:rPr>
          <w:rFonts w:eastAsia="Times New Roman"/>
          <w:color w:val="000000"/>
        </w:rPr>
        <w:t>best professional judgment</w:t>
      </w:r>
      <w:r w:rsidRPr="008E642E">
        <w:rPr>
          <w:rFonts w:eastAsia="Times New Roman"/>
          <w:color w:val="000000"/>
        </w:rPr>
        <w:t xml:space="preserve"> of the staff</w:t>
      </w:r>
      <w:r w:rsidR="00B83295">
        <w:rPr>
          <w:rFonts w:eastAsia="Times New Roman"/>
          <w:color w:val="000000"/>
        </w:rPr>
        <w:t xml:space="preserve"> and is consistent with </w:t>
      </w:r>
      <w:r w:rsidR="00C953A2">
        <w:rPr>
          <w:rFonts w:eastAsia="Times New Roman"/>
          <w:color w:val="000000"/>
        </w:rPr>
        <w:t>the standard in Virginia’s Pollution Abatement permit regulation (9VAC25-32-30 A)</w:t>
      </w:r>
      <w:r w:rsidRPr="008E642E">
        <w:rPr>
          <w:rFonts w:eastAsia="Times New Roman"/>
          <w:color w:val="000000"/>
        </w:rPr>
        <w:t>.</w:t>
      </w:r>
    </w:p>
    <w:p w14:paraId="52199EA2" w14:textId="7E8FDAC3" w:rsidR="00BB47C0" w:rsidRDefault="00BB47C0" w:rsidP="008E642E">
      <w:pPr>
        <w:numPr>
          <w:ilvl w:val="0"/>
          <w:numId w:val="5"/>
        </w:numPr>
        <w:tabs>
          <w:tab w:val="clear" w:pos="720"/>
          <w:tab w:val="left" w:pos="360"/>
        </w:tabs>
        <w:spacing w:before="257" w:line="252" w:lineRule="exact"/>
        <w:ind w:right="432"/>
        <w:textAlignment w:val="baseline"/>
        <w:rPr>
          <w:rFonts w:eastAsia="Times New Roman"/>
          <w:color w:val="000000"/>
        </w:rPr>
      </w:pPr>
      <w:r w:rsidRPr="008E642E">
        <w:rPr>
          <w:rFonts w:eastAsia="Times New Roman"/>
          <w:color w:val="000000"/>
        </w:rPr>
        <w:t xml:space="preserve">Special Condition No. 16 requires that permittees must use best management practices to ensure that contaminants do not enter surface waters </w:t>
      </w:r>
      <w:proofErr w:type="gramStart"/>
      <w:r w:rsidRPr="008E642E">
        <w:rPr>
          <w:rFonts w:eastAsia="Times New Roman"/>
          <w:color w:val="000000"/>
        </w:rPr>
        <w:t>as a result of</w:t>
      </w:r>
      <w:proofErr w:type="gramEnd"/>
      <w:r w:rsidRPr="008E642E">
        <w:rPr>
          <w:rFonts w:eastAsia="Times New Roman"/>
          <w:color w:val="000000"/>
        </w:rPr>
        <w:t xml:space="preserve"> blasting at the mining site. This condition addresses concerns with</w:t>
      </w:r>
      <w:r w:rsidR="00FA320E">
        <w:rPr>
          <w:rFonts w:eastAsia="Times New Roman"/>
          <w:color w:val="000000"/>
        </w:rPr>
        <w:t xml:space="preserve"> </w:t>
      </w:r>
      <w:r w:rsidR="00FA320E" w:rsidRPr="005B552E">
        <w:rPr>
          <w:rFonts w:eastAsia="Times New Roman"/>
          <w:color w:val="000000"/>
        </w:rPr>
        <w:t>ammonia and</w:t>
      </w:r>
      <w:r w:rsidRPr="008E642E">
        <w:rPr>
          <w:rFonts w:eastAsia="Times New Roman"/>
          <w:color w:val="000000"/>
        </w:rPr>
        <w:t xml:space="preserve"> nitrate</w:t>
      </w:r>
      <w:r w:rsidR="00D965DA" w:rsidRPr="008E642E">
        <w:rPr>
          <w:rFonts w:eastAsia="Times New Roman"/>
          <w:color w:val="000000"/>
        </w:rPr>
        <w:t xml:space="preserve"> deposition</w:t>
      </w:r>
      <w:r w:rsidRPr="008E642E">
        <w:rPr>
          <w:rFonts w:eastAsia="Times New Roman"/>
          <w:color w:val="000000"/>
        </w:rPr>
        <w:t xml:space="preserve"> resulting from the use </w:t>
      </w:r>
      <w:r w:rsidR="00F80F60" w:rsidRPr="008E642E">
        <w:rPr>
          <w:rFonts w:eastAsia="Times New Roman"/>
          <w:color w:val="000000"/>
        </w:rPr>
        <w:t>of explosives.</w:t>
      </w:r>
    </w:p>
    <w:p w14:paraId="2F29A93E" w14:textId="1C4A2350" w:rsidR="002148F1" w:rsidRDefault="003847C3" w:rsidP="008E642E">
      <w:pPr>
        <w:numPr>
          <w:ilvl w:val="0"/>
          <w:numId w:val="5"/>
        </w:numPr>
        <w:tabs>
          <w:tab w:val="clear" w:pos="720"/>
          <w:tab w:val="left" w:pos="360"/>
        </w:tabs>
        <w:spacing w:before="257" w:line="252" w:lineRule="exact"/>
        <w:ind w:right="432"/>
        <w:textAlignment w:val="baseline"/>
        <w:rPr>
          <w:rFonts w:eastAsia="Times New Roman"/>
          <w:color w:val="000000"/>
        </w:rPr>
      </w:pPr>
      <w:r w:rsidRPr="008E642E">
        <w:rPr>
          <w:rFonts w:eastAsia="Times New Roman"/>
          <w:color w:val="000000"/>
        </w:rPr>
        <w:t>Special Condition No. 1</w:t>
      </w:r>
      <w:r w:rsidR="00D965DA" w:rsidRPr="008E642E">
        <w:rPr>
          <w:rFonts w:eastAsia="Times New Roman"/>
          <w:color w:val="000000"/>
        </w:rPr>
        <w:t>7</w:t>
      </w:r>
      <w:r w:rsidRPr="008E642E">
        <w:rPr>
          <w:rFonts w:eastAsia="Times New Roman"/>
          <w:color w:val="000000"/>
        </w:rPr>
        <w:t xml:space="preserve"> describes how terminations of coverage under a general permit will be implemented. Permittees need to know this is an option available to them. This is being added to all general permits as they are reissued.</w:t>
      </w:r>
    </w:p>
    <w:p w14:paraId="63397ACB" w14:textId="0DA6AC41" w:rsidR="00E17B34" w:rsidRPr="003A6BAA" w:rsidRDefault="00E17B34" w:rsidP="008E642E">
      <w:pPr>
        <w:numPr>
          <w:ilvl w:val="0"/>
          <w:numId w:val="5"/>
        </w:numPr>
        <w:tabs>
          <w:tab w:val="clear" w:pos="720"/>
          <w:tab w:val="left" w:pos="360"/>
        </w:tabs>
        <w:spacing w:before="257" w:line="252" w:lineRule="exact"/>
        <w:ind w:right="432"/>
        <w:textAlignment w:val="baseline"/>
        <w:rPr>
          <w:rFonts w:eastAsia="Times New Roman"/>
          <w:color w:val="000000"/>
        </w:rPr>
      </w:pPr>
      <w:r w:rsidRPr="003A6BAA">
        <w:rPr>
          <w:rFonts w:eastAsia="Times New Roman"/>
          <w:color w:val="000000"/>
        </w:rPr>
        <w:t xml:space="preserve">Special Condition No. 18 establishes (for other than SIC 1475) discharge requirements for emergency dewatering during flooded conditions. This provision provides a time-limited, conditional exception from the TSS limits applicable to process wastewater for mine pit dewatering discharges resulting from a storm equal to or greater than a 10-year, 24-hour storm event that has caused flood conditions within the mine such that normal operation at the active portion of the mine cannot continue. Dewatering discharges shall not exceed a daily maximum of 100 mg/l during emergency dewatering and are subject to daily monitoring. The operator must conduct such dewatering by pumping from the surface of the flooded area through a filtered mechanism to minimize the discharge of solids. The operator also must notify DEQ of such flooded conditions. The permittee must take actions to maximize the settling of stormwater prior to and during dewatering. Dewatering discharges shall not contravene the Water Quality Standards (9VAC25-260) or any provision of the State Water Control Law. This provision is being added to address a concern identified by the regulated community that at times extreme storms flood the active portion of the mineral mines and render them inoperable and </w:t>
      </w:r>
      <w:r w:rsidR="003E23A5" w:rsidRPr="003A6BAA">
        <w:rPr>
          <w:rFonts w:eastAsia="Times New Roman"/>
          <w:color w:val="000000"/>
        </w:rPr>
        <w:t xml:space="preserve">that since </w:t>
      </w:r>
      <w:r w:rsidR="001F0AE2" w:rsidRPr="003A6BAA">
        <w:rPr>
          <w:rFonts w:eastAsia="Times New Roman"/>
          <w:color w:val="000000"/>
        </w:rPr>
        <w:t xml:space="preserve">these volumes of water are more </w:t>
      </w:r>
      <w:proofErr w:type="gramStart"/>
      <w:r w:rsidR="001F0AE2" w:rsidRPr="003A6BAA">
        <w:rPr>
          <w:rFonts w:eastAsia="Times New Roman"/>
          <w:color w:val="000000"/>
        </w:rPr>
        <w:t>similar to</w:t>
      </w:r>
      <w:proofErr w:type="gramEnd"/>
      <w:r w:rsidR="001F0AE2" w:rsidRPr="003A6BAA">
        <w:rPr>
          <w:rFonts w:eastAsia="Times New Roman"/>
          <w:color w:val="000000"/>
        </w:rPr>
        <w:t xml:space="preserve"> stormwater than process water, particularly after allowing for settling</w:t>
      </w:r>
      <w:r w:rsidR="003E23A5" w:rsidRPr="003A6BAA">
        <w:rPr>
          <w:rFonts w:eastAsia="Times New Roman"/>
          <w:color w:val="000000"/>
        </w:rPr>
        <w:t>, there is a need for greater flexibility in allowing dewatering</w:t>
      </w:r>
      <w:r w:rsidR="001F0AE2" w:rsidRPr="003A6BAA">
        <w:rPr>
          <w:rFonts w:eastAsia="Times New Roman"/>
          <w:color w:val="000000"/>
        </w:rPr>
        <w:t>. DEQ established the TSS limits for process wastewater to protect surface waters. DEQ believes that given that such extreme storms are infrequent, combined with the BMPs being required</w:t>
      </w:r>
      <w:r w:rsidR="003E23A5" w:rsidRPr="003A6BAA">
        <w:rPr>
          <w:rFonts w:eastAsia="Times New Roman"/>
          <w:color w:val="000000"/>
        </w:rPr>
        <w:t xml:space="preserve"> under this special condition</w:t>
      </w:r>
      <w:r w:rsidR="001F0AE2" w:rsidRPr="003A6BAA">
        <w:rPr>
          <w:rFonts w:eastAsia="Times New Roman"/>
          <w:color w:val="000000"/>
        </w:rPr>
        <w:t xml:space="preserve">, </w:t>
      </w:r>
      <w:r w:rsidR="003E23A5" w:rsidRPr="003A6BAA">
        <w:rPr>
          <w:rFonts w:eastAsia="Times New Roman"/>
          <w:color w:val="000000"/>
        </w:rPr>
        <w:t>that such dewatering can be conducted in a manner that continues to be protective of water quality.</w:t>
      </w:r>
    </w:p>
    <w:p w14:paraId="6C4E822B" w14:textId="1181F7BA" w:rsidR="002148F1" w:rsidRDefault="003847C3">
      <w:pPr>
        <w:spacing w:before="250" w:line="254" w:lineRule="exact"/>
        <w:ind w:left="72" w:right="864"/>
        <w:textAlignment w:val="baseline"/>
        <w:rPr>
          <w:rFonts w:eastAsia="Times New Roman"/>
          <w:color w:val="000000"/>
        </w:rPr>
      </w:pPr>
      <w:r>
        <w:rPr>
          <w:rFonts w:eastAsia="Times New Roman"/>
          <w:color w:val="000000"/>
        </w:rPr>
        <w:t xml:space="preserve">It is believed that the above effluent limitations and special conditions will maintain </w:t>
      </w:r>
      <w:r w:rsidR="00806DC2">
        <w:rPr>
          <w:rFonts w:eastAsia="Times New Roman"/>
          <w:color w:val="000000"/>
        </w:rPr>
        <w:t>s</w:t>
      </w:r>
      <w:r>
        <w:rPr>
          <w:rFonts w:eastAsia="Times New Roman"/>
          <w:color w:val="000000"/>
        </w:rPr>
        <w:t>tate water quality standards.</w:t>
      </w:r>
    </w:p>
    <w:p w14:paraId="1AE492E0" w14:textId="33A97EEB" w:rsidR="002148F1" w:rsidRPr="005B552E" w:rsidRDefault="00990C11" w:rsidP="00990C11">
      <w:pPr>
        <w:pStyle w:val="Heading1"/>
        <w:rPr>
          <w:rFonts w:eastAsia="Times New Roman"/>
        </w:rPr>
      </w:pPr>
      <w:r>
        <w:rPr>
          <w:rFonts w:eastAsia="Times New Roman"/>
        </w:rPr>
        <w:t xml:space="preserve">VI. </w:t>
      </w:r>
      <w:r w:rsidR="003847C3" w:rsidRPr="005B552E">
        <w:rPr>
          <w:rFonts w:eastAsia="Times New Roman"/>
        </w:rPr>
        <w:t>Basis for Requirements for Stormwater Management</w:t>
      </w:r>
    </w:p>
    <w:p w14:paraId="7730D23A" w14:textId="764E2934" w:rsidR="002148F1" w:rsidRDefault="00EE5069">
      <w:pPr>
        <w:spacing w:before="243" w:line="253" w:lineRule="exact"/>
        <w:ind w:left="72" w:right="72"/>
        <w:textAlignment w:val="baseline"/>
        <w:rPr>
          <w:rFonts w:eastAsia="Times New Roman"/>
          <w:color w:val="000000"/>
        </w:rPr>
      </w:pPr>
      <w:r>
        <w:rPr>
          <w:rFonts w:eastAsia="Times New Roman"/>
          <w:color w:val="000000"/>
        </w:rPr>
        <w:t>Industrial s</w:t>
      </w:r>
      <w:r w:rsidR="003847C3">
        <w:rPr>
          <w:rFonts w:eastAsia="Times New Roman"/>
          <w:color w:val="000000"/>
        </w:rPr>
        <w:t>tormwater management is required to reduce the potential for pollutants to reach state waters via stormwater discharges. Stormwater management requirements in Part II are generally current with stormwater management requirements in the VPDES General Permit for Discharges of Stormwater Associated with Industrial Activity (VAR05)</w:t>
      </w:r>
      <w:r>
        <w:rPr>
          <w:rFonts w:eastAsia="Times New Roman"/>
          <w:color w:val="000000"/>
        </w:rPr>
        <w:t>, which itself reflects</w:t>
      </w:r>
      <w:r w:rsidR="003847C3">
        <w:rPr>
          <w:rFonts w:eastAsia="Times New Roman"/>
          <w:color w:val="000000"/>
        </w:rPr>
        <w:t xml:space="preserve"> the EPA </w:t>
      </w:r>
      <w:r w:rsidR="00BF1B97">
        <w:rPr>
          <w:rFonts w:eastAsia="Times New Roman"/>
          <w:color w:val="000000"/>
        </w:rPr>
        <w:t>2021</w:t>
      </w:r>
      <w:r w:rsidR="003847C3">
        <w:rPr>
          <w:rFonts w:eastAsia="Times New Roman"/>
          <w:color w:val="000000"/>
        </w:rPr>
        <w:t xml:space="preserve"> MSGP, while </w:t>
      </w:r>
      <w:proofErr w:type="gramStart"/>
      <w:r w:rsidR="003847C3">
        <w:rPr>
          <w:rFonts w:eastAsia="Times New Roman"/>
          <w:color w:val="000000"/>
        </w:rPr>
        <w:t>taking into account</w:t>
      </w:r>
      <w:proofErr w:type="gramEnd"/>
      <w:r w:rsidR="003847C3">
        <w:rPr>
          <w:rFonts w:eastAsia="Times New Roman"/>
          <w:color w:val="000000"/>
        </w:rPr>
        <w:t xml:space="preserve"> the characteristics of the industry to be regulated under this general permit</w:t>
      </w:r>
      <w:r>
        <w:rPr>
          <w:rFonts w:eastAsia="Times New Roman"/>
          <w:color w:val="000000"/>
        </w:rPr>
        <w:t xml:space="preserve"> and existing state mining regulations</w:t>
      </w:r>
      <w:r w:rsidR="003847C3">
        <w:rPr>
          <w:rFonts w:eastAsia="Times New Roman"/>
          <w:color w:val="000000"/>
        </w:rPr>
        <w:t>.</w:t>
      </w:r>
    </w:p>
    <w:p w14:paraId="26FDF3C8" w14:textId="6C93591F" w:rsidR="002148F1" w:rsidRDefault="003847C3">
      <w:pPr>
        <w:spacing w:before="255" w:line="253" w:lineRule="exact"/>
        <w:ind w:left="72" w:right="72"/>
        <w:textAlignment w:val="baseline"/>
        <w:rPr>
          <w:rFonts w:eastAsia="Times New Roman"/>
          <w:color w:val="000000"/>
        </w:rPr>
      </w:pPr>
      <w:r>
        <w:rPr>
          <w:rFonts w:eastAsia="Times New Roman"/>
          <w:color w:val="000000"/>
        </w:rPr>
        <w:t xml:space="preserve">Management of stormwater is to be achieved through the development of a </w:t>
      </w:r>
      <w:r w:rsidR="00D31285">
        <w:rPr>
          <w:rFonts w:eastAsia="Times New Roman"/>
          <w:color w:val="000000"/>
        </w:rPr>
        <w:t>S</w:t>
      </w:r>
      <w:r w:rsidR="00E85984">
        <w:rPr>
          <w:rFonts w:eastAsia="Times New Roman"/>
          <w:color w:val="000000"/>
        </w:rPr>
        <w:t xml:space="preserve">tormwater </w:t>
      </w:r>
      <w:r w:rsidR="00D31285">
        <w:rPr>
          <w:rFonts w:eastAsia="Times New Roman"/>
          <w:color w:val="000000"/>
        </w:rPr>
        <w:t>Pollution P</w:t>
      </w:r>
      <w:r w:rsidR="00E85984">
        <w:rPr>
          <w:rFonts w:eastAsia="Times New Roman"/>
          <w:color w:val="000000"/>
        </w:rPr>
        <w:t xml:space="preserve">revention </w:t>
      </w:r>
      <w:r w:rsidR="00D31285">
        <w:rPr>
          <w:rFonts w:eastAsia="Times New Roman"/>
          <w:color w:val="000000"/>
        </w:rPr>
        <w:t>P</w:t>
      </w:r>
      <w:r w:rsidR="00E85984">
        <w:rPr>
          <w:rFonts w:eastAsia="Times New Roman"/>
          <w:color w:val="000000"/>
        </w:rPr>
        <w:t>lan (</w:t>
      </w:r>
      <w:r>
        <w:rPr>
          <w:rFonts w:eastAsia="Times New Roman"/>
          <w:color w:val="000000"/>
        </w:rPr>
        <w:t>SWPPP</w:t>
      </w:r>
      <w:r w:rsidR="00E85984">
        <w:rPr>
          <w:rFonts w:eastAsia="Times New Roman"/>
          <w:color w:val="000000"/>
        </w:rPr>
        <w:t>)</w:t>
      </w:r>
      <w:r>
        <w:rPr>
          <w:rFonts w:eastAsia="Times New Roman"/>
          <w:color w:val="000000"/>
        </w:rPr>
        <w:t xml:space="preserve">. The </w:t>
      </w:r>
      <w:r w:rsidR="00E85984">
        <w:rPr>
          <w:rFonts w:eastAsia="Times New Roman"/>
          <w:color w:val="000000"/>
        </w:rPr>
        <w:t>SWPPP</w:t>
      </w:r>
      <w:r>
        <w:rPr>
          <w:rFonts w:eastAsia="Times New Roman"/>
          <w:color w:val="000000"/>
        </w:rPr>
        <w:t xml:space="preserve"> is intended to identify potential sources of </w:t>
      </w:r>
      <w:r w:rsidR="0081279A">
        <w:rPr>
          <w:rFonts w:eastAsia="Times New Roman"/>
          <w:color w:val="000000"/>
        </w:rPr>
        <w:t>pollution that</w:t>
      </w:r>
      <w:r>
        <w:rPr>
          <w:rFonts w:eastAsia="Times New Roman"/>
          <w:color w:val="000000"/>
        </w:rPr>
        <w:t xml:space="preserve"> may reasonably be expected to affect the quality of stormwater discharges </w:t>
      </w:r>
      <w:r w:rsidR="00DC6B80">
        <w:rPr>
          <w:rFonts w:eastAsia="Times New Roman"/>
          <w:color w:val="000000"/>
        </w:rPr>
        <w:t xml:space="preserve">as well as </w:t>
      </w:r>
      <w:r>
        <w:rPr>
          <w:rFonts w:eastAsia="Times New Roman"/>
          <w:color w:val="000000"/>
        </w:rPr>
        <w:t xml:space="preserve">describe and ensure the implementation of </w:t>
      </w:r>
      <w:r w:rsidR="0081279A">
        <w:rPr>
          <w:rFonts w:eastAsia="Times New Roman"/>
          <w:color w:val="000000"/>
        </w:rPr>
        <w:lastRenderedPageBreak/>
        <w:t>practices that</w:t>
      </w:r>
      <w:r>
        <w:rPr>
          <w:rFonts w:eastAsia="Times New Roman"/>
          <w:color w:val="000000"/>
        </w:rPr>
        <w:t xml:space="preserve"> will reduce the pollutants in stormwater discharges. The SWPPP requirement maintains the flexibility for a site-specific plan to be developed and implemented but identifies specific components that the plan must address. These components include the pollution prevention team, a description of pollutant sources, </w:t>
      </w:r>
      <w:r w:rsidR="00A3007E">
        <w:rPr>
          <w:rFonts w:eastAsia="Times New Roman"/>
          <w:color w:val="000000"/>
        </w:rPr>
        <w:t xml:space="preserve">and </w:t>
      </w:r>
      <w:r w:rsidR="00DC6B80">
        <w:rPr>
          <w:rFonts w:eastAsia="Times New Roman"/>
          <w:color w:val="000000"/>
        </w:rPr>
        <w:t xml:space="preserve">a description of </w:t>
      </w:r>
      <w:r>
        <w:rPr>
          <w:rFonts w:eastAsia="Times New Roman"/>
          <w:color w:val="000000"/>
        </w:rPr>
        <w:t>stormwater controls (</w:t>
      </w:r>
      <w:r w:rsidR="007048FC">
        <w:rPr>
          <w:rFonts w:eastAsia="Times New Roman"/>
          <w:color w:val="000000"/>
        </w:rPr>
        <w:t>including</w:t>
      </w:r>
      <w:r w:rsidR="00A3007E">
        <w:rPr>
          <w:rFonts w:eastAsia="Times New Roman"/>
          <w:color w:val="000000"/>
        </w:rPr>
        <w:t xml:space="preserve"> </w:t>
      </w:r>
      <w:r w:rsidR="00D31285">
        <w:rPr>
          <w:rFonts w:eastAsia="Times New Roman"/>
          <w:color w:val="000000"/>
        </w:rPr>
        <w:t>Best Management Practices (</w:t>
      </w:r>
      <w:r>
        <w:rPr>
          <w:rFonts w:eastAsia="Times New Roman"/>
          <w:color w:val="000000"/>
        </w:rPr>
        <w:t>BMPs</w:t>
      </w:r>
      <w:r w:rsidR="00D31285">
        <w:rPr>
          <w:rFonts w:eastAsia="Times New Roman"/>
          <w:color w:val="000000"/>
        </w:rPr>
        <w:t>)</w:t>
      </w:r>
      <w:r w:rsidR="00A3007E">
        <w:rPr>
          <w:rFonts w:eastAsia="Times New Roman"/>
          <w:color w:val="000000"/>
        </w:rPr>
        <w:t>, good housekeeping measures, preventative maintenance, spill prevention and response, routine inspections, employee training, recordkeeping and internal reporting, sediment and erosion control, and run-off management</w:t>
      </w:r>
      <w:r>
        <w:rPr>
          <w:rFonts w:eastAsia="Times New Roman"/>
          <w:color w:val="000000"/>
        </w:rPr>
        <w:t>).</w:t>
      </w:r>
      <w:r w:rsidR="00900836">
        <w:rPr>
          <w:rFonts w:eastAsia="Times New Roman"/>
          <w:color w:val="000000"/>
        </w:rPr>
        <w:t xml:space="preserve"> </w:t>
      </w:r>
    </w:p>
    <w:p w14:paraId="73C75D3C" w14:textId="451865F8" w:rsidR="00BF4992" w:rsidRDefault="003847C3" w:rsidP="00BC2311">
      <w:pPr>
        <w:spacing w:before="252" w:line="253" w:lineRule="exact"/>
        <w:ind w:left="72" w:right="72"/>
        <w:textAlignment w:val="baseline"/>
        <w:rPr>
          <w:rFonts w:eastAsia="Times New Roman"/>
          <w:color w:val="000000"/>
        </w:rPr>
      </w:pPr>
      <w:r>
        <w:rPr>
          <w:rFonts w:eastAsia="Times New Roman"/>
          <w:color w:val="000000"/>
        </w:rPr>
        <w:t>Qua</w:t>
      </w:r>
      <w:r w:rsidR="00874F8B">
        <w:rPr>
          <w:rFonts w:eastAsia="Times New Roman"/>
          <w:color w:val="000000"/>
        </w:rPr>
        <w:t>rterly inspections</w:t>
      </w:r>
      <w:r>
        <w:rPr>
          <w:rFonts w:eastAsia="Times New Roman"/>
          <w:color w:val="000000"/>
        </w:rPr>
        <w:t xml:space="preserve"> are required to identify sources of pollution and to evaluate whether the pollution prevention measures are being effectively implemented. The inspections are considered a means of determining compliance with permit conditions without requiring extensive sampling programs. The permittee is required to maintain records summarizing the results of inspections.</w:t>
      </w:r>
      <w:r w:rsidR="00621988">
        <w:rPr>
          <w:rFonts w:eastAsia="Times New Roman"/>
          <w:color w:val="000000"/>
        </w:rPr>
        <w:t xml:space="preserve"> </w:t>
      </w:r>
      <w:bookmarkStart w:id="0" w:name="_Hlk147919655"/>
      <w:r w:rsidR="00630028">
        <w:rPr>
          <w:rFonts w:eastAsia="Times New Roman"/>
          <w:color w:val="000000"/>
        </w:rPr>
        <w:t>T</w:t>
      </w:r>
      <w:r w:rsidR="00621988">
        <w:rPr>
          <w:rFonts w:eastAsia="Times New Roman"/>
          <w:color w:val="000000"/>
        </w:rPr>
        <w:t>his permit provides that where a facility has an</w:t>
      </w:r>
      <w:r w:rsidR="00D31285">
        <w:rPr>
          <w:rFonts w:eastAsia="Times New Roman"/>
          <w:color w:val="000000"/>
        </w:rPr>
        <w:t xml:space="preserve"> active and compliant</w:t>
      </w:r>
      <w:r w:rsidR="00621988">
        <w:rPr>
          <w:rFonts w:eastAsia="Times New Roman"/>
          <w:color w:val="000000"/>
        </w:rPr>
        <w:t xml:space="preserve"> E3 (Exemplary Environmental Enterprise) or E4 (Extraordinary Environmental Enterprise) status under Virginia’s Environmental Excellence Program (VEEP)</w:t>
      </w:r>
      <w:bookmarkEnd w:id="0"/>
      <w:r w:rsidR="00621988">
        <w:rPr>
          <w:rFonts w:eastAsia="Times New Roman"/>
          <w:color w:val="000000"/>
        </w:rPr>
        <w:t xml:space="preserve">, routine inspection requirements are waived. This is consistent with the VPDES General Permit for Discharges of Stormwater Associated with Industrial Activity and is </w:t>
      </w:r>
      <w:proofErr w:type="gramStart"/>
      <w:r w:rsidR="00621988">
        <w:rPr>
          <w:rFonts w:eastAsia="Times New Roman"/>
          <w:color w:val="000000"/>
        </w:rPr>
        <w:t>based on the fact that</w:t>
      </w:r>
      <w:proofErr w:type="gramEnd"/>
      <w:r w:rsidR="00621988">
        <w:rPr>
          <w:rFonts w:eastAsia="Times New Roman"/>
          <w:color w:val="000000"/>
        </w:rPr>
        <w:t xml:space="preserve"> such facilities are required under the VEEP program to implement an </w:t>
      </w:r>
      <w:r w:rsidR="00D31285">
        <w:rPr>
          <w:rFonts w:eastAsia="Times New Roman"/>
          <w:color w:val="000000"/>
        </w:rPr>
        <w:t>E</w:t>
      </w:r>
      <w:r w:rsidR="00621988">
        <w:rPr>
          <w:rFonts w:eastAsia="Times New Roman"/>
          <w:color w:val="000000"/>
        </w:rPr>
        <w:t xml:space="preserve">nvironmental </w:t>
      </w:r>
      <w:r w:rsidR="00D31285">
        <w:rPr>
          <w:rFonts w:eastAsia="Times New Roman"/>
          <w:color w:val="000000"/>
        </w:rPr>
        <w:t>M</w:t>
      </w:r>
      <w:r w:rsidR="00621988">
        <w:rPr>
          <w:rFonts w:eastAsia="Times New Roman"/>
          <w:color w:val="000000"/>
        </w:rPr>
        <w:t xml:space="preserve">anagement </w:t>
      </w:r>
      <w:r w:rsidR="00D31285">
        <w:rPr>
          <w:rFonts w:eastAsia="Times New Roman"/>
          <w:color w:val="000000"/>
        </w:rPr>
        <w:t>S</w:t>
      </w:r>
      <w:r w:rsidR="00621988">
        <w:rPr>
          <w:rFonts w:eastAsia="Times New Roman"/>
          <w:color w:val="000000"/>
        </w:rPr>
        <w:t xml:space="preserve">ystem </w:t>
      </w:r>
      <w:r w:rsidR="00BC2311">
        <w:rPr>
          <w:rFonts w:eastAsia="Times New Roman"/>
          <w:color w:val="000000"/>
        </w:rPr>
        <w:t>(EMS), which include</w:t>
      </w:r>
      <w:r w:rsidR="00DC6B80">
        <w:rPr>
          <w:rFonts w:eastAsia="Times New Roman"/>
          <w:color w:val="000000"/>
        </w:rPr>
        <w:t>s</w:t>
      </w:r>
      <w:r w:rsidR="00BC2311">
        <w:rPr>
          <w:rFonts w:eastAsia="Times New Roman"/>
          <w:color w:val="000000"/>
        </w:rPr>
        <w:t xml:space="preserve"> implementation and evaluation components, </w:t>
      </w:r>
      <w:r w:rsidR="00DC6B80">
        <w:rPr>
          <w:rFonts w:eastAsia="Times New Roman"/>
          <w:color w:val="000000"/>
        </w:rPr>
        <w:t xml:space="preserve">as well as </w:t>
      </w:r>
      <w:r w:rsidR="00BC2311">
        <w:rPr>
          <w:rFonts w:eastAsia="Times New Roman"/>
          <w:color w:val="000000"/>
        </w:rPr>
        <w:t xml:space="preserve">have a pollution prevention program and a record of sustained compliance with environmental requirements. </w:t>
      </w:r>
    </w:p>
    <w:p w14:paraId="72EB80F3" w14:textId="7D594D11" w:rsidR="002950B5" w:rsidRDefault="002950B5">
      <w:pPr>
        <w:spacing w:before="252" w:line="253" w:lineRule="exact"/>
        <w:ind w:left="72" w:right="72"/>
        <w:textAlignment w:val="baseline"/>
        <w:rPr>
          <w:rFonts w:eastAsia="Times New Roman"/>
          <w:color w:val="000000"/>
        </w:rPr>
      </w:pPr>
      <w:r>
        <w:rPr>
          <w:rFonts w:eastAsia="Times New Roman"/>
          <w:color w:val="000000"/>
        </w:rPr>
        <w:t xml:space="preserve">In </w:t>
      </w:r>
      <w:r w:rsidR="00DC6B80">
        <w:rPr>
          <w:rFonts w:eastAsia="Times New Roman"/>
          <w:color w:val="000000"/>
        </w:rPr>
        <w:t>its</w:t>
      </w:r>
      <w:r>
        <w:rPr>
          <w:rFonts w:eastAsia="Times New Roman"/>
          <w:color w:val="000000"/>
        </w:rPr>
        <w:t xml:space="preserve"> </w:t>
      </w:r>
      <w:r w:rsidR="005F5E02">
        <w:rPr>
          <w:rFonts w:eastAsia="Times New Roman"/>
          <w:color w:val="000000"/>
        </w:rPr>
        <w:t>2021</w:t>
      </w:r>
      <w:r>
        <w:rPr>
          <w:rFonts w:eastAsia="Times New Roman"/>
          <w:color w:val="000000"/>
        </w:rPr>
        <w:t xml:space="preserve"> MSGP, U.S. EPA included provisions that address pre-mining earth</w:t>
      </w:r>
      <w:r w:rsidR="009C1341">
        <w:rPr>
          <w:rFonts w:eastAsia="Times New Roman"/>
          <w:color w:val="000000"/>
        </w:rPr>
        <w:t>-</w:t>
      </w:r>
      <w:r>
        <w:rPr>
          <w:rFonts w:eastAsia="Times New Roman"/>
          <w:color w:val="000000"/>
        </w:rPr>
        <w:t xml:space="preserve">disturbing activities (i.e., section 8.J.4). </w:t>
      </w:r>
      <w:r w:rsidRPr="002950B5">
        <w:rPr>
          <w:rFonts w:eastAsia="Times New Roman"/>
          <w:color w:val="000000"/>
        </w:rPr>
        <w:t>Under V</w:t>
      </w:r>
      <w:r>
        <w:rPr>
          <w:rFonts w:eastAsia="Times New Roman"/>
          <w:color w:val="000000"/>
        </w:rPr>
        <w:t>irginia</w:t>
      </w:r>
      <w:r w:rsidRPr="002950B5">
        <w:rPr>
          <w:rFonts w:eastAsia="Times New Roman"/>
          <w:color w:val="000000"/>
        </w:rPr>
        <w:t xml:space="preserve"> law (§ 62.1-44.15:34) </w:t>
      </w:r>
      <w:r>
        <w:rPr>
          <w:rFonts w:eastAsia="Times New Roman"/>
          <w:color w:val="000000"/>
        </w:rPr>
        <w:t xml:space="preserve">land-disturbing activities associated with surface mining </w:t>
      </w:r>
      <w:r w:rsidR="00951286">
        <w:rPr>
          <w:rFonts w:eastAsia="Times New Roman"/>
          <w:color w:val="000000"/>
        </w:rPr>
        <w:t xml:space="preserve">are exempt from stormwater regulation provided such activities are conducted pursuant to a mining permit </w:t>
      </w:r>
      <w:r w:rsidRPr="002950B5">
        <w:rPr>
          <w:rFonts w:eastAsia="Times New Roman"/>
          <w:color w:val="000000"/>
        </w:rPr>
        <w:t>under Title 45.1. In addition, under § 62.1-44.15:55</w:t>
      </w:r>
      <w:r w:rsidR="00951286">
        <w:rPr>
          <w:rFonts w:eastAsia="Times New Roman"/>
          <w:color w:val="000000"/>
        </w:rPr>
        <w:t>,</w:t>
      </w:r>
      <w:r w:rsidRPr="002950B5">
        <w:rPr>
          <w:rFonts w:eastAsia="Times New Roman"/>
          <w:color w:val="000000"/>
        </w:rPr>
        <w:t xml:space="preserve"> permitted surface mining conducted under Title 45.1 is exempt from V</w:t>
      </w:r>
      <w:r w:rsidR="00951286">
        <w:rPr>
          <w:rFonts w:eastAsia="Times New Roman"/>
          <w:color w:val="000000"/>
        </w:rPr>
        <w:t>irginia</w:t>
      </w:r>
      <w:r w:rsidR="009C1341">
        <w:rPr>
          <w:rFonts w:eastAsia="Times New Roman"/>
          <w:color w:val="000000"/>
        </w:rPr>
        <w:t>’s</w:t>
      </w:r>
      <w:r w:rsidRPr="002950B5">
        <w:rPr>
          <w:rFonts w:eastAsia="Times New Roman"/>
          <w:color w:val="000000"/>
        </w:rPr>
        <w:t xml:space="preserve"> erosion and sediment control law.</w:t>
      </w:r>
      <w:r w:rsidR="00951286">
        <w:rPr>
          <w:rFonts w:eastAsia="Times New Roman"/>
          <w:color w:val="000000"/>
        </w:rPr>
        <w:t xml:space="preserve"> </w:t>
      </w:r>
      <w:r w:rsidR="001656CD">
        <w:rPr>
          <w:rFonts w:eastAsia="Times New Roman"/>
          <w:color w:val="000000"/>
        </w:rPr>
        <w:t>Under state regulations, m</w:t>
      </w:r>
      <w:r w:rsidR="009C1341">
        <w:rPr>
          <w:rFonts w:eastAsia="Times New Roman"/>
          <w:color w:val="000000"/>
        </w:rPr>
        <w:t>ining permits</w:t>
      </w:r>
      <w:r w:rsidR="005B552E">
        <w:rPr>
          <w:rFonts w:eastAsia="Times New Roman"/>
          <w:color w:val="000000"/>
        </w:rPr>
        <w:t>, which are required as a condition of this general permit,</w:t>
      </w:r>
      <w:r w:rsidR="009C1341">
        <w:rPr>
          <w:rFonts w:eastAsia="Times New Roman"/>
          <w:color w:val="000000"/>
        </w:rPr>
        <w:t xml:space="preserve"> </w:t>
      </w:r>
      <w:r w:rsidR="00B950F9">
        <w:rPr>
          <w:rFonts w:eastAsia="Times New Roman"/>
          <w:color w:val="000000"/>
        </w:rPr>
        <w:t xml:space="preserve">include an operation plan, drainage plan </w:t>
      </w:r>
      <w:r w:rsidR="00351FBD">
        <w:rPr>
          <w:rFonts w:eastAsia="Times New Roman"/>
          <w:color w:val="000000"/>
        </w:rPr>
        <w:t xml:space="preserve">(including erosion and sediment control) </w:t>
      </w:r>
      <w:r w:rsidR="00B950F9">
        <w:rPr>
          <w:rFonts w:eastAsia="Times New Roman"/>
          <w:color w:val="000000"/>
        </w:rPr>
        <w:t>and reclamation pla</w:t>
      </w:r>
      <w:r w:rsidR="009B4678">
        <w:rPr>
          <w:rFonts w:eastAsia="Times New Roman"/>
          <w:color w:val="000000"/>
        </w:rPr>
        <w:t>n, and must meet performance standards that address topics including impoundments, drainage and sediment control, sediment basins, diversions</w:t>
      </w:r>
      <w:r w:rsidR="001656CD">
        <w:rPr>
          <w:rFonts w:eastAsia="Times New Roman"/>
          <w:color w:val="000000"/>
        </w:rPr>
        <w:t>,</w:t>
      </w:r>
      <w:r w:rsidR="009B4678">
        <w:rPr>
          <w:rFonts w:eastAsia="Times New Roman"/>
          <w:color w:val="000000"/>
        </w:rPr>
        <w:t xml:space="preserve"> and water quality (4VAC25-31-10 through 570). </w:t>
      </w:r>
      <w:r w:rsidR="001656CD">
        <w:rPr>
          <w:rFonts w:eastAsia="Times New Roman"/>
          <w:color w:val="000000"/>
        </w:rPr>
        <w:t xml:space="preserve">These mining permit regulations apply starting with the first </w:t>
      </w:r>
      <w:r w:rsidR="00351FBD">
        <w:rPr>
          <w:rFonts w:eastAsia="Times New Roman"/>
          <w:color w:val="000000"/>
        </w:rPr>
        <w:t xml:space="preserve">disturbance of any part of a site. </w:t>
      </w:r>
      <w:r w:rsidR="009B4678">
        <w:rPr>
          <w:rFonts w:eastAsia="Times New Roman"/>
          <w:color w:val="000000"/>
        </w:rPr>
        <w:t xml:space="preserve">Based on the statutory exclusions </w:t>
      </w:r>
      <w:r w:rsidR="00351FBD">
        <w:rPr>
          <w:rFonts w:eastAsia="Times New Roman"/>
          <w:color w:val="000000"/>
        </w:rPr>
        <w:t xml:space="preserve">noted above and the existing state </w:t>
      </w:r>
      <w:r w:rsidR="006833F3">
        <w:rPr>
          <w:rFonts w:eastAsia="Times New Roman"/>
          <w:color w:val="000000"/>
        </w:rPr>
        <w:t xml:space="preserve">DMM permit </w:t>
      </w:r>
      <w:r w:rsidR="00351FBD">
        <w:rPr>
          <w:rFonts w:eastAsia="Times New Roman"/>
          <w:color w:val="000000"/>
        </w:rPr>
        <w:t>regulations applicable to mineral mining</w:t>
      </w:r>
      <w:r w:rsidR="006833F3">
        <w:rPr>
          <w:rFonts w:eastAsia="Times New Roman"/>
          <w:color w:val="000000"/>
        </w:rPr>
        <w:t>,</w:t>
      </w:r>
      <w:r w:rsidR="00351FBD">
        <w:rPr>
          <w:rFonts w:eastAsia="Times New Roman"/>
          <w:color w:val="000000"/>
        </w:rPr>
        <w:t xml:space="preserve"> </w:t>
      </w:r>
      <w:r w:rsidR="00951286">
        <w:rPr>
          <w:rFonts w:eastAsia="Times New Roman"/>
          <w:color w:val="000000"/>
        </w:rPr>
        <w:t xml:space="preserve">new </w:t>
      </w:r>
      <w:r w:rsidR="006833F3">
        <w:rPr>
          <w:rFonts w:eastAsia="Times New Roman"/>
          <w:color w:val="000000"/>
        </w:rPr>
        <w:t xml:space="preserve">pre-mining </w:t>
      </w:r>
      <w:r w:rsidR="00951286">
        <w:rPr>
          <w:rFonts w:eastAsia="Times New Roman"/>
          <w:color w:val="000000"/>
        </w:rPr>
        <w:t>provision</w:t>
      </w:r>
      <w:r w:rsidR="00351FBD">
        <w:rPr>
          <w:rFonts w:eastAsia="Times New Roman"/>
          <w:color w:val="000000"/>
        </w:rPr>
        <w:t xml:space="preserve">s </w:t>
      </w:r>
      <w:r w:rsidR="00630028">
        <w:rPr>
          <w:rFonts w:eastAsia="Times New Roman"/>
          <w:color w:val="000000"/>
        </w:rPr>
        <w:t>are</w:t>
      </w:r>
      <w:r w:rsidR="00351FBD">
        <w:rPr>
          <w:rFonts w:eastAsia="Times New Roman"/>
          <w:color w:val="000000"/>
        </w:rPr>
        <w:t xml:space="preserve"> </w:t>
      </w:r>
      <w:r w:rsidR="00951286">
        <w:rPr>
          <w:rFonts w:eastAsia="Times New Roman"/>
          <w:color w:val="000000"/>
        </w:rPr>
        <w:t xml:space="preserve">not </w:t>
      </w:r>
      <w:r w:rsidR="00630028">
        <w:rPr>
          <w:rFonts w:eastAsia="Times New Roman"/>
          <w:color w:val="000000"/>
        </w:rPr>
        <w:t>included in</w:t>
      </w:r>
      <w:r w:rsidR="00351FBD">
        <w:rPr>
          <w:rFonts w:eastAsia="Times New Roman"/>
          <w:color w:val="000000"/>
        </w:rPr>
        <w:t xml:space="preserve"> </w:t>
      </w:r>
      <w:r w:rsidR="00021F39">
        <w:rPr>
          <w:rFonts w:eastAsia="Times New Roman"/>
          <w:color w:val="000000"/>
        </w:rPr>
        <w:t>VAG84</w:t>
      </w:r>
      <w:r w:rsidR="00351FBD">
        <w:rPr>
          <w:rFonts w:eastAsia="Times New Roman"/>
          <w:color w:val="000000"/>
        </w:rPr>
        <w:t xml:space="preserve">. </w:t>
      </w:r>
    </w:p>
    <w:p w14:paraId="397D07A4" w14:textId="47A80AE7" w:rsidR="002148F1" w:rsidRPr="005B552E" w:rsidRDefault="00990C11" w:rsidP="00990C11">
      <w:pPr>
        <w:pStyle w:val="Heading1"/>
        <w:rPr>
          <w:rFonts w:eastAsia="Times New Roman"/>
        </w:rPr>
      </w:pPr>
      <w:r>
        <w:rPr>
          <w:rFonts w:eastAsia="Times New Roman"/>
        </w:rPr>
        <w:t xml:space="preserve">VII. </w:t>
      </w:r>
      <w:r w:rsidR="003847C3" w:rsidRPr="005B552E">
        <w:rPr>
          <w:rFonts w:eastAsia="Times New Roman"/>
        </w:rPr>
        <w:t xml:space="preserve">Administrative </w:t>
      </w:r>
    </w:p>
    <w:p w14:paraId="0C9AE9BC" w14:textId="755C387A" w:rsidR="002148F1" w:rsidRDefault="003847C3">
      <w:pPr>
        <w:spacing w:before="254" w:line="253" w:lineRule="exact"/>
        <w:ind w:left="72" w:right="216"/>
        <w:textAlignment w:val="baseline"/>
        <w:rPr>
          <w:rFonts w:eastAsia="Times New Roman"/>
          <w:color w:val="000000"/>
        </w:rPr>
      </w:pPr>
      <w:r>
        <w:rPr>
          <w:rFonts w:eastAsia="Times New Roman"/>
          <w:color w:val="000000"/>
        </w:rPr>
        <w:t>The general permit will have a fixed term of five (5) years. Every authorization to discharge under this general permit will expire at the same time and most existing covered owners’ authorizations to discharge will be renewed on the same date.</w:t>
      </w:r>
    </w:p>
    <w:p w14:paraId="0E707750" w14:textId="540CADE3" w:rsidR="006962E9" w:rsidRDefault="003847C3">
      <w:pPr>
        <w:spacing w:before="256" w:line="253" w:lineRule="exact"/>
        <w:ind w:left="72" w:right="72"/>
        <w:textAlignment w:val="baseline"/>
        <w:rPr>
          <w:rFonts w:eastAsia="Times New Roman"/>
          <w:color w:val="000000"/>
        </w:rPr>
      </w:pPr>
      <w:r>
        <w:rPr>
          <w:rFonts w:eastAsia="Times New Roman"/>
          <w:color w:val="000000"/>
        </w:rPr>
        <w:t xml:space="preserve">All persons desiring to be covered by this general permit must register with the Department by filing a registration statement and submitting applicable fees. Owners of nonmetallic mineral mining facilities that are discharging on the effective date of this general permit, </w:t>
      </w:r>
      <w:r w:rsidR="00DC6B80">
        <w:rPr>
          <w:rFonts w:eastAsia="Times New Roman"/>
          <w:color w:val="000000"/>
        </w:rPr>
        <w:t xml:space="preserve">and </w:t>
      </w:r>
      <w:r>
        <w:rPr>
          <w:rFonts w:eastAsia="Times New Roman"/>
          <w:color w:val="000000"/>
        </w:rPr>
        <w:t xml:space="preserve">which have not been covered under the previous general permit or an individual VPDES permit and desire to be covered under this general </w:t>
      </w:r>
      <w:proofErr w:type="spellStart"/>
      <w:r>
        <w:rPr>
          <w:rFonts w:eastAsia="Times New Roman"/>
          <w:color w:val="000000"/>
        </w:rPr>
        <w:t>ermit</w:t>
      </w:r>
      <w:proofErr w:type="spellEnd"/>
      <w:r w:rsidR="00DC6B80">
        <w:rPr>
          <w:rFonts w:eastAsia="Times New Roman"/>
          <w:color w:val="000000"/>
        </w:rPr>
        <w:t>,</w:t>
      </w:r>
      <w:r>
        <w:rPr>
          <w:rFonts w:eastAsia="Times New Roman"/>
          <w:color w:val="000000"/>
        </w:rPr>
        <w:t xml:space="preserve"> are required to submit the registration statement.</w:t>
      </w:r>
    </w:p>
    <w:p w14:paraId="7552AB45" w14:textId="3C9A5A73" w:rsidR="00C47F55" w:rsidRDefault="00C47F55">
      <w:pPr>
        <w:spacing w:before="256" w:line="253" w:lineRule="exact"/>
        <w:ind w:left="72" w:right="72"/>
        <w:textAlignment w:val="baseline"/>
        <w:rPr>
          <w:rFonts w:eastAsia="Times New Roman"/>
          <w:color w:val="000000"/>
        </w:rPr>
      </w:pPr>
      <w:r>
        <w:rPr>
          <w:rFonts w:eastAsia="Times New Roman"/>
          <w:color w:val="000000"/>
        </w:rPr>
        <w:t xml:space="preserve">In this general permit DEQ has </w:t>
      </w:r>
      <w:r w:rsidR="006962E9" w:rsidRPr="006962E9">
        <w:rPr>
          <w:rFonts w:eastAsia="Times New Roman"/>
          <w:color w:val="000000"/>
        </w:rPr>
        <w:t>added a conditional electronic submittal requirement for registration statements</w:t>
      </w:r>
      <w:r>
        <w:rPr>
          <w:rFonts w:eastAsia="Times New Roman"/>
          <w:color w:val="000000"/>
        </w:rPr>
        <w:t>. This provision establishes that</w:t>
      </w:r>
      <w:r w:rsidR="00DC0667">
        <w:rPr>
          <w:rFonts w:eastAsia="Times New Roman"/>
          <w:color w:val="000000"/>
        </w:rPr>
        <w:t>,</w:t>
      </w:r>
      <w:r>
        <w:rPr>
          <w:rFonts w:eastAsia="Times New Roman"/>
          <w:color w:val="000000"/>
        </w:rPr>
        <w:t xml:space="preserve"> f</w:t>
      </w:r>
      <w:r w:rsidRPr="00C47F55">
        <w:rPr>
          <w:rFonts w:eastAsia="Times New Roman"/>
          <w:color w:val="000000"/>
        </w:rPr>
        <w:t xml:space="preserve">ollowing notification from the department of the start date for the required electronic submission of registration statements, as provided for in 9VAC25-31-1020, such </w:t>
      </w:r>
      <w:r>
        <w:rPr>
          <w:rFonts w:eastAsia="Times New Roman"/>
          <w:color w:val="000000"/>
        </w:rPr>
        <w:t xml:space="preserve">registration statements must be </w:t>
      </w:r>
      <w:r w:rsidRPr="00C47F55">
        <w:rPr>
          <w:rFonts w:eastAsia="Times New Roman"/>
          <w:color w:val="000000"/>
        </w:rPr>
        <w:t xml:space="preserve">electronically submitted to the department in compliance with this </w:t>
      </w:r>
      <w:r>
        <w:rPr>
          <w:rFonts w:eastAsia="Times New Roman"/>
          <w:color w:val="000000"/>
        </w:rPr>
        <w:t>permit</w:t>
      </w:r>
      <w:r w:rsidRPr="00C47F55">
        <w:rPr>
          <w:rFonts w:eastAsia="Times New Roman"/>
          <w:color w:val="000000"/>
        </w:rPr>
        <w:t xml:space="preserve"> and 9VAC25-31-1020. </w:t>
      </w:r>
      <w:r>
        <w:rPr>
          <w:rFonts w:eastAsia="Times New Roman"/>
          <w:color w:val="000000"/>
        </w:rPr>
        <w:t>It also specifies that t</w:t>
      </w:r>
      <w:r w:rsidRPr="00C47F55">
        <w:rPr>
          <w:rFonts w:eastAsia="Times New Roman"/>
          <w:color w:val="000000"/>
        </w:rPr>
        <w:t xml:space="preserve">here </w:t>
      </w:r>
      <w:r>
        <w:rPr>
          <w:rFonts w:eastAsia="Times New Roman"/>
          <w:color w:val="000000"/>
        </w:rPr>
        <w:t xml:space="preserve">will </w:t>
      </w:r>
      <w:r w:rsidRPr="00C47F55">
        <w:rPr>
          <w:rFonts w:eastAsia="Times New Roman"/>
          <w:color w:val="000000"/>
        </w:rPr>
        <w:t>be at least a three-month notice provided between the notification from the department and the date after which such forms must be submitted electronically</w:t>
      </w:r>
      <w:r>
        <w:rPr>
          <w:rFonts w:eastAsia="Times New Roman"/>
          <w:color w:val="000000"/>
        </w:rPr>
        <w:t xml:space="preserve">. </w:t>
      </w:r>
      <w:r w:rsidR="00DC0667">
        <w:rPr>
          <w:rFonts w:eastAsia="Times New Roman"/>
          <w:color w:val="000000"/>
        </w:rPr>
        <w:t xml:space="preserve">Permittees </w:t>
      </w:r>
      <w:r w:rsidR="007F0E51">
        <w:rPr>
          <w:rFonts w:eastAsia="Times New Roman"/>
          <w:color w:val="000000"/>
        </w:rPr>
        <w:t xml:space="preserve">will need to register at the </w:t>
      </w:r>
      <w:proofErr w:type="spellStart"/>
      <w:r w:rsidR="007F0E51">
        <w:rPr>
          <w:rFonts w:eastAsia="Times New Roman"/>
          <w:color w:val="000000"/>
        </w:rPr>
        <w:t>myDEQ</w:t>
      </w:r>
      <w:proofErr w:type="spellEnd"/>
      <w:r w:rsidR="007F0E51">
        <w:rPr>
          <w:rFonts w:eastAsia="Times New Roman"/>
          <w:color w:val="000000"/>
        </w:rPr>
        <w:t xml:space="preserve"> Portal (</w:t>
      </w:r>
      <w:hyperlink r:id="rId13" w:history="1">
        <w:r w:rsidR="007F0E51" w:rsidRPr="001C2018">
          <w:rPr>
            <w:rStyle w:val="Hyperlink"/>
            <w:rFonts w:eastAsia="Times New Roman"/>
          </w:rPr>
          <w:t>https://portal.deq.virginia.gov/</w:t>
        </w:r>
      </w:hyperlink>
      <w:r w:rsidR="007F0E51">
        <w:rPr>
          <w:rFonts w:eastAsia="Times New Roman"/>
          <w:color w:val="000000"/>
        </w:rPr>
        <w:t xml:space="preserve"> ) if they have not already done so. There is also a </w:t>
      </w:r>
      <w:r w:rsidR="007F0E51" w:rsidRPr="00395F6A">
        <w:rPr>
          <w:rFonts w:eastAsia="Times New Roman"/>
          <w:i/>
          <w:iCs/>
          <w:color w:val="000000"/>
        </w:rPr>
        <w:t xml:space="preserve">Getting started with </w:t>
      </w:r>
      <w:proofErr w:type="spellStart"/>
      <w:r w:rsidR="007F0E51" w:rsidRPr="00395F6A">
        <w:rPr>
          <w:rFonts w:eastAsia="Times New Roman"/>
          <w:i/>
          <w:iCs/>
          <w:color w:val="000000"/>
        </w:rPr>
        <w:t>myDEQ</w:t>
      </w:r>
      <w:proofErr w:type="spellEnd"/>
      <w:r w:rsidR="007F0E51">
        <w:rPr>
          <w:rFonts w:eastAsia="Times New Roman"/>
          <w:color w:val="000000"/>
        </w:rPr>
        <w:t xml:space="preserve"> document available </w:t>
      </w:r>
      <w:r w:rsidR="00395F6A">
        <w:rPr>
          <w:rFonts w:eastAsia="Times New Roman"/>
          <w:color w:val="000000"/>
        </w:rPr>
        <w:t xml:space="preserve">online </w:t>
      </w:r>
      <w:r w:rsidR="007F0E51">
        <w:rPr>
          <w:rFonts w:eastAsia="Times New Roman"/>
          <w:color w:val="000000"/>
        </w:rPr>
        <w:t xml:space="preserve">to facilitate account registration, </w:t>
      </w:r>
      <w:proofErr w:type="gramStart"/>
      <w:r w:rsidR="007F0E51">
        <w:rPr>
          <w:rFonts w:eastAsia="Times New Roman"/>
          <w:color w:val="000000"/>
        </w:rPr>
        <w:t>setup</w:t>
      </w:r>
      <w:proofErr w:type="gramEnd"/>
      <w:r w:rsidR="007F0E51">
        <w:rPr>
          <w:rFonts w:eastAsia="Times New Roman"/>
          <w:color w:val="000000"/>
        </w:rPr>
        <w:t xml:space="preserve"> and use.  </w:t>
      </w:r>
      <w:hyperlink r:id="rId14" w:history="1">
        <w:r w:rsidR="00395F6A" w:rsidRPr="001C2018">
          <w:rPr>
            <w:rStyle w:val="Hyperlink"/>
            <w:rFonts w:eastAsia="Times New Roman"/>
          </w:rPr>
          <w:t>https://www.deq.virginia.gov/home/showpublisheddocument/15678</w:t>
        </w:r>
      </w:hyperlink>
      <w:r w:rsidR="007F0E51">
        <w:rPr>
          <w:rFonts w:eastAsia="Times New Roman"/>
          <w:color w:val="000000"/>
        </w:rPr>
        <w:t xml:space="preserve"> </w:t>
      </w:r>
      <w:r w:rsidR="00395F6A">
        <w:rPr>
          <w:rFonts w:eastAsia="Times New Roman"/>
          <w:color w:val="000000"/>
        </w:rPr>
        <w:t xml:space="preserve">. </w:t>
      </w:r>
      <w:r w:rsidR="00DC0667">
        <w:rPr>
          <w:rFonts w:eastAsia="Times New Roman"/>
          <w:color w:val="000000"/>
        </w:rPr>
        <w:t>This provision implements federal (40 CFR Part 127) and state (9VAC25-31-1020) electronic reporting regulations.</w:t>
      </w:r>
    </w:p>
    <w:p w14:paraId="187A7034" w14:textId="2F32C041" w:rsidR="00CD7367" w:rsidRDefault="00CD7367">
      <w:pPr>
        <w:spacing w:before="256" w:line="253" w:lineRule="exact"/>
        <w:ind w:left="72" w:right="72"/>
        <w:textAlignment w:val="baseline"/>
        <w:rPr>
          <w:rFonts w:eastAsia="Times New Roman"/>
          <w:color w:val="000000"/>
        </w:rPr>
      </w:pPr>
      <w:r w:rsidRPr="00CD7367">
        <w:rPr>
          <w:rFonts w:eastAsia="Times New Roman"/>
          <w:color w:val="000000"/>
        </w:rPr>
        <w:t>Th</w:t>
      </w:r>
      <w:r>
        <w:rPr>
          <w:rFonts w:eastAsia="Times New Roman"/>
          <w:color w:val="000000"/>
        </w:rPr>
        <w:t>e</w:t>
      </w:r>
      <w:r w:rsidRPr="00CD7367">
        <w:rPr>
          <w:rFonts w:eastAsia="Times New Roman"/>
          <w:color w:val="000000"/>
        </w:rPr>
        <w:t xml:space="preserve"> reissued general permit includes a requirement to include on the registration statement a list of chemicals added to wastewater or stormwater and that could be discharged, including Safety Data Sheets (SDS), the maximum proposed dosing rates, and a demonstration that the application or use will not result in aquatic toxicity to protect water quality in receiving streams. The use of chemicals, including cationic chemicals, by nonmetallic mineral mining facilities is a potential concern due to the potential aquatic toxicity of certain chemicals in particular settings (e.g., see 8.J.4.1.8 in the federal </w:t>
      </w:r>
      <w:r w:rsidR="0048199A">
        <w:rPr>
          <w:rFonts w:eastAsia="Times New Roman"/>
          <w:color w:val="000000"/>
        </w:rPr>
        <w:t>2021</w:t>
      </w:r>
      <w:r w:rsidRPr="00CD7367">
        <w:rPr>
          <w:rFonts w:eastAsia="Times New Roman"/>
          <w:color w:val="000000"/>
        </w:rPr>
        <w:t xml:space="preserve"> MSGP. This provision reflects EPA concerns regarding the aquatic toxicity of cationic chemicals, as discussed in the fact sheet to EPA’s 2012 Construction General Permit). The additional information being requested is to ensure that permit staff have adequate information to evaluate the potential toxicity of any added chemicals that could be discharged and to approve, restrict or condition such use as appropriate. A demonstration that chemical use will not result in aquatic toxicity is somewhat flexible but must include information that allows DEQ to make informed judgements that discharges from these facilities will not contain chemicals at levels that pose aquatic toxicity. Such a demonstration should include a description of when, where and how the chemicals will be used, the manufacturer’s specification regarding the use or recommended concentration of the chemical, and calculations of the maximum concentration expected in the effluent or other documentation showing that the maximum concentration expected in the effluent is not expected to adversely affect aquatic life.</w:t>
      </w:r>
      <w:r>
        <w:rPr>
          <w:rFonts w:eastAsia="Times New Roman"/>
          <w:color w:val="000000"/>
        </w:rPr>
        <w:t xml:space="preserve"> Additional information that could potentially</w:t>
      </w:r>
      <w:r w:rsidRPr="00CD7367">
        <w:rPr>
          <w:rFonts w:eastAsia="Times New Roman"/>
          <w:color w:val="000000"/>
        </w:rPr>
        <w:t xml:space="preserve"> support a demonstration includes why the chemical use is appropriate for the site conditions, whether the chemical is or is not a cationic polymer, if the chemical is used internally or as part of final treatment, </w:t>
      </w:r>
      <w:r w:rsidR="009D7618">
        <w:rPr>
          <w:rFonts w:eastAsia="Times New Roman"/>
          <w:color w:val="000000"/>
        </w:rPr>
        <w:t xml:space="preserve">controls or implementation procedures that protect water quality, </w:t>
      </w:r>
      <w:r w:rsidRPr="00CD7367">
        <w:rPr>
          <w:rFonts w:eastAsia="Times New Roman"/>
          <w:color w:val="000000"/>
        </w:rPr>
        <w:t>and available toxicity data other than the SDS.</w:t>
      </w:r>
    </w:p>
    <w:p w14:paraId="2E058BE4" w14:textId="7E132DAB" w:rsidR="002148F1" w:rsidRDefault="003847C3">
      <w:pPr>
        <w:spacing w:before="256" w:line="253" w:lineRule="exact"/>
        <w:ind w:left="72" w:right="72"/>
        <w:textAlignment w:val="baseline"/>
        <w:rPr>
          <w:rFonts w:eastAsia="Times New Roman"/>
          <w:color w:val="000000"/>
        </w:rPr>
      </w:pPr>
      <w:r>
        <w:rPr>
          <w:rFonts w:eastAsia="Times New Roman"/>
          <w:color w:val="000000"/>
        </w:rPr>
        <w:t xml:space="preserve">Owners of existing operations covered under an individual VPDES permit that wish to seek coverage under the general permit must file a registration statement at least </w:t>
      </w:r>
      <w:r w:rsidR="001A619A">
        <w:rPr>
          <w:rFonts w:eastAsia="Times New Roman"/>
          <w:color w:val="000000"/>
        </w:rPr>
        <w:t>240</w:t>
      </w:r>
      <w:r>
        <w:rPr>
          <w:rFonts w:eastAsia="Times New Roman"/>
          <w:color w:val="000000"/>
        </w:rPr>
        <w:t xml:space="preserve"> days prior to the expiration date of the individual VPDES permit. Owners of existing operations covered under the previous general permit seeking to retain coverage under the reissued general permit must file a new registration in accordance with the reissued general permit requirements</w:t>
      </w:r>
      <w:r w:rsidR="001A619A">
        <w:rPr>
          <w:rFonts w:eastAsia="Times New Roman"/>
          <w:color w:val="000000"/>
        </w:rPr>
        <w:t xml:space="preserve"> at least 60 days prior to the expiration of the existing permit</w:t>
      </w:r>
      <w:r>
        <w:rPr>
          <w:rFonts w:eastAsia="Times New Roman"/>
          <w:color w:val="000000"/>
        </w:rPr>
        <w:t xml:space="preserve">. For all new facilities that will begin activities after the effective date of this permit, the registration statement must be filed at least </w:t>
      </w:r>
      <w:r w:rsidR="001A619A">
        <w:rPr>
          <w:rFonts w:eastAsia="Times New Roman"/>
          <w:color w:val="000000"/>
        </w:rPr>
        <w:t>60</w:t>
      </w:r>
      <w:r>
        <w:rPr>
          <w:rFonts w:eastAsia="Times New Roman"/>
          <w:color w:val="000000"/>
        </w:rPr>
        <w:t xml:space="preserve"> days prior to the commencement of discharge.</w:t>
      </w:r>
    </w:p>
    <w:p w14:paraId="25BD66EC" w14:textId="376CF423" w:rsidR="0002419A" w:rsidRDefault="003847C3" w:rsidP="0002419A">
      <w:pPr>
        <w:spacing w:before="249" w:line="251" w:lineRule="exact"/>
        <w:ind w:left="72" w:right="144"/>
        <w:textAlignment w:val="baseline"/>
        <w:rPr>
          <w:rFonts w:eastAsia="Times New Roman"/>
          <w:color w:val="000000"/>
        </w:rPr>
      </w:pPr>
      <w:r>
        <w:rPr>
          <w:rFonts w:eastAsia="Times New Roman"/>
          <w:color w:val="000000"/>
        </w:rPr>
        <w:t>This general permit does not cover activities or discharges covered by an individual VPDES permit until the individual permit has expired or has been terminated. Any person conducting an activity covered by an individual permit which could be covered by this general permit may request that the individual permit be terminated and register for coverage under this general permit. Any owner or operator not wishing to be covered or limited by this general permit may make application for an individual VPDES permit in accordance with VPDES permit application procedures.</w:t>
      </w:r>
    </w:p>
    <w:p w14:paraId="24BE0AFF" w14:textId="4A85C9B8" w:rsidR="002148F1" w:rsidRDefault="003847C3" w:rsidP="0002419A">
      <w:pPr>
        <w:spacing w:before="249" w:line="251" w:lineRule="exact"/>
        <w:ind w:left="72" w:right="144"/>
        <w:textAlignment w:val="baseline"/>
        <w:rPr>
          <w:rFonts w:eastAsia="Times New Roman"/>
          <w:color w:val="000000"/>
        </w:rPr>
      </w:pPr>
      <w:r>
        <w:rPr>
          <w:rFonts w:eastAsia="Times New Roman"/>
          <w:color w:val="000000"/>
        </w:rPr>
        <w:t xml:space="preserve">To gain coverage under this general permit an owner must submit the registration information required in 9VAC25-190-60 (a registration statement form will be provided by the </w:t>
      </w:r>
      <w:r w:rsidR="001233C5">
        <w:rPr>
          <w:rFonts w:eastAsia="Times New Roman"/>
          <w:color w:val="000000"/>
        </w:rPr>
        <w:t>department</w:t>
      </w:r>
      <w:r>
        <w:rPr>
          <w:rFonts w:eastAsia="Times New Roman"/>
          <w:color w:val="000000"/>
        </w:rPr>
        <w:t xml:space="preserve">), submit the required permit </w:t>
      </w:r>
      <w:proofErr w:type="gramStart"/>
      <w:r>
        <w:rPr>
          <w:rFonts w:eastAsia="Times New Roman"/>
          <w:color w:val="000000"/>
        </w:rPr>
        <w:t>fee</w:t>
      </w:r>
      <w:proofErr w:type="gramEnd"/>
      <w:r>
        <w:rPr>
          <w:rFonts w:eastAsia="Times New Roman"/>
          <w:color w:val="000000"/>
        </w:rPr>
        <w:t xml:space="preserve"> and comply with the applicable effluent limitations and other requirements of the permit. An additional requirement for this general permit is that the owner must have a mineral mining permit approved by the Virginia Department of Mines, Minerals and Energy, Division of Mineral Mining under provisions and</w:t>
      </w:r>
      <w:r w:rsidR="0002419A">
        <w:rPr>
          <w:rFonts w:eastAsia="Times New Roman"/>
          <w:color w:val="000000"/>
        </w:rPr>
        <w:t xml:space="preserve"> </w:t>
      </w:r>
      <w:r>
        <w:rPr>
          <w:rFonts w:eastAsia="Times New Roman"/>
          <w:color w:val="000000"/>
        </w:rPr>
        <w:t>requirements of Title 45.1 of the Code of Virginia. Owners of mineral mines in bordering states with discharges in Virginia must provide documentation that they have a mining permit from the appropriate state authority. Mineral mines owned and operated by governmental bodies not subject to the provisions and requirement of Title 45.1 are exempt from this requirement.</w:t>
      </w:r>
    </w:p>
    <w:p w14:paraId="29B8A60A" w14:textId="525C42E3" w:rsidR="002148F1" w:rsidRDefault="003847C3">
      <w:pPr>
        <w:spacing w:before="254" w:line="253" w:lineRule="exact"/>
        <w:ind w:left="72" w:right="72"/>
        <w:textAlignment w:val="baseline"/>
        <w:rPr>
          <w:rFonts w:eastAsia="Times New Roman"/>
          <w:color w:val="000000"/>
        </w:rPr>
      </w:pPr>
      <w:r>
        <w:rPr>
          <w:rFonts w:eastAsia="Times New Roman"/>
          <w:color w:val="000000"/>
        </w:rPr>
        <w:lastRenderedPageBreak/>
        <w:t>Coverage under this general permit will not be issue</w:t>
      </w:r>
      <w:r w:rsidR="00A54352">
        <w:rPr>
          <w:rFonts w:eastAsia="Times New Roman"/>
          <w:color w:val="000000"/>
        </w:rPr>
        <w:t>d</w:t>
      </w:r>
      <w:r>
        <w:rPr>
          <w:rFonts w:eastAsia="Times New Roman"/>
          <w:color w:val="000000"/>
        </w:rPr>
        <w:t xml:space="preserve"> for any new or increased discharge that will result a violation of the board's antidegradation policy contained in the Virginia Water Quality Standards at 9VAC25-260-30 or to a facility where the discharge is not consistent with the assumptions and requirements of an approved TMDL for the receiving stream. Coverage under the general permit is also not available to owners that discharge to state waters that are specifically named in other board regulations that prohibit such discharges (e.g., </w:t>
      </w:r>
      <w:proofErr w:type="gramStart"/>
      <w:r>
        <w:rPr>
          <w:rFonts w:eastAsia="Times New Roman"/>
          <w:color w:val="000000"/>
        </w:rPr>
        <w:t>exceptional</w:t>
      </w:r>
      <w:proofErr w:type="gramEnd"/>
      <w:r>
        <w:rPr>
          <w:rFonts w:eastAsia="Times New Roman"/>
          <w:color w:val="000000"/>
        </w:rPr>
        <w:t xml:space="preserve"> or tier </w:t>
      </w:r>
      <w:r w:rsidR="00532F07">
        <w:rPr>
          <w:rFonts w:eastAsia="Times New Roman"/>
          <w:color w:val="000000"/>
        </w:rPr>
        <w:t>3</w:t>
      </w:r>
      <w:r>
        <w:rPr>
          <w:rFonts w:eastAsia="Times New Roman"/>
          <w:color w:val="000000"/>
        </w:rPr>
        <w:t xml:space="preserve"> waters).</w:t>
      </w:r>
    </w:p>
    <w:p w14:paraId="1E40F8D0" w14:textId="79485531" w:rsidR="00907E37" w:rsidRDefault="00907E37" w:rsidP="00176E13">
      <w:pPr>
        <w:spacing w:before="254" w:line="253" w:lineRule="exact"/>
        <w:ind w:left="72" w:right="72"/>
        <w:textAlignment w:val="baseline"/>
        <w:rPr>
          <w:rFonts w:eastAsia="Times New Roman"/>
          <w:color w:val="000000"/>
        </w:rPr>
      </w:pPr>
      <w:r>
        <w:rPr>
          <w:rFonts w:eastAsia="Times New Roman"/>
          <w:color w:val="000000"/>
        </w:rPr>
        <w:t xml:space="preserve">In this general permit DEQ has </w:t>
      </w:r>
      <w:r w:rsidRPr="006962E9">
        <w:rPr>
          <w:rFonts w:eastAsia="Times New Roman"/>
          <w:color w:val="000000"/>
        </w:rPr>
        <w:t xml:space="preserve">added a conditional electronic submittal requirement for </w:t>
      </w:r>
      <w:r>
        <w:rPr>
          <w:rFonts w:eastAsia="Times New Roman"/>
          <w:color w:val="000000"/>
        </w:rPr>
        <w:t>DMRs. This provision establishes that, f</w:t>
      </w:r>
      <w:r w:rsidRPr="00907E37">
        <w:rPr>
          <w:rFonts w:eastAsia="Times New Roman"/>
          <w:color w:val="000000"/>
        </w:rPr>
        <w:t xml:space="preserve">ollowing notification from the department of the start date for the required electronic submission of monitoring reports, as provided for in 9VAC25-31-1020, such forms and reports submitted after that date shall be electronically submitted to the department in compliance with this </w:t>
      </w:r>
      <w:r>
        <w:rPr>
          <w:rFonts w:eastAsia="Times New Roman"/>
          <w:color w:val="000000"/>
        </w:rPr>
        <w:t>permit</w:t>
      </w:r>
      <w:r w:rsidRPr="00907E37">
        <w:rPr>
          <w:rFonts w:eastAsia="Times New Roman"/>
          <w:color w:val="000000"/>
        </w:rPr>
        <w:t xml:space="preserve"> and 9VAC25-31-1020. </w:t>
      </w:r>
      <w:r>
        <w:rPr>
          <w:rFonts w:eastAsia="Times New Roman"/>
          <w:color w:val="000000"/>
        </w:rPr>
        <w:t xml:space="preserve">It also specifies that there will be at least </w:t>
      </w:r>
      <w:r w:rsidRPr="00907E37">
        <w:rPr>
          <w:rFonts w:eastAsia="Times New Roman"/>
          <w:color w:val="000000"/>
        </w:rPr>
        <w:t>a three-month notice provided between the notification from the department and the date after which such reports must be submitted electronically.</w:t>
      </w:r>
      <w:r>
        <w:rPr>
          <w:rFonts w:eastAsia="Times New Roman"/>
          <w:color w:val="000000"/>
        </w:rPr>
        <w:t xml:space="preserve"> Permittees will need to register at the </w:t>
      </w:r>
      <w:proofErr w:type="spellStart"/>
      <w:r>
        <w:rPr>
          <w:rFonts w:eastAsia="Times New Roman"/>
          <w:color w:val="000000"/>
        </w:rPr>
        <w:t>myDEQ</w:t>
      </w:r>
      <w:proofErr w:type="spellEnd"/>
      <w:r>
        <w:rPr>
          <w:rFonts w:eastAsia="Times New Roman"/>
          <w:color w:val="000000"/>
        </w:rPr>
        <w:t xml:space="preserve"> Portal (</w:t>
      </w:r>
      <w:hyperlink r:id="rId15" w:history="1">
        <w:r w:rsidRPr="001C2018">
          <w:rPr>
            <w:rStyle w:val="Hyperlink"/>
            <w:rFonts w:eastAsia="Times New Roman"/>
          </w:rPr>
          <w:t>https://portal.deq.virginia.gov/</w:t>
        </w:r>
      </w:hyperlink>
      <w:r>
        <w:rPr>
          <w:rFonts w:eastAsia="Times New Roman"/>
          <w:color w:val="000000"/>
        </w:rPr>
        <w:t xml:space="preserve"> ) if they have not already done so. There is also a </w:t>
      </w:r>
      <w:r w:rsidRPr="00395F6A">
        <w:rPr>
          <w:rFonts w:eastAsia="Times New Roman"/>
          <w:i/>
          <w:iCs/>
          <w:color w:val="000000"/>
        </w:rPr>
        <w:t xml:space="preserve">Getting started with </w:t>
      </w:r>
      <w:proofErr w:type="spellStart"/>
      <w:r w:rsidRPr="00395F6A">
        <w:rPr>
          <w:rFonts w:eastAsia="Times New Roman"/>
          <w:i/>
          <w:iCs/>
          <w:color w:val="000000"/>
        </w:rPr>
        <w:t>myDEQ</w:t>
      </w:r>
      <w:proofErr w:type="spellEnd"/>
      <w:r>
        <w:rPr>
          <w:rFonts w:eastAsia="Times New Roman"/>
          <w:color w:val="000000"/>
        </w:rPr>
        <w:t xml:space="preserve"> document available online to facilitate account registration, </w:t>
      </w:r>
      <w:proofErr w:type="gramStart"/>
      <w:r>
        <w:rPr>
          <w:rFonts w:eastAsia="Times New Roman"/>
          <w:color w:val="000000"/>
        </w:rPr>
        <w:t>setup</w:t>
      </w:r>
      <w:proofErr w:type="gramEnd"/>
      <w:r>
        <w:rPr>
          <w:rFonts w:eastAsia="Times New Roman"/>
          <w:color w:val="000000"/>
        </w:rPr>
        <w:t xml:space="preserve"> and use.  </w:t>
      </w:r>
      <w:hyperlink r:id="rId16" w:history="1">
        <w:r w:rsidRPr="001C2018">
          <w:rPr>
            <w:rStyle w:val="Hyperlink"/>
            <w:rFonts w:eastAsia="Times New Roman"/>
          </w:rPr>
          <w:t>https://www.deq.virginia.gov/home/showpublisheddocument/15678</w:t>
        </w:r>
      </w:hyperlink>
      <w:r>
        <w:rPr>
          <w:rFonts w:eastAsia="Times New Roman"/>
          <w:color w:val="000000"/>
        </w:rPr>
        <w:t xml:space="preserve"> . This provision implements federal (40 CFR Part 127) and state (9VAC25-31-1020) electronic reporting regulations.</w:t>
      </w:r>
    </w:p>
    <w:sectPr w:rsidR="00907E37" w:rsidSect="002A7508">
      <w:headerReference w:type="default" r:id="rId17"/>
      <w:pgSz w:w="12240" w:h="15840"/>
      <w:pgMar w:top="1530" w:right="1094" w:bottom="1440" w:left="106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2177" w14:textId="77777777" w:rsidR="002A7508" w:rsidRDefault="002A7508" w:rsidP="00807BF7">
      <w:r>
        <w:separator/>
      </w:r>
    </w:p>
  </w:endnote>
  <w:endnote w:type="continuationSeparator" w:id="0">
    <w:p w14:paraId="49D4D199" w14:textId="77777777" w:rsidR="002A7508" w:rsidRDefault="002A7508" w:rsidP="0080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796764"/>
      <w:docPartObj>
        <w:docPartGallery w:val="Page Numbers (Bottom of Page)"/>
        <w:docPartUnique/>
      </w:docPartObj>
    </w:sdtPr>
    <w:sdtEndPr>
      <w:rPr>
        <w:noProof/>
      </w:rPr>
    </w:sdtEndPr>
    <w:sdtContent>
      <w:p w14:paraId="32F87352" w14:textId="0D2F8FC3" w:rsidR="004725FB" w:rsidRDefault="004725FB">
        <w:pPr>
          <w:pStyle w:val="Footer"/>
        </w:pPr>
        <w:r>
          <w:fldChar w:fldCharType="begin"/>
        </w:r>
        <w:r>
          <w:instrText xml:space="preserve"> PAGE   \* MERGEFORMAT </w:instrText>
        </w:r>
        <w:r>
          <w:fldChar w:fldCharType="separate"/>
        </w:r>
        <w:r w:rsidR="00CF130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3835" w14:textId="77777777" w:rsidR="002A7508" w:rsidRDefault="002A7508" w:rsidP="00807BF7">
      <w:r>
        <w:separator/>
      </w:r>
    </w:p>
  </w:footnote>
  <w:footnote w:type="continuationSeparator" w:id="0">
    <w:p w14:paraId="1C1E4DE2" w14:textId="77777777" w:rsidR="002A7508" w:rsidRDefault="002A7508" w:rsidP="00807BF7">
      <w:r>
        <w:continuationSeparator/>
      </w:r>
    </w:p>
  </w:footnote>
  <w:footnote w:id="1">
    <w:p w14:paraId="42EF7106" w14:textId="2B2B2462" w:rsidR="004500C9" w:rsidRDefault="004500C9">
      <w:pPr>
        <w:pStyle w:val="FootnoteText"/>
      </w:pPr>
      <w:r>
        <w:rPr>
          <w:rStyle w:val="FootnoteReference"/>
        </w:rPr>
        <w:footnoteRef/>
      </w:r>
      <w:r>
        <w:t xml:space="preserve"> </w:t>
      </w:r>
      <w:r w:rsidRPr="0008266D">
        <w:rPr>
          <w:rFonts w:eastAsia="Times New Roman"/>
          <w:color w:val="000000"/>
        </w:rPr>
        <w:t>Where the Water Quality Standards establish alternate standards for pH, those standards shall be the minimum and maximum pH effluent limits.</w:t>
      </w:r>
    </w:p>
  </w:footnote>
  <w:footnote w:id="2">
    <w:p w14:paraId="31203953" w14:textId="3C281C31" w:rsidR="009D6BCD" w:rsidRDefault="009D6BCD">
      <w:pPr>
        <w:pStyle w:val="FootnoteText"/>
      </w:pPr>
      <w:r>
        <w:rPr>
          <w:rStyle w:val="FootnoteReference"/>
        </w:rPr>
        <w:footnoteRef/>
      </w:r>
      <w:r>
        <w:t xml:space="preserve"> </w:t>
      </w:r>
      <w:r w:rsidR="00457B1C">
        <w:t xml:space="preserve">DEQ maintains that annual </w:t>
      </w:r>
      <w:r w:rsidR="0012098B">
        <w:t xml:space="preserve">stormwater </w:t>
      </w:r>
      <w:r w:rsidR="00457B1C">
        <w:t xml:space="preserve">TSS evaluation value monitoring is representative for purposes of this general permit. </w:t>
      </w:r>
      <w:r w:rsidR="00457B1C" w:rsidRPr="00457B1C">
        <w:t xml:space="preserve">DEQ compared the percent of exceedances in annual TSS benchmark (i.e., evaluation value) data from this general permit with </w:t>
      </w:r>
      <w:r w:rsidR="00AC3276">
        <w:t>biannual</w:t>
      </w:r>
      <w:r w:rsidR="00457B1C" w:rsidRPr="00457B1C">
        <w:t xml:space="preserve"> TSS benchmark data from similar industrial stormwater sectors regulated under the VPDES Industrial Stormwater General Permit and found the data to be similar (13.6% for the NMMM General Permit and 11-13% for Asphalt, Cement and Metal Mining sectors).</w:t>
      </w:r>
    </w:p>
  </w:footnote>
  <w:footnote w:id="3">
    <w:p w14:paraId="06C645A4" w14:textId="3834BA73" w:rsidR="00F2049A" w:rsidRDefault="00F2049A">
      <w:pPr>
        <w:pStyle w:val="FootnoteText"/>
      </w:pPr>
      <w:r>
        <w:rPr>
          <w:rStyle w:val="FootnoteReference"/>
        </w:rPr>
        <w:footnoteRef/>
      </w:r>
      <w:r>
        <w:t xml:space="preserve"> Minimum frequency that is </w:t>
      </w:r>
      <w:r w:rsidR="009D6BCD">
        <w:t>permissible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6DEF" w14:textId="4B9F5FB9" w:rsidR="006F74E9" w:rsidRPr="004725FB" w:rsidRDefault="006F74E9">
    <w:pPr>
      <w:pStyle w:val="Header"/>
      <w:rPr>
        <w:sz w:val="18"/>
        <w:szCs w:val="18"/>
      </w:rPr>
    </w:pPr>
    <w:r w:rsidRPr="004725FB">
      <w:rPr>
        <w:sz w:val="18"/>
        <w:szCs w:val="18"/>
      </w:rPr>
      <w:t>Fact Sheet</w:t>
    </w:r>
  </w:p>
  <w:p w14:paraId="3D8B1356" w14:textId="77777777" w:rsidR="006F74E9" w:rsidRPr="004725FB" w:rsidRDefault="006F74E9">
    <w:pPr>
      <w:pStyle w:val="Header"/>
      <w:rPr>
        <w:sz w:val="18"/>
        <w:szCs w:val="18"/>
      </w:rPr>
    </w:pPr>
    <w:r w:rsidRPr="004725FB">
      <w:rPr>
        <w:sz w:val="18"/>
        <w:szCs w:val="18"/>
      </w:rPr>
      <w:t>General Permit for Nonmetallic Mineral Mining Facilities VAG84</w:t>
    </w:r>
  </w:p>
  <w:p w14:paraId="1B7195D9" w14:textId="2556E372" w:rsidR="006F74E9" w:rsidRDefault="006F74E9">
    <w:pPr>
      <w:pStyle w:val="Header"/>
    </w:pPr>
    <w:r w:rsidRPr="004725FB">
      <w:rPr>
        <w:sz w:val="18"/>
        <w:szCs w:val="18"/>
      </w:rPr>
      <w:t>20</w:t>
    </w:r>
    <w:r w:rsidR="009143DC">
      <w:rPr>
        <w:sz w:val="18"/>
        <w:szCs w:val="18"/>
      </w:rPr>
      <w:t>24</w:t>
    </w:r>
    <w:r w:rsidRPr="004725FB">
      <w:rPr>
        <w:sz w:val="18"/>
        <w:szCs w:val="18"/>
      </w:rPr>
      <w:t xml:space="preserve"> Reissuance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2FD"/>
    <w:multiLevelType w:val="hybridMultilevel"/>
    <w:tmpl w:val="C672796C"/>
    <w:lvl w:ilvl="0" w:tplc="BF06D602">
      <w:start w:val="4"/>
      <w:numFmt w:val="upperRoman"/>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055F08"/>
    <w:multiLevelType w:val="multilevel"/>
    <w:tmpl w:val="163E8664"/>
    <w:lvl w:ilvl="0">
      <w:start w:val="1"/>
      <w:numFmt w:val="decimal"/>
      <w:lvlText w:val="(%1)"/>
      <w:lvlJc w:val="left"/>
      <w:pPr>
        <w:tabs>
          <w:tab w:val="left" w:pos="216"/>
        </w:tabs>
      </w:pPr>
      <w:rPr>
        <w:rFonts w:ascii="Times New Roman" w:eastAsia="Times New Roman" w:hAnsi="Times New Roman" w:cs="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34DD2"/>
    <w:multiLevelType w:val="multilevel"/>
    <w:tmpl w:val="EBB41760"/>
    <w:lvl w:ilvl="0">
      <w:start w:val="1"/>
      <w:numFmt w:val="decimal"/>
      <w:lvlText w:val="(%1)"/>
      <w:lvlJc w:val="left"/>
      <w:pPr>
        <w:tabs>
          <w:tab w:val="left" w:pos="216"/>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BA17A7"/>
    <w:multiLevelType w:val="multilevel"/>
    <w:tmpl w:val="2D08D436"/>
    <w:lvl w:ilvl="0">
      <w:start w:val="1"/>
      <w:numFmt w:val="upperLetter"/>
      <w:lvlText w:val="%1."/>
      <w:lvlJc w:val="left"/>
      <w:pPr>
        <w:tabs>
          <w:tab w:val="left" w:pos="576"/>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026DF2"/>
    <w:multiLevelType w:val="multilevel"/>
    <w:tmpl w:val="583E9D44"/>
    <w:lvl w:ilvl="0">
      <w:start w:val="4"/>
      <w:numFmt w:val="upperRoman"/>
      <w:lvlText w:val="%1."/>
      <w:lvlJc w:val="left"/>
      <w:pPr>
        <w:tabs>
          <w:tab w:val="left" w:pos="360"/>
        </w:tabs>
      </w:pPr>
      <w:rPr>
        <w:rFonts w:ascii="Times New Roman" w:eastAsia="Times New Roman" w:hAnsi="Times New Roman"/>
        <w:strike w:val="0"/>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C24218"/>
    <w:multiLevelType w:val="multilevel"/>
    <w:tmpl w:val="892857FE"/>
    <w:lvl w:ilvl="0">
      <w:numFmt w:val="upperRoman"/>
      <w:lvlText w:val="%1."/>
      <w:lvlJc w:val="left"/>
      <w:pPr>
        <w:tabs>
          <w:tab w:val="left" w:pos="216"/>
        </w:tabs>
      </w:pPr>
      <w:rPr>
        <w:rFonts w:ascii="Times New Roman" w:eastAsia="Times New Roman" w:hAnsi="Times New Roman"/>
        <w:strike w:val="0"/>
        <w:color w:val="000000"/>
        <w:spacing w:val="1"/>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E12632"/>
    <w:multiLevelType w:val="multilevel"/>
    <w:tmpl w:val="8CD42C86"/>
    <w:lvl w:ilvl="0">
      <w:start w:val="1"/>
      <w:numFmt w:val="upperLetter"/>
      <w:lvlText w:val="%1."/>
      <w:lvlJc w:val="left"/>
      <w:pPr>
        <w:tabs>
          <w:tab w:val="left" w:pos="576"/>
        </w:tabs>
      </w:pPr>
      <w:rPr>
        <w:rFonts w:ascii="Times New Roman" w:eastAsia="Times New Roman" w:hAnsi="Times New Roman" w:cs="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81730F"/>
    <w:multiLevelType w:val="hybridMultilevel"/>
    <w:tmpl w:val="9340685E"/>
    <w:lvl w:ilvl="0" w:tplc="1542F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914D2"/>
    <w:multiLevelType w:val="multilevel"/>
    <w:tmpl w:val="D60E5FB0"/>
    <w:lvl w:ilvl="0">
      <w:start w:val="11"/>
      <w:numFmt w:val="upperLetter"/>
      <w:lvlText w:val="%1."/>
      <w:lvlJc w:val="left"/>
      <w:pPr>
        <w:tabs>
          <w:tab w:val="left" w:pos="720"/>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3105824">
    <w:abstractNumId w:val="2"/>
  </w:num>
  <w:num w:numId="2" w16cid:durableId="928587059">
    <w:abstractNumId w:val="4"/>
  </w:num>
  <w:num w:numId="3" w16cid:durableId="437530546">
    <w:abstractNumId w:val="5"/>
  </w:num>
  <w:num w:numId="4" w16cid:durableId="1938436819">
    <w:abstractNumId w:val="3"/>
  </w:num>
  <w:num w:numId="5" w16cid:durableId="705329987">
    <w:abstractNumId w:val="8"/>
  </w:num>
  <w:num w:numId="6" w16cid:durableId="2146391904">
    <w:abstractNumId w:val="6"/>
  </w:num>
  <w:num w:numId="7" w16cid:durableId="671639001">
    <w:abstractNumId w:val="1"/>
  </w:num>
  <w:num w:numId="8" w16cid:durableId="1157722185">
    <w:abstractNumId w:val="7"/>
  </w:num>
  <w:num w:numId="9" w16cid:durableId="157759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F1"/>
    <w:rsid w:val="000011D8"/>
    <w:rsid w:val="00002922"/>
    <w:rsid w:val="00021F39"/>
    <w:rsid w:val="0002419A"/>
    <w:rsid w:val="000279A3"/>
    <w:rsid w:val="00027FC2"/>
    <w:rsid w:val="0003128C"/>
    <w:rsid w:val="00040091"/>
    <w:rsid w:val="00051A03"/>
    <w:rsid w:val="00062CA1"/>
    <w:rsid w:val="0006382F"/>
    <w:rsid w:val="00065AD9"/>
    <w:rsid w:val="00073192"/>
    <w:rsid w:val="000773EF"/>
    <w:rsid w:val="0008266D"/>
    <w:rsid w:val="000D33DE"/>
    <w:rsid w:val="000F03CE"/>
    <w:rsid w:val="000F2C28"/>
    <w:rsid w:val="0012098B"/>
    <w:rsid w:val="001233C5"/>
    <w:rsid w:val="00154993"/>
    <w:rsid w:val="001620E5"/>
    <w:rsid w:val="001656CD"/>
    <w:rsid w:val="001674DE"/>
    <w:rsid w:val="0017322B"/>
    <w:rsid w:val="00176E13"/>
    <w:rsid w:val="001A619A"/>
    <w:rsid w:val="001E2C80"/>
    <w:rsid w:val="001F0AE2"/>
    <w:rsid w:val="001F2296"/>
    <w:rsid w:val="002148F1"/>
    <w:rsid w:val="00214D30"/>
    <w:rsid w:val="00217E76"/>
    <w:rsid w:val="00225E54"/>
    <w:rsid w:val="002274BB"/>
    <w:rsid w:val="00242F7D"/>
    <w:rsid w:val="00243440"/>
    <w:rsid w:val="00246801"/>
    <w:rsid w:val="00250F35"/>
    <w:rsid w:val="002819EC"/>
    <w:rsid w:val="002825B4"/>
    <w:rsid w:val="00285855"/>
    <w:rsid w:val="002950B5"/>
    <w:rsid w:val="002A1539"/>
    <w:rsid w:val="002A19EB"/>
    <w:rsid w:val="002A1BEC"/>
    <w:rsid w:val="002A7508"/>
    <w:rsid w:val="002B67D8"/>
    <w:rsid w:val="002C2095"/>
    <w:rsid w:val="002C4765"/>
    <w:rsid w:val="002C5CB7"/>
    <w:rsid w:val="002F4500"/>
    <w:rsid w:val="002F579B"/>
    <w:rsid w:val="003060D9"/>
    <w:rsid w:val="00336749"/>
    <w:rsid w:val="00351FBD"/>
    <w:rsid w:val="00352C39"/>
    <w:rsid w:val="00354B6B"/>
    <w:rsid w:val="00356618"/>
    <w:rsid w:val="00374B83"/>
    <w:rsid w:val="003847C3"/>
    <w:rsid w:val="00391CA7"/>
    <w:rsid w:val="003937B3"/>
    <w:rsid w:val="00395F6A"/>
    <w:rsid w:val="003A3CCB"/>
    <w:rsid w:val="003A6BAA"/>
    <w:rsid w:val="003A7CDD"/>
    <w:rsid w:val="003B3ACD"/>
    <w:rsid w:val="003C746E"/>
    <w:rsid w:val="003E23A5"/>
    <w:rsid w:val="003E2A05"/>
    <w:rsid w:val="003F4C83"/>
    <w:rsid w:val="00422392"/>
    <w:rsid w:val="0042331E"/>
    <w:rsid w:val="0043556F"/>
    <w:rsid w:val="004500C9"/>
    <w:rsid w:val="00457B1C"/>
    <w:rsid w:val="004707C9"/>
    <w:rsid w:val="004725FB"/>
    <w:rsid w:val="0048199A"/>
    <w:rsid w:val="004C34A5"/>
    <w:rsid w:val="004C5720"/>
    <w:rsid w:val="004C7FF5"/>
    <w:rsid w:val="004E04FF"/>
    <w:rsid w:val="004E271D"/>
    <w:rsid w:val="00513910"/>
    <w:rsid w:val="0051760E"/>
    <w:rsid w:val="00532F07"/>
    <w:rsid w:val="00536419"/>
    <w:rsid w:val="005665BB"/>
    <w:rsid w:val="00572866"/>
    <w:rsid w:val="00594384"/>
    <w:rsid w:val="005B3BAF"/>
    <w:rsid w:val="005B552E"/>
    <w:rsid w:val="005F2BAA"/>
    <w:rsid w:val="005F5E02"/>
    <w:rsid w:val="00600687"/>
    <w:rsid w:val="00621988"/>
    <w:rsid w:val="00630028"/>
    <w:rsid w:val="00644920"/>
    <w:rsid w:val="00650955"/>
    <w:rsid w:val="00664A1C"/>
    <w:rsid w:val="006833F3"/>
    <w:rsid w:val="006962E9"/>
    <w:rsid w:val="006C236E"/>
    <w:rsid w:val="006D7877"/>
    <w:rsid w:val="006F74E9"/>
    <w:rsid w:val="007048FC"/>
    <w:rsid w:val="00710C79"/>
    <w:rsid w:val="00721AF8"/>
    <w:rsid w:val="00732151"/>
    <w:rsid w:val="00740687"/>
    <w:rsid w:val="00746EBB"/>
    <w:rsid w:val="007771F6"/>
    <w:rsid w:val="00791070"/>
    <w:rsid w:val="007D4226"/>
    <w:rsid w:val="007D4C8C"/>
    <w:rsid w:val="007F0E51"/>
    <w:rsid w:val="007F106C"/>
    <w:rsid w:val="007F17FC"/>
    <w:rsid w:val="00803FDF"/>
    <w:rsid w:val="00806DC2"/>
    <w:rsid w:val="00807BF7"/>
    <w:rsid w:val="0081279A"/>
    <w:rsid w:val="008656FD"/>
    <w:rsid w:val="00874F8B"/>
    <w:rsid w:val="00894315"/>
    <w:rsid w:val="008B5343"/>
    <w:rsid w:val="008D123A"/>
    <w:rsid w:val="008E642E"/>
    <w:rsid w:val="008F7732"/>
    <w:rsid w:val="00900836"/>
    <w:rsid w:val="009019ED"/>
    <w:rsid w:val="00907E37"/>
    <w:rsid w:val="009143DC"/>
    <w:rsid w:val="009151D7"/>
    <w:rsid w:val="00951286"/>
    <w:rsid w:val="009512F2"/>
    <w:rsid w:val="00972655"/>
    <w:rsid w:val="00977972"/>
    <w:rsid w:val="00990C11"/>
    <w:rsid w:val="009B4678"/>
    <w:rsid w:val="009C1341"/>
    <w:rsid w:val="009C36D7"/>
    <w:rsid w:val="009D3C8A"/>
    <w:rsid w:val="009D3E42"/>
    <w:rsid w:val="009D6BCD"/>
    <w:rsid w:val="009D7618"/>
    <w:rsid w:val="00A3007E"/>
    <w:rsid w:val="00A413F6"/>
    <w:rsid w:val="00A54352"/>
    <w:rsid w:val="00A569C0"/>
    <w:rsid w:val="00A67FC2"/>
    <w:rsid w:val="00A776C5"/>
    <w:rsid w:val="00AB35CF"/>
    <w:rsid w:val="00AC3276"/>
    <w:rsid w:val="00B21EEA"/>
    <w:rsid w:val="00B3086D"/>
    <w:rsid w:val="00B3408B"/>
    <w:rsid w:val="00B36996"/>
    <w:rsid w:val="00B637DE"/>
    <w:rsid w:val="00B64CA9"/>
    <w:rsid w:val="00B73D46"/>
    <w:rsid w:val="00B83295"/>
    <w:rsid w:val="00B950F9"/>
    <w:rsid w:val="00BA34CE"/>
    <w:rsid w:val="00BB47C0"/>
    <w:rsid w:val="00BB57EC"/>
    <w:rsid w:val="00BC2311"/>
    <w:rsid w:val="00BC58D0"/>
    <w:rsid w:val="00BE360D"/>
    <w:rsid w:val="00BF1B97"/>
    <w:rsid w:val="00BF4992"/>
    <w:rsid w:val="00C00A5E"/>
    <w:rsid w:val="00C12040"/>
    <w:rsid w:val="00C1542C"/>
    <w:rsid w:val="00C32262"/>
    <w:rsid w:val="00C43875"/>
    <w:rsid w:val="00C47F55"/>
    <w:rsid w:val="00C60188"/>
    <w:rsid w:val="00C77E9A"/>
    <w:rsid w:val="00C85DAF"/>
    <w:rsid w:val="00C9405B"/>
    <w:rsid w:val="00C953A2"/>
    <w:rsid w:val="00CA0C52"/>
    <w:rsid w:val="00CA75B6"/>
    <w:rsid w:val="00CB1906"/>
    <w:rsid w:val="00CC3365"/>
    <w:rsid w:val="00CD7367"/>
    <w:rsid w:val="00CF0553"/>
    <w:rsid w:val="00CF1302"/>
    <w:rsid w:val="00D040C8"/>
    <w:rsid w:val="00D24ECB"/>
    <w:rsid w:val="00D27378"/>
    <w:rsid w:val="00D31285"/>
    <w:rsid w:val="00D353C3"/>
    <w:rsid w:val="00D40E12"/>
    <w:rsid w:val="00D56FC1"/>
    <w:rsid w:val="00D60DF2"/>
    <w:rsid w:val="00D70A52"/>
    <w:rsid w:val="00D760FB"/>
    <w:rsid w:val="00D965DA"/>
    <w:rsid w:val="00DA41E7"/>
    <w:rsid w:val="00DC0667"/>
    <w:rsid w:val="00DC6B80"/>
    <w:rsid w:val="00E17B34"/>
    <w:rsid w:val="00E2225C"/>
    <w:rsid w:val="00E241F9"/>
    <w:rsid w:val="00E30DB1"/>
    <w:rsid w:val="00E35461"/>
    <w:rsid w:val="00E45151"/>
    <w:rsid w:val="00E62483"/>
    <w:rsid w:val="00E62AB8"/>
    <w:rsid w:val="00E77AE3"/>
    <w:rsid w:val="00E82F46"/>
    <w:rsid w:val="00E85553"/>
    <w:rsid w:val="00E85984"/>
    <w:rsid w:val="00E87992"/>
    <w:rsid w:val="00EA0A7F"/>
    <w:rsid w:val="00EA0FB7"/>
    <w:rsid w:val="00EA4B3B"/>
    <w:rsid w:val="00EB2196"/>
    <w:rsid w:val="00EC2E02"/>
    <w:rsid w:val="00ED12A6"/>
    <w:rsid w:val="00EE5069"/>
    <w:rsid w:val="00EF30E2"/>
    <w:rsid w:val="00EF4E3C"/>
    <w:rsid w:val="00F00DE9"/>
    <w:rsid w:val="00F2049A"/>
    <w:rsid w:val="00F205C5"/>
    <w:rsid w:val="00F711C2"/>
    <w:rsid w:val="00F80F60"/>
    <w:rsid w:val="00F84F9F"/>
    <w:rsid w:val="00F86A6B"/>
    <w:rsid w:val="00FA14CF"/>
    <w:rsid w:val="00FA320E"/>
    <w:rsid w:val="00FA53D0"/>
    <w:rsid w:val="00FB6D92"/>
    <w:rsid w:val="00FC3048"/>
    <w:rsid w:val="00FC42A7"/>
    <w:rsid w:val="00FF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46C8C"/>
  <w15:docId w15:val="{7E2FACA5-A86E-4453-AB67-6F5E2DEF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990C11"/>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990C11"/>
    <w:pPr>
      <w:keepNext/>
      <w:keepLines/>
      <w:spacing w:before="4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687"/>
    <w:rPr>
      <w:rFonts w:ascii="Segoe UI" w:hAnsi="Segoe UI" w:cs="Segoe UI"/>
      <w:sz w:val="18"/>
      <w:szCs w:val="18"/>
    </w:rPr>
  </w:style>
  <w:style w:type="paragraph" w:styleId="FootnoteText">
    <w:name w:val="footnote text"/>
    <w:basedOn w:val="Normal"/>
    <w:link w:val="FootnoteTextChar"/>
    <w:uiPriority w:val="99"/>
    <w:semiHidden/>
    <w:unhideWhenUsed/>
    <w:rsid w:val="00807BF7"/>
    <w:rPr>
      <w:sz w:val="20"/>
      <w:szCs w:val="20"/>
    </w:rPr>
  </w:style>
  <w:style w:type="character" w:customStyle="1" w:styleId="FootnoteTextChar">
    <w:name w:val="Footnote Text Char"/>
    <w:basedOn w:val="DefaultParagraphFont"/>
    <w:link w:val="FootnoteText"/>
    <w:uiPriority w:val="99"/>
    <w:semiHidden/>
    <w:rsid w:val="00807BF7"/>
    <w:rPr>
      <w:sz w:val="20"/>
      <w:szCs w:val="20"/>
    </w:rPr>
  </w:style>
  <w:style w:type="character" w:styleId="FootnoteReference">
    <w:name w:val="footnote reference"/>
    <w:basedOn w:val="DefaultParagraphFont"/>
    <w:uiPriority w:val="99"/>
    <w:semiHidden/>
    <w:unhideWhenUsed/>
    <w:rsid w:val="00807BF7"/>
    <w:rPr>
      <w:vertAlign w:val="superscript"/>
    </w:rPr>
  </w:style>
  <w:style w:type="character" w:styleId="CommentReference">
    <w:name w:val="annotation reference"/>
    <w:basedOn w:val="DefaultParagraphFont"/>
    <w:uiPriority w:val="99"/>
    <w:semiHidden/>
    <w:unhideWhenUsed/>
    <w:rsid w:val="00740687"/>
    <w:rPr>
      <w:sz w:val="16"/>
      <w:szCs w:val="16"/>
    </w:rPr>
  </w:style>
  <w:style w:type="paragraph" w:styleId="CommentText">
    <w:name w:val="annotation text"/>
    <w:basedOn w:val="Normal"/>
    <w:link w:val="CommentTextChar"/>
    <w:uiPriority w:val="99"/>
    <w:semiHidden/>
    <w:unhideWhenUsed/>
    <w:rsid w:val="00740687"/>
    <w:rPr>
      <w:sz w:val="20"/>
      <w:szCs w:val="20"/>
    </w:rPr>
  </w:style>
  <w:style w:type="character" w:customStyle="1" w:styleId="CommentTextChar">
    <w:name w:val="Comment Text Char"/>
    <w:basedOn w:val="DefaultParagraphFont"/>
    <w:link w:val="CommentText"/>
    <w:uiPriority w:val="99"/>
    <w:semiHidden/>
    <w:rsid w:val="00740687"/>
    <w:rPr>
      <w:sz w:val="20"/>
      <w:szCs w:val="20"/>
    </w:rPr>
  </w:style>
  <w:style w:type="paragraph" w:styleId="CommentSubject">
    <w:name w:val="annotation subject"/>
    <w:basedOn w:val="CommentText"/>
    <w:next w:val="CommentText"/>
    <w:link w:val="CommentSubjectChar"/>
    <w:uiPriority w:val="99"/>
    <w:semiHidden/>
    <w:unhideWhenUsed/>
    <w:rsid w:val="00740687"/>
    <w:rPr>
      <w:b/>
      <w:bCs/>
    </w:rPr>
  </w:style>
  <w:style w:type="character" w:customStyle="1" w:styleId="CommentSubjectChar">
    <w:name w:val="Comment Subject Char"/>
    <w:basedOn w:val="CommentTextChar"/>
    <w:link w:val="CommentSubject"/>
    <w:uiPriority w:val="99"/>
    <w:semiHidden/>
    <w:rsid w:val="00740687"/>
    <w:rPr>
      <w:b/>
      <w:bCs/>
      <w:sz w:val="20"/>
      <w:szCs w:val="20"/>
    </w:rPr>
  </w:style>
  <w:style w:type="paragraph" w:styleId="ListParagraph">
    <w:name w:val="List Paragraph"/>
    <w:basedOn w:val="Normal"/>
    <w:uiPriority w:val="34"/>
    <w:qFormat/>
    <w:rsid w:val="0002419A"/>
    <w:pPr>
      <w:ind w:left="720"/>
      <w:contextualSpacing/>
    </w:pPr>
  </w:style>
  <w:style w:type="paragraph" w:styleId="Header">
    <w:name w:val="header"/>
    <w:basedOn w:val="Normal"/>
    <w:link w:val="HeaderChar"/>
    <w:uiPriority w:val="99"/>
    <w:unhideWhenUsed/>
    <w:rsid w:val="004725FB"/>
    <w:pPr>
      <w:tabs>
        <w:tab w:val="center" w:pos="4680"/>
        <w:tab w:val="right" w:pos="9360"/>
      </w:tabs>
    </w:pPr>
  </w:style>
  <w:style w:type="character" w:customStyle="1" w:styleId="HeaderChar">
    <w:name w:val="Header Char"/>
    <w:basedOn w:val="DefaultParagraphFont"/>
    <w:link w:val="Header"/>
    <w:uiPriority w:val="99"/>
    <w:rsid w:val="004725FB"/>
  </w:style>
  <w:style w:type="paragraph" w:styleId="Footer">
    <w:name w:val="footer"/>
    <w:basedOn w:val="Normal"/>
    <w:link w:val="FooterChar"/>
    <w:uiPriority w:val="99"/>
    <w:unhideWhenUsed/>
    <w:rsid w:val="004725FB"/>
    <w:pPr>
      <w:tabs>
        <w:tab w:val="center" w:pos="4680"/>
        <w:tab w:val="right" w:pos="9360"/>
      </w:tabs>
    </w:pPr>
  </w:style>
  <w:style w:type="character" w:customStyle="1" w:styleId="FooterChar">
    <w:name w:val="Footer Char"/>
    <w:basedOn w:val="DefaultParagraphFont"/>
    <w:link w:val="Footer"/>
    <w:uiPriority w:val="99"/>
    <w:rsid w:val="004725FB"/>
  </w:style>
  <w:style w:type="character" w:customStyle="1" w:styleId="Heading1Char">
    <w:name w:val="Heading 1 Char"/>
    <w:basedOn w:val="DefaultParagraphFont"/>
    <w:link w:val="Heading1"/>
    <w:uiPriority w:val="9"/>
    <w:rsid w:val="00990C11"/>
    <w:rPr>
      <w:rFonts w:eastAsiaTheme="majorEastAsia" w:cstheme="majorBidi"/>
      <w:b/>
      <w:color w:val="000000" w:themeColor="text1"/>
      <w:szCs w:val="32"/>
    </w:rPr>
  </w:style>
  <w:style w:type="character" w:customStyle="1" w:styleId="Heading2Char">
    <w:name w:val="Heading 2 Char"/>
    <w:basedOn w:val="DefaultParagraphFont"/>
    <w:link w:val="Heading2"/>
    <w:uiPriority w:val="9"/>
    <w:semiHidden/>
    <w:rsid w:val="00990C11"/>
    <w:rPr>
      <w:rFonts w:eastAsiaTheme="majorEastAsia" w:cstheme="majorBidi"/>
      <w:color w:val="000000" w:themeColor="text1"/>
      <w:szCs w:val="26"/>
    </w:rPr>
  </w:style>
  <w:style w:type="character" w:styleId="Hyperlink">
    <w:name w:val="Hyperlink"/>
    <w:basedOn w:val="DefaultParagraphFont"/>
    <w:uiPriority w:val="99"/>
    <w:unhideWhenUsed/>
    <w:rsid w:val="007F0E51"/>
    <w:rPr>
      <w:color w:val="0563C1" w:themeColor="hyperlink"/>
      <w:u w:val="single"/>
    </w:rPr>
  </w:style>
  <w:style w:type="character" w:styleId="UnresolvedMention">
    <w:name w:val="Unresolved Mention"/>
    <w:basedOn w:val="DefaultParagraphFont"/>
    <w:uiPriority w:val="99"/>
    <w:semiHidden/>
    <w:unhideWhenUsed/>
    <w:rsid w:val="007F0E51"/>
    <w:rPr>
      <w:color w:val="605E5C"/>
      <w:shd w:val="clear" w:color="auto" w:fill="E1DFDD"/>
    </w:rPr>
  </w:style>
  <w:style w:type="character" w:styleId="FollowedHyperlink">
    <w:name w:val="FollowedHyperlink"/>
    <w:basedOn w:val="DefaultParagraphFont"/>
    <w:uiPriority w:val="99"/>
    <w:semiHidden/>
    <w:unhideWhenUsed/>
    <w:rsid w:val="00395F6A"/>
    <w:rPr>
      <w:color w:val="954F72" w:themeColor="followedHyperlink"/>
      <w:u w:val="single"/>
    </w:rPr>
  </w:style>
  <w:style w:type="paragraph" w:styleId="Revision">
    <w:name w:val="Revision"/>
    <w:hidden/>
    <w:uiPriority w:val="99"/>
    <w:semiHidden/>
    <w:rsid w:val="006C2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deq.virgini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deq.virginia.gov/home/showpublisheddocument/156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eanore.daub@deq.virginia.gov" TargetMode="External"/><Relationship Id="rId5" Type="http://schemas.openxmlformats.org/officeDocument/2006/relationships/numbering" Target="numbering.xml"/><Relationship Id="rId15" Type="http://schemas.openxmlformats.org/officeDocument/2006/relationships/hyperlink" Target="https://portal.deq.virgini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q.virginia.gov/home/showpublisheddocument/15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F4ABACD4CBD4E9B92E5DBFA77BDD5" ma:contentTypeVersion="15" ma:contentTypeDescription="Create a new document." ma:contentTypeScope="" ma:versionID="1bffb573fa7a16549840592d3a3e9ed6">
  <xsd:schema xmlns:xsd="http://www.w3.org/2001/XMLSchema" xmlns:xs="http://www.w3.org/2001/XMLSchema" xmlns:p="http://schemas.microsoft.com/office/2006/metadata/properties" xmlns:ns2="aa526758-a91e-4c7e-a601-4f961e68e761" xmlns:ns3="f8457998-39e2-4bc1-be68-7fc758322aa6" targetNamespace="http://schemas.microsoft.com/office/2006/metadata/properties" ma:root="true" ma:fieldsID="13668974f7835eddc99bbaeb85264eeb" ns2:_="" ns3:_="">
    <xsd:import namespace="aa526758-a91e-4c7e-a601-4f961e68e761"/>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26758-a91e-4c7e-a601-4f961e68e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526758-a91e-4c7e-a601-4f961e68e761">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C9D4C23C-02F6-4486-9E09-B7599F48BC98}">
  <ds:schemaRefs>
    <ds:schemaRef ds:uri="http://schemas.microsoft.com/sharepoint/v3/contenttype/forms"/>
  </ds:schemaRefs>
</ds:datastoreItem>
</file>

<file path=customXml/itemProps2.xml><?xml version="1.0" encoding="utf-8"?>
<ds:datastoreItem xmlns:ds="http://schemas.openxmlformats.org/officeDocument/2006/customXml" ds:itemID="{92604BC4-55F3-4500-BCA9-0B3E48B23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26758-a91e-4c7e-a601-4f961e68e761"/>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2A263-0B97-4BF8-AA11-6BE1EA0166F9}">
  <ds:schemaRefs>
    <ds:schemaRef ds:uri="http://schemas.openxmlformats.org/officeDocument/2006/bibliography"/>
  </ds:schemaRefs>
</ds:datastoreItem>
</file>

<file path=customXml/itemProps4.xml><?xml version="1.0" encoding="utf-8"?>
<ds:datastoreItem xmlns:ds="http://schemas.openxmlformats.org/officeDocument/2006/customXml" ds:itemID="{F7515315-18E1-4814-90F3-149A6B9071FF}">
  <ds:schemaRefs>
    <ds:schemaRef ds:uri="http://schemas.microsoft.com/office/2006/metadata/properties"/>
    <ds:schemaRef ds:uri="http://schemas.microsoft.com/office/infopath/2007/PartnerControls"/>
    <ds:schemaRef ds:uri="aa526758-a91e-4c7e-a601-4f961e68e761"/>
    <ds:schemaRef ds:uri="f8457998-39e2-4bc1-be68-7fc758322aa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5388</Words>
  <Characters>30716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NMMM GP Fact Sheet Draft 9/ 2018</vt:lpstr>
    </vt:vector>
  </TitlesOfParts>
  <Company>Virginia IT Infrastructure Partnership</Company>
  <LinksUpToDate>false</LinksUpToDate>
  <CharactersWithSpaces>36032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NMMM GP Fact Sheet Draft 9/ 2018</dc:title>
  <dc:creator>Sherman, Peter (DEQ)</dc:creator>
  <cp:keywords>NMMM GP FS 2018</cp:keywords>
  <cp:lastModifiedBy>Sherman, Peter (DEQ)</cp:lastModifiedBy>
  <cp:revision>2</cp:revision>
  <cp:lastPrinted>2018-09-07T14:09:00Z</cp:lastPrinted>
  <dcterms:created xsi:type="dcterms:W3CDTF">2024-05-01T12:22:00Z</dcterms:created>
  <dcterms:modified xsi:type="dcterms:W3CDTF">2024-05-01T12:22:00Z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0x0101001E1F4ABACD4CBD4E9B92E5DBFA77BDD5</vt:lpwstr>
  </property>
  <property fmtid="{D5CDD505-2E9C-101B-9397-08002B2CF9AE}" pid="3" name="Order">
    <vt:r8>3623600</vt:r8>
  </property>
</Properties>
</file>